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10" w:rsidRDefault="00033866" w:rsidP="00CD0D10">
      <w:pPr>
        <w:rPr>
          <w:b/>
          <w:sz w:val="72"/>
          <w:szCs w:val="72"/>
        </w:rPr>
      </w:pPr>
      <w:bookmarkStart w:id="0" w:name="_GoBack"/>
      <w:bookmarkEnd w:id="0"/>
      <w:r>
        <w:rPr>
          <w:noProof/>
          <w:lang w:eastAsia="it-IT"/>
        </w:rPr>
        <w:drawing>
          <wp:inline distT="0" distB="0" distL="0" distR="0" wp14:anchorId="4AE6BEE4" wp14:editId="11361456">
            <wp:extent cx="1619250" cy="17145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8"/>
                    <a:stretch>
                      <a:fillRect/>
                    </a:stretch>
                  </pic:blipFill>
                  <pic:spPr bwMode="auto">
                    <a:xfrm>
                      <a:off x="0" y="0"/>
                      <a:ext cx="1619250" cy="1714500"/>
                    </a:xfrm>
                    <a:prstGeom prst="rect">
                      <a:avLst/>
                    </a:prstGeom>
                  </pic:spPr>
                </pic:pic>
              </a:graphicData>
            </a:graphic>
          </wp:inline>
        </w:drawing>
      </w:r>
    </w:p>
    <w:p w:rsidR="00CD0D10" w:rsidRDefault="00CD0D10" w:rsidP="00CD0D10">
      <w:pPr>
        <w:rPr>
          <w:b/>
          <w:sz w:val="72"/>
          <w:szCs w:val="72"/>
        </w:rPr>
      </w:pPr>
    </w:p>
    <w:p w:rsidR="00CD0D10" w:rsidRDefault="00CD0D10" w:rsidP="00CD0D10">
      <w:pPr>
        <w:rPr>
          <w:b/>
          <w:sz w:val="72"/>
          <w:szCs w:val="72"/>
        </w:rPr>
      </w:pPr>
    </w:p>
    <w:p w:rsidR="00CD0D10" w:rsidRDefault="00CD0D10" w:rsidP="00CD0D10">
      <w:pPr>
        <w:rPr>
          <w:b/>
          <w:sz w:val="72"/>
          <w:szCs w:val="72"/>
        </w:rPr>
      </w:pPr>
    </w:p>
    <w:p w:rsidR="00CD0D10" w:rsidRPr="00CD0D10" w:rsidRDefault="00CD0D10" w:rsidP="00CD0D10">
      <w:pPr>
        <w:rPr>
          <w:b/>
          <w:sz w:val="72"/>
          <w:szCs w:val="72"/>
        </w:rPr>
      </w:pPr>
      <w:r w:rsidRPr="00CD0D10">
        <w:rPr>
          <w:b/>
          <w:sz w:val="72"/>
          <w:szCs w:val="72"/>
        </w:rPr>
        <w:t>LINEE PER UN’ANALISI DELLA REALTA’ ECONOMICA E SOCIALE DELLA PROVINCIA DI LUCCA</w:t>
      </w:r>
    </w:p>
    <w:p w:rsidR="00CD0D10" w:rsidRDefault="00CD0D10"/>
    <w:p w:rsidR="00CD0D10" w:rsidRDefault="00CD0D10"/>
    <w:p w:rsidR="00CD0D10" w:rsidRDefault="00CD0D10"/>
    <w:p w:rsidR="00CD0D10" w:rsidRDefault="00CD0D10"/>
    <w:p w:rsidR="00CD0D10" w:rsidRDefault="00CD0D10"/>
    <w:p w:rsidR="00CD0D10" w:rsidRDefault="00CD0D10"/>
    <w:p w:rsidR="00CD0D10" w:rsidRDefault="00CD0D10"/>
    <w:p w:rsidR="00CD0D10" w:rsidRDefault="00CD0D10">
      <w:r>
        <w:t>OTTOBRE 2018</w:t>
      </w:r>
    </w:p>
    <w:p w:rsidR="00CD0D10" w:rsidRDefault="00CD0D10">
      <w:r>
        <w:br w:type="page"/>
      </w:r>
    </w:p>
    <w:p w:rsidR="00CD0D10" w:rsidRPr="00CD0D10" w:rsidRDefault="00CD0D10" w:rsidP="00CD0D10">
      <w:pPr>
        <w:pStyle w:val="Paragrafoelenco"/>
        <w:numPr>
          <w:ilvl w:val="0"/>
          <w:numId w:val="1"/>
        </w:numPr>
        <w:jc w:val="both"/>
        <w:rPr>
          <w:b/>
        </w:rPr>
      </w:pPr>
      <w:r w:rsidRPr="00CD0D10">
        <w:rPr>
          <w:b/>
        </w:rPr>
        <w:lastRenderedPageBreak/>
        <w:t>LA PROVINCIA DI LUCCA NEGLI ANNI DELLA CRISI: CONSIDERAZIONI DI INSIEME SUL CONTESTO MACROECONOMICO</w:t>
      </w:r>
      <w:r>
        <w:rPr>
          <w:rStyle w:val="Rimandonotaapidipagina"/>
          <w:b/>
        </w:rPr>
        <w:footnoteReference w:id="1"/>
      </w:r>
    </w:p>
    <w:p w:rsidR="00CD0D10" w:rsidRDefault="00CD0D10" w:rsidP="00CD0D10">
      <w:pPr>
        <w:jc w:val="both"/>
      </w:pPr>
    </w:p>
    <w:p w:rsidR="00CD0D10" w:rsidRDefault="00CD0D10" w:rsidP="00CD0D10">
      <w:pPr>
        <w:jc w:val="both"/>
      </w:pPr>
      <w:r>
        <w:t>Il quadro macroeconomico degli anni recenti relativo all’economia della provincia di Lucca può essere recuperato dalle stime Prometeia, che si aggiustano sui dati definitivi della contabilità nazionale per gli anni passati, e compiono alcune proiezioni sugli anni futuri.</w:t>
      </w:r>
    </w:p>
    <w:p w:rsidR="00CD0D10" w:rsidRDefault="00CD0D10" w:rsidP="00CD0D10">
      <w:pPr>
        <w:jc w:val="both"/>
      </w:pPr>
    </w:p>
    <w:p w:rsidR="00CD0D10" w:rsidRDefault="00CD0D10" w:rsidP="00CD0D10">
      <w:pPr>
        <w:jc w:val="both"/>
      </w:pPr>
      <w:r>
        <w:t>Il valore aggiunto provinciale ha subito le due gravi battute di arresto degli anni della crisi (2008-2009 e poi 2011-2013), con una ricaduta ancora nel 2015, per poi stabilizzarsi su un lento tasso di crescita (0,7% nel 2016 e 2017), che dovrebbe accelerare fino all’1% nel 2019. Il settore manifatturiero ha subito gravi battute di arresto in singoli anni (-17% nel 2009, -4,5% nel 2011, -4,7% nel 2013 e poi -1,5% nel 2015, ma si sta stabilizzando ad un livello di crescita intorno all’1,5% annuo; il punto di arrivo dell’edilizia dovrebbe essere anche un po’ più positivo, ma dopo aver subito un prolungato periodo depressivo, culminato nel -10,2% del 2014. Infine il dato dei servizi presenta la singolare situazione di un rallentamento strutturale (non si tratta di un dato specifico lucchese, ma diffuso in tutto il territorio nazionale) di un rallentamento rispetto al settore industriale (che deve la sua maggior dinamica alla proiezione estera data dalle esportazioni), e che anche negli anni prossimi manterrà ritmi di sviluppo inferiori all’1%. Un ridimensionamento strutturale della propensione al consumo, indotto dalla necessità di prudenza nei conti delle famiglie indotto dall’austerità è una delle maggiori ricadute negative del periodo di crisi, e si risente principalmente nel settore dei servizi.</w:t>
      </w:r>
    </w:p>
    <w:p w:rsidR="00CD0D10" w:rsidRDefault="00CD0D10" w:rsidP="00CD0D10">
      <w:pPr>
        <w:jc w:val="both"/>
      </w:pPr>
    </w:p>
    <w:p w:rsidR="00CD0D10" w:rsidRPr="00CD0D10" w:rsidRDefault="00CD0D10" w:rsidP="00CD0D10">
      <w:pPr>
        <w:jc w:val="both"/>
        <w:rPr>
          <w:i/>
        </w:rPr>
      </w:pPr>
      <w:r>
        <w:rPr>
          <w:i/>
        </w:rPr>
        <w:t xml:space="preserve">Tab. 1 - </w:t>
      </w:r>
      <w:r w:rsidRPr="00CD0D10">
        <w:rPr>
          <w:i/>
        </w:rPr>
        <w:t>Dinamica del valore aggiunto</w:t>
      </w:r>
    </w:p>
    <w:tbl>
      <w:tblPr>
        <w:tblW w:w="7840" w:type="dxa"/>
        <w:tblCellMar>
          <w:left w:w="70" w:type="dxa"/>
          <w:right w:w="70" w:type="dxa"/>
        </w:tblCellMar>
        <w:tblLook w:val="04A0" w:firstRow="1" w:lastRow="0" w:firstColumn="1" w:lastColumn="0" w:noHBand="0" w:noVBand="1"/>
      </w:tblPr>
      <w:tblGrid>
        <w:gridCol w:w="960"/>
        <w:gridCol w:w="960"/>
        <w:gridCol w:w="1140"/>
        <w:gridCol w:w="2480"/>
        <w:gridCol w:w="1180"/>
        <w:gridCol w:w="1120"/>
      </w:tblGrid>
      <w:tr w:rsidR="00CD0D10" w:rsidRPr="00CF12B2" w:rsidTr="00CD0D10">
        <w:trPr>
          <w:trHeight w:val="300"/>
        </w:trPr>
        <w:tc>
          <w:tcPr>
            <w:tcW w:w="960" w:type="dxa"/>
            <w:tcBorders>
              <w:top w:val="single" w:sz="4" w:space="0" w:color="auto"/>
              <w:left w:val="nil"/>
              <w:bottom w:val="single" w:sz="4" w:space="0" w:color="auto"/>
              <w:right w:val="nil"/>
            </w:tcBorders>
            <w:shd w:val="clear" w:color="000000" w:fill="DCE6F1"/>
            <w:noWrap/>
            <w:vAlign w:val="bottom"/>
            <w:hideMark/>
          </w:tcPr>
          <w:p w:rsidR="00CD0D10" w:rsidRPr="00CF12B2" w:rsidRDefault="00CD0D10" w:rsidP="00CD0D10">
            <w:pPr>
              <w:spacing w:after="0" w:line="240" w:lineRule="auto"/>
              <w:rPr>
                <w:rFonts w:ascii="Calibri" w:eastAsia="Times New Roman" w:hAnsi="Calibri" w:cs="Calibri"/>
                <w:color w:val="000000"/>
                <w:lang w:eastAsia="it-IT"/>
              </w:rPr>
            </w:pPr>
            <w:r w:rsidRPr="00CF12B2">
              <w:rPr>
                <w:rFonts w:ascii="Calibri" w:eastAsia="Times New Roman" w:hAnsi="Calibri" w:cs="Calibri"/>
                <w:color w:val="000000"/>
                <w:lang w:eastAsia="it-IT"/>
              </w:rPr>
              <w:t> </w:t>
            </w:r>
          </w:p>
        </w:tc>
        <w:tc>
          <w:tcPr>
            <w:tcW w:w="960" w:type="dxa"/>
            <w:tcBorders>
              <w:top w:val="single" w:sz="4" w:space="0" w:color="auto"/>
              <w:left w:val="nil"/>
              <w:bottom w:val="single" w:sz="4" w:space="0" w:color="auto"/>
              <w:right w:val="nil"/>
            </w:tcBorders>
            <w:shd w:val="clear" w:color="000000" w:fill="DCE6F1"/>
            <w:noWrap/>
            <w:vAlign w:val="bottom"/>
            <w:hideMark/>
          </w:tcPr>
          <w:p w:rsidR="00CD0D10" w:rsidRPr="00CF12B2" w:rsidRDefault="00CD0D10" w:rsidP="00CD0D10">
            <w:pPr>
              <w:spacing w:after="0" w:line="240" w:lineRule="auto"/>
              <w:rPr>
                <w:rFonts w:ascii="Calibri" w:eastAsia="Times New Roman" w:hAnsi="Calibri" w:cs="Calibri"/>
                <w:color w:val="000000"/>
                <w:lang w:eastAsia="it-IT"/>
              </w:rPr>
            </w:pPr>
            <w:r w:rsidRPr="00CF12B2">
              <w:rPr>
                <w:rFonts w:ascii="Calibri" w:eastAsia="Times New Roman" w:hAnsi="Calibri" w:cs="Calibri"/>
                <w:color w:val="000000"/>
                <w:lang w:eastAsia="it-IT"/>
              </w:rPr>
              <w:t>Valore Aggiunto tot</w:t>
            </w:r>
          </w:p>
        </w:tc>
        <w:tc>
          <w:tcPr>
            <w:tcW w:w="1140" w:type="dxa"/>
            <w:tcBorders>
              <w:top w:val="single" w:sz="4" w:space="0" w:color="auto"/>
              <w:left w:val="nil"/>
              <w:bottom w:val="single" w:sz="4" w:space="0" w:color="auto"/>
              <w:right w:val="nil"/>
            </w:tcBorders>
            <w:shd w:val="clear" w:color="000000" w:fill="DCE6F1"/>
            <w:noWrap/>
            <w:vAlign w:val="bottom"/>
            <w:hideMark/>
          </w:tcPr>
          <w:p w:rsidR="00CD0D10" w:rsidRPr="00CF12B2" w:rsidRDefault="00CD0D10" w:rsidP="00CD0D10">
            <w:pPr>
              <w:spacing w:after="0" w:line="240" w:lineRule="auto"/>
              <w:rPr>
                <w:rFonts w:ascii="Calibri" w:eastAsia="Times New Roman" w:hAnsi="Calibri" w:cs="Calibri"/>
                <w:color w:val="000000"/>
                <w:lang w:eastAsia="it-IT"/>
              </w:rPr>
            </w:pPr>
            <w:r w:rsidRPr="00CF12B2">
              <w:rPr>
                <w:rFonts w:ascii="Calibri" w:eastAsia="Times New Roman" w:hAnsi="Calibri" w:cs="Calibri"/>
                <w:color w:val="000000"/>
                <w:lang w:eastAsia="it-IT"/>
              </w:rPr>
              <w:t>Agricoltura</w:t>
            </w:r>
          </w:p>
        </w:tc>
        <w:tc>
          <w:tcPr>
            <w:tcW w:w="2480" w:type="dxa"/>
            <w:tcBorders>
              <w:top w:val="single" w:sz="4" w:space="0" w:color="auto"/>
              <w:left w:val="nil"/>
              <w:bottom w:val="single" w:sz="4" w:space="0" w:color="auto"/>
              <w:right w:val="nil"/>
            </w:tcBorders>
            <w:shd w:val="clear" w:color="000000" w:fill="DCE6F1"/>
            <w:noWrap/>
            <w:vAlign w:val="bottom"/>
            <w:hideMark/>
          </w:tcPr>
          <w:p w:rsidR="00CD0D10" w:rsidRPr="00CF12B2" w:rsidRDefault="00CD0D10" w:rsidP="00CD0D10">
            <w:pPr>
              <w:spacing w:after="0" w:line="240" w:lineRule="auto"/>
              <w:rPr>
                <w:rFonts w:ascii="Calibri" w:eastAsia="Times New Roman" w:hAnsi="Calibri" w:cs="Calibri"/>
                <w:color w:val="000000"/>
                <w:lang w:eastAsia="it-IT"/>
              </w:rPr>
            </w:pPr>
            <w:r w:rsidRPr="00CF12B2">
              <w:rPr>
                <w:rFonts w:ascii="Calibri" w:eastAsia="Times New Roman" w:hAnsi="Calibri" w:cs="Calibri"/>
                <w:color w:val="000000"/>
                <w:lang w:eastAsia="it-IT"/>
              </w:rPr>
              <w:t>Industria in senso stretto</w:t>
            </w:r>
          </w:p>
        </w:tc>
        <w:tc>
          <w:tcPr>
            <w:tcW w:w="1180" w:type="dxa"/>
            <w:tcBorders>
              <w:top w:val="single" w:sz="4" w:space="0" w:color="auto"/>
              <w:left w:val="nil"/>
              <w:bottom w:val="single" w:sz="4" w:space="0" w:color="auto"/>
              <w:right w:val="nil"/>
            </w:tcBorders>
            <w:shd w:val="clear" w:color="000000" w:fill="DCE6F1"/>
            <w:noWrap/>
            <w:vAlign w:val="bottom"/>
            <w:hideMark/>
          </w:tcPr>
          <w:p w:rsidR="00CD0D10" w:rsidRPr="00CF12B2" w:rsidRDefault="00CD0D10" w:rsidP="00CD0D10">
            <w:pPr>
              <w:spacing w:after="0" w:line="240" w:lineRule="auto"/>
              <w:rPr>
                <w:rFonts w:ascii="Calibri" w:eastAsia="Times New Roman" w:hAnsi="Calibri" w:cs="Calibri"/>
                <w:color w:val="000000"/>
                <w:lang w:eastAsia="it-IT"/>
              </w:rPr>
            </w:pPr>
            <w:r w:rsidRPr="00CF12B2">
              <w:rPr>
                <w:rFonts w:ascii="Calibri" w:eastAsia="Times New Roman" w:hAnsi="Calibri" w:cs="Calibri"/>
                <w:color w:val="000000"/>
                <w:lang w:eastAsia="it-IT"/>
              </w:rPr>
              <w:t>Costruzioni</w:t>
            </w:r>
          </w:p>
        </w:tc>
        <w:tc>
          <w:tcPr>
            <w:tcW w:w="1120" w:type="dxa"/>
            <w:tcBorders>
              <w:top w:val="single" w:sz="4" w:space="0" w:color="auto"/>
              <w:left w:val="nil"/>
              <w:bottom w:val="single" w:sz="4" w:space="0" w:color="auto"/>
              <w:right w:val="nil"/>
            </w:tcBorders>
            <w:shd w:val="clear" w:color="000000" w:fill="DCE6F1"/>
            <w:noWrap/>
            <w:vAlign w:val="bottom"/>
            <w:hideMark/>
          </w:tcPr>
          <w:p w:rsidR="00CD0D10" w:rsidRPr="00CF12B2" w:rsidRDefault="00CD0D10" w:rsidP="00CD0D10">
            <w:pPr>
              <w:spacing w:after="0" w:line="240" w:lineRule="auto"/>
              <w:rPr>
                <w:rFonts w:ascii="Calibri" w:eastAsia="Times New Roman" w:hAnsi="Calibri" w:cs="Calibri"/>
                <w:color w:val="000000"/>
                <w:lang w:eastAsia="it-IT"/>
              </w:rPr>
            </w:pPr>
            <w:r w:rsidRPr="00CF12B2">
              <w:rPr>
                <w:rFonts w:ascii="Calibri" w:eastAsia="Times New Roman" w:hAnsi="Calibri" w:cs="Calibri"/>
                <w:color w:val="000000"/>
                <w:lang w:eastAsia="it-IT"/>
              </w:rPr>
              <w:t>Servizi</w:t>
            </w:r>
          </w:p>
        </w:tc>
      </w:tr>
      <w:tr w:rsidR="00CD0D10" w:rsidRPr="00CF12B2" w:rsidTr="00CD0D10">
        <w:trPr>
          <w:trHeight w:val="300"/>
        </w:trPr>
        <w:tc>
          <w:tcPr>
            <w:tcW w:w="960" w:type="dxa"/>
            <w:tcBorders>
              <w:top w:val="single" w:sz="4" w:space="0" w:color="auto"/>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2007</w:t>
            </w:r>
          </w:p>
        </w:tc>
        <w:tc>
          <w:tcPr>
            <w:tcW w:w="960" w:type="dxa"/>
            <w:tcBorders>
              <w:top w:val="single" w:sz="4" w:space="0" w:color="auto"/>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7,2%</w:t>
            </w:r>
          </w:p>
        </w:tc>
        <w:tc>
          <w:tcPr>
            <w:tcW w:w="1140" w:type="dxa"/>
            <w:tcBorders>
              <w:top w:val="single" w:sz="4" w:space="0" w:color="auto"/>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4,9%</w:t>
            </w:r>
          </w:p>
        </w:tc>
        <w:tc>
          <w:tcPr>
            <w:tcW w:w="2480" w:type="dxa"/>
            <w:tcBorders>
              <w:top w:val="single" w:sz="4" w:space="0" w:color="auto"/>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4,4%</w:t>
            </w:r>
          </w:p>
        </w:tc>
        <w:tc>
          <w:tcPr>
            <w:tcW w:w="1180" w:type="dxa"/>
            <w:tcBorders>
              <w:top w:val="single" w:sz="4" w:space="0" w:color="auto"/>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7,1%</w:t>
            </w:r>
          </w:p>
        </w:tc>
        <w:tc>
          <w:tcPr>
            <w:tcW w:w="1120" w:type="dxa"/>
            <w:tcBorders>
              <w:top w:val="single" w:sz="4" w:space="0" w:color="auto"/>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8,3%</w:t>
            </w:r>
          </w:p>
        </w:tc>
      </w:tr>
      <w:tr w:rsidR="00CD0D10" w:rsidRPr="00CF12B2" w:rsidTr="00CD0D10">
        <w:trPr>
          <w:trHeight w:val="300"/>
        </w:trPr>
        <w:tc>
          <w:tcPr>
            <w:tcW w:w="96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2008</w:t>
            </w:r>
          </w:p>
        </w:tc>
        <w:tc>
          <w:tcPr>
            <w:tcW w:w="96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-1,8%</w:t>
            </w:r>
          </w:p>
        </w:tc>
        <w:tc>
          <w:tcPr>
            <w:tcW w:w="114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-7,0%</w:t>
            </w:r>
          </w:p>
        </w:tc>
        <w:tc>
          <w:tcPr>
            <w:tcW w:w="248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4,6%</w:t>
            </w:r>
          </w:p>
        </w:tc>
        <w:tc>
          <w:tcPr>
            <w:tcW w:w="118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3,6%</w:t>
            </w:r>
          </w:p>
        </w:tc>
        <w:tc>
          <w:tcPr>
            <w:tcW w:w="112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-4,7%</w:t>
            </w:r>
          </w:p>
        </w:tc>
      </w:tr>
      <w:tr w:rsidR="00CD0D10" w:rsidRPr="00CF12B2" w:rsidTr="00CD0D10">
        <w:trPr>
          <w:trHeight w:val="300"/>
        </w:trPr>
        <w:tc>
          <w:tcPr>
            <w:tcW w:w="96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2009</w:t>
            </w:r>
          </w:p>
        </w:tc>
        <w:tc>
          <w:tcPr>
            <w:tcW w:w="96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-1,4%</w:t>
            </w:r>
          </w:p>
        </w:tc>
        <w:tc>
          <w:tcPr>
            <w:tcW w:w="114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-3,5%</w:t>
            </w:r>
          </w:p>
        </w:tc>
        <w:tc>
          <w:tcPr>
            <w:tcW w:w="248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-17,0%</w:t>
            </w:r>
          </w:p>
        </w:tc>
        <w:tc>
          <w:tcPr>
            <w:tcW w:w="118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-4,1%</w:t>
            </w:r>
          </w:p>
        </w:tc>
        <w:tc>
          <w:tcPr>
            <w:tcW w:w="112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5,5%</w:t>
            </w:r>
          </w:p>
        </w:tc>
      </w:tr>
      <w:tr w:rsidR="00CD0D10" w:rsidRPr="00CF12B2" w:rsidTr="00CD0D10">
        <w:trPr>
          <w:trHeight w:val="300"/>
        </w:trPr>
        <w:tc>
          <w:tcPr>
            <w:tcW w:w="96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2010</w:t>
            </w:r>
          </w:p>
        </w:tc>
        <w:tc>
          <w:tcPr>
            <w:tcW w:w="96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2,9%</w:t>
            </w:r>
          </w:p>
        </w:tc>
        <w:tc>
          <w:tcPr>
            <w:tcW w:w="114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-1,6%</w:t>
            </w:r>
          </w:p>
        </w:tc>
        <w:tc>
          <w:tcPr>
            <w:tcW w:w="248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5,3%</w:t>
            </w:r>
          </w:p>
        </w:tc>
        <w:tc>
          <w:tcPr>
            <w:tcW w:w="118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-0,9%</w:t>
            </w:r>
          </w:p>
        </w:tc>
        <w:tc>
          <w:tcPr>
            <w:tcW w:w="112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2,6%</w:t>
            </w:r>
          </w:p>
        </w:tc>
      </w:tr>
      <w:tr w:rsidR="00CD0D10" w:rsidRPr="00CF12B2" w:rsidTr="00CD0D10">
        <w:trPr>
          <w:trHeight w:val="300"/>
        </w:trPr>
        <w:tc>
          <w:tcPr>
            <w:tcW w:w="96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2011</w:t>
            </w:r>
          </w:p>
        </w:tc>
        <w:tc>
          <w:tcPr>
            <w:tcW w:w="96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-1,2%</w:t>
            </w:r>
          </w:p>
        </w:tc>
        <w:tc>
          <w:tcPr>
            <w:tcW w:w="114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-1,5%</w:t>
            </w:r>
          </w:p>
        </w:tc>
        <w:tc>
          <w:tcPr>
            <w:tcW w:w="248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-4,5%</w:t>
            </w:r>
          </w:p>
        </w:tc>
        <w:tc>
          <w:tcPr>
            <w:tcW w:w="118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-8,0%</w:t>
            </w:r>
          </w:p>
        </w:tc>
        <w:tc>
          <w:tcPr>
            <w:tcW w:w="112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0,5%</w:t>
            </w:r>
          </w:p>
        </w:tc>
      </w:tr>
      <w:tr w:rsidR="00CD0D10" w:rsidRPr="00CF12B2" w:rsidTr="00CD0D10">
        <w:trPr>
          <w:trHeight w:val="300"/>
        </w:trPr>
        <w:tc>
          <w:tcPr>
            <w:tcW w:w="96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2012</w:t>
            </w:r>
          </w:p>
        </w:tc>
        <w:tc>
          <w:tcPr>
            <w:tcW w:w="96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-2,8%</w:t>
            </w:r>
          </w:p>
        </w:tc>
        <w:tc>
          <w:tcPr>
            <w:tcW w:w="114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-0,6%</w:t>
            </w:r>
          </w:p>
        </w:tc>
        <w:tc>
          <w:tcPr>
            <w:tcW w:w="248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-1,8%</w:t>
            </w:r>
          </w:p>
        </w:tc>
        <w:tc>
          <w:tcPr>
            <w:tcW w:w="118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-6,1%</w:t>
            </w:r>
          </w:p>
        </w:tc>
        <w:tc>
          <w:tcPr>
            <w:tcW w:w="112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-2,8%</w:t>
            </w:r>
          </w:p>
        </w:tc>
      </w:tr>
      <w:tr w:rsidR="00CD0D10" w:rsidRPr="00CF12B2" w:rsidTr="00CD0D10">
        <w:trPr>
          <w:trHeight w:val="300"/>
        </w:trPr>
        <w:tc>
          <w:tcPr>
            <w:tcW w:w="96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2013</w:t>
            </w:r>
          </w:p>
        </w:tc>
        <w:tc>
          <w:tcPr>
            <w:tcW w:w="96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-2,8%</w:t>
            </w:r>
          </w:p>
        </w:tc>
        <w:tc>
          <w:tcPr>
            <w:tcW w:w="114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-0,1%</w:t>
            </w:r>
          </w:p>
        </w:tc>
        <w:tc>
          <w:tcPr>
            <w:tcW w:w="248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-4,7%</w:t>
            </w:r>
          </w:p>
        </w:tc>
        <w:tc>
          <w:tcPr>
            <w:tcW w:w="118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-7,9%</w:t>
            </w:r>
          </w:p>
        </w:tc>
        <w:tc>
          <w:tcPr>
            <w:tcW w:w="112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-1,7%</w:t>
            </w:r>
          </w:p>
        </w:tc>
      </w:tr>
      <w:tr w:rsidR="00CD0D10" w:rsidRPr="00CF12B2" w:rsidTr="00CD0D10">
        <w:trPr>
          <w:trHeight w:val="300"/>
        </w:trPr>
        <w:tc>
          <w:tcPr>
            <w:tcW w:w="96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2014</w:t>
            </w:r>
          </w:p>
        </w:tc>
        <w:tc>
          <w:tcPr>
            <w:tcW w:w="96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1,0%</w:t>
            </w:r>
          </w:p>
        </w:tc>
        <w:tc>
          <w:tcPr>
            <w:tcW w:w="114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-11,9%</w:t>
            </w:r>
          </w:p>
        </w:tc>
        <w:tc>
          <w:tcPr>
            <w:tcW w:w="248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0,4%</w:t>
            </w:r>
          </w:p>
        </w:tc>
        <w:tc>
          <w:tcPr>
            <w:tcW w:w="118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-10,2%</w:t>
            </w:r>
          </w:p>
        </w:tc>
        <w:tc>
          <w:tcPr>
            <w:tcW w:w="112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2,3%</w:t>
            </w:r>
          </w:p>
        </w:tc>
      </w:tr>
      <w:tr w:rsidR="00CD0D10" w:rsidRPr="00CF12B2" w:rsidTr="00CD0D10">
        <w:trPr>
          <w:trHeight w:val="300"/>
        </w:trPr>
        <w:tc>
          <w:tcPr>
            <w:tcW w:w="96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2015</w:t>
            </w:r>
          </w:p>
        </w:tc>
        <w:tc>
          <w:tcPr>
            <w:tcW w:w="96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-0,6%</w:t>
            </w:r>
          </w:p>
        </w:tc>
        <w:tc>
          <w:tcPr>
            <w:tcW w:w="114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7,4%</w:t>
            </w:r>
          </w:p>
        </w:tc>
        <w:tc>
          <w:tcPr>
            <w:tcW w:w="248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-1,5%</w:t>
            </w:r>
          </w:p>
        </w:tc>
        <w:tc>
          <w:tcPr>
            <w:tcW w:w="118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-3,6%</w:t>
            </w:r>
          </w:p>
        </w:tc>
        <w:tc>
          <w:tcPr>
            <w:tcW w:w="112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-0,2%</w:t>
            </w:r>
          </w:p>
        </w:tc>
      </w:tr>
      <w:tr w:rsidR="00CD0D10" w:rsidRPr="00CF12B2" w:rsidTr="00CD0D10">
        <w:trPr>
          <w:trHeight w:val="300"/>
        </w:trPr>
        <w:tc>
          <w:tcPr>
            <w:tcW w:w="96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2016</w:t>
            </w:r>
          </w:p>
        </w:tc>
        <w:tc>
          <w:tcPr>
            <w:tcW w:w="96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0,7%</w:t>
            </w:r>
          </w:p>
        </w:tc>
        <w:tc>
          <w:tcPr>
            <w:tcW w:w="114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7,8%</w:t>
            </w:r>
          </w:p>
        </w:tc>
        <w:tc>
          <w:tcPr>
            <w:tcW w:w="248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3,0%</w:t>
            </w:r>
          </w:p>
        </w:tc>
        <w:tc>
          <w:tcPr>
            <w:tcW w:w="118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3,2%</w:t>
            </w:r>
          </w:p>
        </w:tc>
        <w:tc>
          <w:tcPr>
            <w:tcW w:w="112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-0,2%</w:t>
            </w:r>
          </w:p>
        </w:tc>
      </w:tr>
      <w:tr w:rsidR="00CD0D10" w:rsidRPr="00CF12B2" w:rsidTr="00CD0D10">
        <w:trPr>
          <w:trHeight w:val="300"/>
        </w:trPr>
        <w:tc>
          <w:tcPr>
            <w:tcW w:w="96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2017</w:t>
            </w:r>
          </w:p>
        </w:tc>
        <w:tc>
          <w:tcPr>
            <w:tcW w:w="96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0,7%</w:t>
            </w:r>
          </w:p>
        </w:tc>
        <w:tc>
          <w:tcPr>
            <w:tcW w:w="114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-9,2%</w:t>
            </w:r>
          </w:p>
        </w:tc>
        <w:tc>
          <w:tcPr>
            <w:tcW w:w="248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1,7%</w:t>
            </w:r>
          </w:p>
        </w:tc>
        <w:tc>
          <w:tcPr>
            <w:tcW w:w="118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0,6%</w:t>
            </w:r>
          </w:p>
        </w:tc>
        <w:tc>
          <w:tcPr>
            <w:tcW w:w="112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0,5%</w:t>
            </w:r>
          </w:p>
        </w:tc>
      </w:tr>
      <w:tr w:rsidR="00CD0D10" w:rsidRPr="00CF12B2" w:rsidTr="00CD0D10">
        <w:trPr>
          <w:trHeight w:val="300"/>
        </w:trPr>
        <w:tc>
          <w:tcPr>
            <w:tcW w:w="96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2018</w:t>
            </w:r>
          </w:p>
        </w:tc>
        <w:tc>
          <w:tcPr>
            <w:tcW w:w="96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0,9%</w:t>
            </w:r>
          </w:p>
        </w:tc>
        <w:tc>
          <w:tcPr>
            <w:tcW w:w="114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2,8%</w:t>
            </w:r>
          </w:p>
        </w:tc>
        <w:tc>
          <w:tcPr>
            <w:tcW w:w="248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1,6%</w:t>
            </w:r>
          </w:p>
        </w:tc>
        <w:tc>
          <w:tcPr>
            <w:tcW w:w="118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1,8%</w:t>
            </w:r>
          </w:p>
        </w:tc>
        <w:tc>
          <w:tcPr>
            <w:tcW w:w="1120" w:type="dxa"/>
            <w:tcBorders>
              <w:top w:val="nil"/>
              <w:left w:val="nil"/>
              <w:bottom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0,7%</w:t>
            </w:r>
          </w:p>
        </w:tc>
      </w:tr>
      <w:tr w:rsidR="00CD0D10" w:rsidRPr="00CF12B2" w:rsidTr="00CD0D10">
        <w:trPr>
          <w:trHeight w:val="300"/>
        </w:trPr>
        <w:tc>
          <w:tcPr>
            <w:tcW w:w="960" w:type="dxa"/>
            <w:tcBorders>
              <w:top w:val="nil"/>
              <w:left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2019</w:t>
            </w:r>
          </w:p>
        </w:tc>
        <w:tc>
          <w:tcPr>
            <w:tcW w:w="960" w:type="dxa"/>
            <w:tcBorders>
              <w:top w:val="nil"/>
              <w:left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1,0%</w:t>
            </w:r>
          </w:p>
        </w:tc>
        <w:tc>
          <w:tcPr>
            <w:tcW w:w="1140" w:type="dxa"/>
            <w:tcBorders>
              <w:top w:val="nil"/>
              <w:left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1,0%</w:t>
            </w:r>
          </w:p>
        </w:tc>
        <w:tc>
          <w:tcPr>
            <w:tcW w:w="2480" w:type="dxa"/>
            <w:tcBorders>
              <w:top w:val="nil"/>
              <w:left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1,5%</w:t>
            </w:r>
          </w:p>
        </w:tc>
        <w:tc>
          <w:tcPr>
            <w:tcW w:w="1180" w:type="dxa"/>
            <w:tcBorders>
              <w:top w:val="nil"/>
              <w:left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1,8%</w:t>
            </w:r>
          </w:p>
        </w:tc>
        <w:tc>
          <w:tcPr>
            <w:tcW w:w="1120" w:type="dxa"/>
            <w:tcBorders>
              <w:top w:val="nil"/>
              <w:left w:val="nil"/>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0,8%</w:t>
            </w:r>
          </w:p>
        </w:tc>
      </w:tr>
      <w:tr w:rsidR="00CD0D10" w:rsidRPr="00CF12B2" w:rsidTr="00CD0D10">
        <w:trPr>
          <w:trHeight w:val="300"/>
        </w:trPr>
        <w:tc>
          <w:tcPr>
            <w:tcW w:w="960" w:type="dxa"/>
            <w:tcBorders>
              <w:top w:val="nil"/>
              <w:left w:val="nil"/>
              <w:bottom w:val="single" w:sz="4" w:space="0" w:color="auto"/>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2020</w:t>
            </w:r>
          </w:p>
        </w:tc>
        <w:tc>
          <w:tcPr>
            <w:tcW w:w="960" w:type="dxa"/>
            <w:tcBorders>
              <w:top w:val="nil"/>
              <w:left w:val="nil"/>
              <w:bottom w:val="single" w:sz="4" w:space="0" w:color="auto"/>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0,8%</w:t>
            </w:r>
          </w:p>
        </w:tc>
        <w:tc>
          <w:tcPr>
            <w:tcW w:w="1140" w:type="dxa"/>
            <w:tcBorders>
              <w:top w:val="nil"/>
              <w:left w:val="nil"/>
              <w:bottom w:val="single" w:sz="4" w:space="0" w:color="auto"/>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0,6%</w:t>
            </w:r>
          </w:p>
        </w:tc>
        <w:tc>
          <w:tcPr>
            <w:tcW w:w="2480" w:type="dxa"/>
            <w:tcBorders>
              <w:top w:val="nil"/>
              <w:left w:val="nil"/>
              <w:bottom w:val="single" w:sz="4" w:space="0" w:color="auto"/>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1,2%</w:t>
            </w:r>
          </w:p>
        </w:tc>
        <w:tc>
          <w:tcPr>
            <w:tcW w:w="1180" w:type="dxa"/>
            <w:tcBorders>
              <w:top w:val="nil"/>
              <w:left w:val="nil"/>
              <w:bottom w:val="single" w:sz="4" w:space="0" w:color="auto"/>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1,6%</w:t>
            </w:r>
          </w:p>
        </w:tc>
        <w:tc>
          <w:tcPr>
            <w:tcW w:w="1120" w:type="dxa"/>
            <w:tcBorders>
              <w:top w:val="nil"/>
              <w:left w:val="nil"/>
              <w:bottom w:val="single" w:sz="4" w:space="0" w:color="auto"/>
              <w:right w:val="nil"/>
            </w:tcBorders>
            <w:shd w:val="clear" w:color="000000" w:fill="DCE6F1"/>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0,7%</w:t>
            </w:r>
          </w:p>
        </w:tc>
      </w:tr>
    </w:tbl>
    <w:p w:rsidR="00CD0D10" w:rsidRPr="0029163E" w:rsidRDefault="00CD0D10" w:rsidP="00CD0D10">
      <w:pPr>
        <w:rPr>
          <w:sz w:val="18"/>
          <w:szCs w:val="18"/>
        </w:rPr>
      </w:pPr>
      <w:r w:rsidRPr="0029163E">
        <w:rPr>
          <w:sz w:val="18"/>
          <w:szCs w:val="18"/>
        </w:rPr>
        <w:t>Fonte: ns. elaborazioni su dati Prometeia</w:t>
      </w:r>
    </w:p>
    <w:p w:rsidR="00CD0D10" w:rsidRDefault="00CD0D10" w:rsidP="00CD0D10">
      <w:r>
        <w:t>Si noti come i valori a prezzi costanti siano ancora ben lontani, nel loro complesso e soprattutto nei settori agricolo, manifatturiero ed edile, dai livelli pre-crisi.</w:t>
      </w:r>
    </w:p>
    <w:p w:rsidR="00CD0D10" w:rsidRDefault="00CD0D10" w:rsidP="00CD0D10"/>
    <w:p w:rsidR="00CD0D10" w:rsidRPr="00CD0D10" w:rsidRDefault="00CD0D10" w:rsidP="00CD0D10">
      <w:pPr>
        <w:rPr>
          <w:i/>
        </w:rPr>
      </w:pPr>
      <w:r>
        <w:rPr>
          <w:i/>
        </w:rPr>
        <w:t xml:space="preserve">Tab. 2 - </w:t>
      </w:r>
      <w:r w:rsidRPr="00CD0D10">
        <w:rPr>
          <w:i/>
        </w:rPr>
        <w:t xml:space="preserve">Valore aggiunto: andamento 2007-2020 </w:t>
      </w:r>
      <w:r>
        <w:rPr>
          <w:i/>
        </w:rPr>
        <w:t>(2017-2020: previsioni)</w:t>
      </w:r>
    </w:p>
    <w:tbl>
      <w:tblPr>
        <w:tblW w:w="7840" w:type="dxa"/>
        <w:tblCellMar>
          <w:left w:w="70" w:type="dxa"/>
          <w:right w:w="70" w:type="dxa"/>
        </w:tblCellMar>
        <w:tblLook w:val="04A0" w:firstRow="1" w:lastRow="0" w:firstColumn="1" w:lastColumn="0" w:noHBand="0" w:noVBand="1"/>
      </w:tblPr>
      <w:tblGrid>
        <w:gridCol w:w="960"/>
        <w:gridCol w:w="960"/>
        <w:gridCol w:w="1140"/>
        <w:gridCol w:w="2480"/>
        <w:gridCol w:w="1180"/>
        <w:gridCol w:w="1120"/>
      </w:tblGrid>
      <w:tr w:rsidR="00CD0D10" w:rsidTr="00CD0D10">
        <w:trPr>
          <w:trHeight w:val="300"/>
        </w:trPr>
        <w:tc>
          <w:tcPr>
            <w:tcW w:w="960" w:type="dxa"/>
            <w:tcBorders>
              <w:top w:val="single" w:sz="4" w:space="0" w:color="auto"/>
              <w:left w:val="nil"/>
              <w:bottom w:val="single" w:sz="4" w:space="0" w:color="auto"/>
              <w:right w:val="nil"/>
            </w:tcBorders>
            <w:shd w:val="clear" w:color="auto" w:fill="auto"/>
            <w:noWrap/>
            <w:vAlign w:val="bottom"/>
            <w:hideMark/>
          </w:tcPr>
          <w:p w:rsidR="00CD0D10" w:rsidRDefault="00CD0D10" w:rsidP="00CD0D10"/>
        </w:tc>
        <w:tc>
          <w:tcPr>
            <w:tcW w:w="960" w:type="dxa"/>
            <w:tcBorders>
              <w:top w:val="single" w:sz="4" w:space="0" w:color="auto"/>
              <w:left w:val="nil"/>
              <w:bottom w:val="single" w:sz="4" w:space="0" w:color="auto"/>
              <w:right w:val="nil"/>
            </w:tcBorders>
            <w:shd w:val="clear" w:color="auto" w:fill="auto"/>
            <w:noWrap/>
            <w:vAlign w:val="bottom"/>
            <w:hideMark/>
          </w:tcPr>
          <w:p w:rsidR="00CD0D10" w:rsidRDefault="00CD0D10" w:rsidP="00CD0D10">
            <w:pPr>
              <w:jc w:val="right"/>
              <w:rPr>
                <w:rFonts w:ascii="Calibri" w:hAnsi="Calibri" w:cs="Calibri"/>
                <w:color w:val="000000"/>
              </w:rPr>
            </w:pPr>
            <w:r>
              <w:rPr>
                <w:rFonts w:ascii="Calibri" w:hAnsi="Calibri" w:cs="Calibri"/>
                <w:color w:val="000000"/>
              </w:rPr>
              <w:t>Valore Aggiunto tot</w:t>
            </w:r>
          </w:p>
        </w:tc>
        <w:tc>
          <w:tcPr>
            <w:tcW w:w="1140" w:type="dxa"/>
            <w:tcBorders>
              <w:top w:val="single" w:sz="4" w:space="0" w:color="auto"/>
              <w:left w:val="nil"/>
              <w:bottom w:val="single" w:sz="4" w:space="0" w:color="auto"/>
              <w:right w:val="nil"/>
            </w:tcBorders>
            <w:shd w:val="clear" w:color="auto" w:fill="auto"/>
            <w:noWrap/>
            <w:vAlign w:val="bottom"/>
            <w:hideMark/>
          </w:tcPr>
          <w:p w:rsidR="00CD0D10" w:rsidRDefault="00CD0D10" w:rsidP="00CD0D10">
            <w:pPr>
              <w:jc w:val="right"/>
              <w:rPr>
                <w:rFonts w:ascii="Calibri" w:hAnsi="Calibri" w:cs="Calibri"/>
                <w:color w:val="000000"/>
              </w:rPr>
            </w:pPr>
            <w:r>
              <w:rPr>
                <w:rFonts w:ascii="Calibri" w:hAnsi="Calibri" w:cs="Calibri"/>
                <w:color w:val="000000"/>
              </w:rPr>
              <w:t>Agricoltura</w:t>
            </w:r>
          </w:p>
        </w:tc>
        <w:tc>
          <w:tcPr>
            <w:tcW w:w="2480" w:type="dxa"/>
            <w:tcBorders>
              <w:top w:val="single" w:sz="4" w:space="0" w:color="auto"/>
              <w:left w:val="nil"/>
              <w:bottom w:val="single" w:sz="4" w:space="0" w:color="auto"/>
              <w:right w:val="nil"/>
            </w:tcBorders>
            <w:shd w:val="clear" w:color="auto" w:fill="auto"/>
            <w:noWrap/>
            <w:vAlign w:val="bottom"/>
            <w:hideMark/>
          </w:tcPr>
          <w:p w:rsidR="00CD0D10" w:rsidRDefault="00CD0D10" w:rsidP="00CD0D10">
            <w:pPr>
              <w:jc w:val="right"/>
              <w:rPr>
                <w:rFonts w:ascii="Calibri" w:hAnsi="Calibri" w:cs="Calibri"/>
                <w:color w:val="000000"/>
              </w:rPr>
            </w:pPr>
            <w:r>
              <w:rPr>
                <w:rFonts w:ascii="Calibri" w:hAnsi="Calibri" w:cs="Calibri"/>
                <w:color w:val="000000"/>
              </w:rPr>
              <w:t>Industria in senso stretto</w:t>
            </w:r>
          </w:p>
        </w:tc>
        <w:tc>
          <w:tcPr>
            <w:tcW w:w="1180" w:type="dxa"/>
            <w:tcBorders>
              <w:top w:val="single" w:sz="4" w:space="0" w:color="auto"/>
              <w:left w:val="nil"/>
              <w:bottom w:val="single" w:sz="4" w:space="0" w:color="auto"/>
              <w:right w:val="nil"/>
            </w:tcBorders>
            <w:shd w:val="clear" w:color="auto" w:fill="auto"/>
            <w:noWrap/>
            <w:vAlign w:val="bottom"/>
            <w:hideMark/>
          </w:tcPr>
          <w:p w:rsidR="00CD0D10" w:rsidRDefault="00CD0D10" w:rsidP="00CD0D10">
            <w:pPr>
              <w:jc w:val="right"/>
              <w:rPr>
                <w:rFonts w:ascii="Calibri" w:hAnsi="Calibri" w:cs="Calibri"/>
                <w:color w:val="000000"/>
              </w:rPr>
            </w:pPr>
            <w:r>
              <w:rPr>
                <w:rFonts w:ascii="Calibri" w:hAnsi="Calibri" w:cs="Calibri"/>
                <w:color w:val="000000"/>
              </w:rPr>
              <w:t>Costruzioni</w:t>
            </w:r>
          </w:p>
        </w:tc>
        <w:tc>
          <w:tcPr>
            <w:tcW w:w="1120" w:type="dxa"/>
            <w:tcBorders>
              <w:top w:val="single" w:sz="4" w:space="0" w:color="auto"/>
              <w:left w:val="nil"/>
              <w:bottom w:val="single" w:sz="4" w:space="0" w:color="auto"/>
              <w:right w:val="nil"/>
            </w:tcBorders>
            <w:shd w:val="clear" w:color="auto" w:fill="auto"/>
            <w:noWrap/>
            <w:vAlign w:val="bottom"/>
            <w:hideMark/>
          </w:tcPr>
          <w:p w:rsidR="00CD0D10" w:rsidRDefault="00CD0D10" w:rsidP="00CD0D10">
            <w:pPr>
              <w:jc w:val="right"/>
              <w:rPr>
                <w:rFonts w:ascii="Calibri" w:hAnsi="Calibri" w:cs="Calibri"/>
                <w:color w:val="000000"/>
              </w:rPr>
            </w:pPr>
            <w:r>
              <w:rPr>
                <w:rFonts w:ascii="Calibri" w:hAnsi="Calibri" w:cs="Calibri"/>
                <w:color w:val="000000"/>
              </w:rPr>
              <w:t>Servizi</w:t>
            </w:r>
          </w:p>
        </w:tc>
      </w:tr>
      <w:tr w:rsidR="00CD0D10" w:rsidRPr="00CF12B2" w:rsidTr="00CD0D10">
        <w:trPr>
          <w:trHeight w:val="300"/>
        </w:trPr>
        <w:tc>
          <w:tcPr>
            <w:tcW w:w="960" w:type="dxa"/>
            <w:tcBorders>
              <w:top w:val="single" w:sz="4" w:space="0" w:color="auto"/>
              <w:left w:val="nil"/>
              <w:bottom w:val="nil"/>
              <w:right w:val="nil"/>
            </w:tcBorders>
            <w:shd w:val="clear" w:color="auto" w:fill="auto"/>
            <w:noWrap/>
            <w:vAlign w:val="bottom"/>
          </w:tcPr>
          <w:p w:rsidR="00CD0D10" w:rsidRPr="00CF12B2" w:rsidRDefault="00CD0D10" w:rsidP="00CD0D10">
            <w:pPr>
              <w:spacing w:after="0" w:line="240" w:lineRule="auto"/>
              <w:jc w:val="right"/>
              <w:rPr>
                <w:rFonts w:ascii="Calibri" w:eastAsia="Times New Roman" w:hAnsi="Calibri" w:cs="Calibri"/>
                <w:color w:val="000000"/>
                <w:lang w:eastAsia="it-IT"/>
              </w:rPr>
            </w:pPr>
          </w:p>
        </w:tc>
        <w:tc>
          <w:tcPr>
            <w:tcW w:w="960" w:type="dxa"/>
            <w:tcBorders>
              <w:top w:val="single" w:sz="4" w:space="0" w:color="auto"/>
              <w:left w:val="nil"/>
              <w:bottom w:val="nil"/>
              <w:right w:val="nil"/>
            </w:tcBorders>
            <w:shd w:val="clear" w:color="auto" w:fill="auto"/>
            <w:noWrap/>
            <w:vAlign w:val="bottom"/>
          </w:tcPr>
          <w:p w:rsidR="00CD0D10" w:rsidRPr="00CF12B2" w:rsidRDefault="00CD0D10" w:rsidP="00CD0D10">
            <w:pPr>
              <w:spacing w:after="0" w:line="240" w:lineRule="auto"/>
              <w:jc w:val="right"/>
              <w:rPr>
                <w:rFonts w:ascii="Calibri" w:eastAsia="Times New Roman" w:hAnsi="Calibri" w:cs="Calibri"/>
                <w:color w:val="000000"/>
                <w:lang w:eastAsia="it-IT"/>
              </w:rPr>
            </w:pPr>
          </w:p>
        </w:tc>
        <w:tc>
          <w:tcPr>
            <w:tcW w:w="1140" w:type="dxa"/>
            <w:tcBorders>
              <w:top w:val="single" w:sz="4" w:space="0" w:color="auto"/>
              <w:left w:val="nil"/>
              <w:bottom w:val="nil"/>
              <w:right w:val="nil"/>
            </w:tcBorders>
            <w:shd w:val="clear" w:color="auto" w:fill="auto"/>
            <w:noWrap/>
            <w:vAlign w:val="bottom"/>
          </w:tcPr>
          <w:p w:rsidR="00CD0D10" w:rsidRPr="00CF12B2" w:rsidRDefault="00CD0D10" w:rsidP="00CD0D10">
            <w:pPr>
              <w:spacing w:after="0" w:line="240" w:lineRule="auto"/>
              <w:jc w:val="right"/>
              <w:rPr>
                <w:rFonts w:ascii="Calibri" w:eastAsia="Times New Roman" w:hAnsi="Calibri" w:cs="Calibri"/>
                <w:color w:val="000000"/>
                <w:lang w:eastAsia="it-IT"/>
              </w:rPr>
            </w:pPr>
          </w:p>
        </w:tc>
        <w:tc>
          <w:tcPr>
            <w:tcW w:w="2480" w:type="dxa"/>
            <w:tcBorders>
              <w:top w:val="single" w:sz="4" w:space="0" w:color="auto"/>
              <w:left w:val="nil"/>
              <w:bottom w:val="nil"/>
              <w:right w:val="nil"/>
            </w:tcBorders>
            <w:shd w:val="clear" w:color="auto" w:fill="auto"/>
            <w:noWrap/>
            <w:vAlign w:val="bottom"/>
          </w:tcPr>
          <w:p w:rsidR="00CD0D10" w:rsidRPr="00CF12B2" w:rsidRDefault="00CD0D10" w:rsidP="00CD0D10">
            <w:pPr>
              <w:spacing w:after="0" w:line="240" w:lineRule="auto"/>
              <w:jc w:val="right"/>
              <w:rPr>
                <w:rFonts w:ascii="Calibri" w:eastAsia="Times New Roman" w:hAnsi="Calibri" w:cs="Calibri"/>
                <w:color w:val="000000"/>
                <w:lang w:eastAsia="it-IT"/>
              </w:rPr>
            </w:pPr>
          </w:p>
        </w:tc>
        <w:tc>
          <w:tcPr>
            <w:tcW w:w="1180" w:type="dxa"/>
            <w:tcBorders>
              <w:top w:val="single" w:sz="4" w:space="0" w:color="auto"/>
              <w:left w:val="nil"/>
              <w:bottom w:val="nil"/>
              <w:right w:val="nil"/>
            </w:tcBorders>
            <w:shd w:val="clear" w:color="auto" w:fill="auto"/>
            <w:noWrap/>
            <w:vAlign w:val="bottom"/>
          </w:tcPr>
          <w:p w:rsidR="00CD0D10" w:rsidRPr="00CF12B2" w:rsidRDefault="00CD0D10" w:rsidP="00CD0D10">
            <w:pPr>
              <w:spacing w:after="0" w:line="240" w:lineRule="auto"/>
              <w:jc w:val="right"/>
              <w:rPr>
                <w:rFonts w:ascii="Calibri" w:eastAsia="Times New Roman" w:hAnsi="Calibri" w:cs="Calibri"/>
                <w:color w:val="000000"/>
                <w:lang w:eastAsia="it-IT"/>
              </w:rPr>
            </w:pPr>
          </w:p>
        </w:tc>
        <w:tc>
          <w:tcPr>
            <w:tcW w:w="1120" w:type="dxa"/>
            <w:tcBorders>
              <w:top w:val="single" w:sz="4" w:space="0" w:color="auto"/>
              <w:left w:val="nil"/>
              <w:bottom w:val="nil"/>
              <w:right w:val="nil"/>
            </w:tcBorders>
            <w:shd w:val="clear" w:color="auto" w:fill="auto"/>
            <w:noWrap/>
            <w:vAlign w:val="bottom"/>
          </w:tcPr>
          <w:p w:rsidR="00CD0D10" w:rsidRPr="00CF12B2" w:rsidRDefault="00CD0D10" w:rsidP="00CD0D10">
            <w:pPr>
              <w:spacing w:after="0" w:line="240" w:lineRule="auto"/>
              <w:jc w:val="right"/>
              <w:rPr>
                <w:rFonts w:ascii="Calibri" w:eastAsia="Times New Roman" w:hAnsi="Calibri" w:cs="Calibri"/>
                <w:color w:val="000000"/>
                <w:lang w:eastAsia="it-IT"/>
              </w:rPr>
            </w:pPr>
          </w:p>
        </w:tc>
      </w:tr>
      <w:tr w:rsidR="00CD0D10" w:rsidRPr="00CF12B2" w:rsidTr="00CD0D10">
        <w:trPr>
          <w:trHeight w:val="300"/>
        </w:trPr>
        <w:tc>
          <w:tcPr>
            <w:tcW w:w="96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2007</w:t>
            </w:r>
          </w:p>
        </w:tc>
        <w:tc>
          <w:tcPr>
            <w:tcW w:w="96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9633</w:t>
            </w:r>
          </w:p>
        </w:tc>
        <w:tc>
          <w:tcPr>
            <w:tcW w:w="114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103</w:t>
            </w:r>
          </w:p>
        </w:tc>
        <w:tc>
          <w:tcPr>
            <w:tcW w:w="248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2457</w:t>
            </w:r>
          </w:p>
        </w:tc>
        <w:tc>
          <w:tcPr>
            <w:tcW w:w="118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660</w:t>
            </w:r>
          </w:p>
        </w:tc>
        <w:tc>
          <w:tcPr>
            <w:tcW w:w="112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6412</w:t>
            </w:r>
          </w:p>
        </w:tc>
      </w:tr>
      <w:tr w:rsidR="00CD0D10" w:rsidRPr="00CF12B2" w:rsidTr="00CD0D10">
        <w:trPr>
          <w:trHeight w:val="300"/>
        </w:trPr>
        <w:tc>
          <w:tcPr>
            <w:tcW w:w="96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2008</w:t>
            </w:r>
          </w:p>
        </w:tc>
        <w:tc>
          <w:tcPr>
            <w:tcW w:w="96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9459</w:t>
            </w:r>
          </w:p>
        </w:tc>
        <w:tc>
          <w:tcPr>
            <w:tcW w:w="114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96</w:t>
            </w:r>
          </w:p>
        </w:tc>
        <w:tc>
          <w:tcPr>
            <w:tcW w:w="248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2569</w:t>
            </w:r>
          </w:p>
        </w:tc>
        <w:tc>
          <w:tcPr>
            <w:tcW w:w="118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684</w:t>
            </w:r>
          </w:p>
        </w:tc>
        <w:tc>
          <w:tcPr>
            <w:tcW w:w="112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6110</w:t>
            </w:r>
          </w:p>
        </w:tc>
      </w:tr>
      <w:tr w:rsidR="00CD0D10" w:rsidRPr="00CF12B2" w:rsidTr="00CD0D10">
        <w:trPr>
          <w:trHeight w:val="300"/>
        </w:trPr>
        <w:tc>
          <w:tcPr>
            <w:tcW w:w="96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2009</w:t>
            </w:r>
          </w:p>
        </w:tc>
        <w:tc>
          <w:tcPr>
            <w:tcW w:w="96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9329</w:t>
            </w:r>
          </w:p>
        </w:tc>
        <w:tc>
          <w:tcPr>
            <w:tcW w:w="114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93</w:t>
            </w:r>
          </w:p>
        </w:tc>
        <w:tc>
          <w:tcPr>
            <w:tcW w:w="248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2133</w:t>
            </w:r>
          </w:p>
        </w:tc>
        <w:tc>
          <w:tcPr>
            <w:tcW w:w="118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656</w:t>
            </w:r>
          </w:p>
        </w:tc>
        <w:tc>
          <w:tcPr>
            <w:tcW w:w="112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6448</w:t>
            </w:r>
          </w:p>
        </w:tc>
      </w:tr>
      <w:tr w:rsidR="00CD0D10" w:rsidRPr="00CF12B2" w:rsidTr="00CD0D10">
        <w:trPr>
          <w:trHeight w:val="300"/>
        </w:trPr>
        <w:tc>
          <w:tcPr>
            <w:tcW w:w="96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2010</w:t>
            </w:r>
          </w:p>
        </w:tc>
        <w:tc>
          <w:tcPr>
            <w:tcW w:w="96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9602</w:t>
            </w:r>
          </w:p>
        </w:tc>
        <w:tc>
          <w:tcPr>
            <w:tcW w:w="114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91</w:t>
            </w:r>
          </w:p>
        </w:tc>
        <w:tc>
          <w:tcPr>
            <w:tcW w:w="248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2245</w:t>
            </w:r>
          </w:p>
        </w:tc>
        <w:tc>
          <w:tcPr>
            <w:tcW w:w="118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650</w:t>
            </w:r>
          </w:p>
        </w:tc>
        <w:tc>
          <w:tcPr>
            <w:tcW w:w="112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6615</w:t>
            </w:r>
          </w:p>
        </w:tc>
      </w:tr>
      <w:tr w:rsidR="00CD0D10" w:rsidRPr="00CF12B2" w:rsidTr="00CD0D10">
        <w:trPr>
          <w:trHeight w:val="300"/>
        </w:trPr>
        <w:tc>
          <w:tcPr>
            <w:tcW w:w="96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2011</w:t>
            </w:r>
          </w:p>
        </w:tc>
        <w:tc>
          <w:tcPr>
            <w:tcW w:w="96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9483</w:t>
            </w:r>
          </w:p>
        </w:tc>
        <w:tc>
          <w:tcPr>
            <w:tcW w:w="114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90</w:t>
            </w:r>
          </w:p>
        </w:tc>
        <w:tc>
          <w:tcPr>
            <w:tcW w:w="248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2145</w:t>
            </w:r>
          </w:p>
        </w:tc>
        <w:tc>
          <w:tcPr>
            <w:tcW w:w="118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598</w:t>
            </w:r>
          </w:p>
        </w:tc>
        <w:tc>
          <w:tcPr>
            <w:tcW w:w="112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6651</w:t>
            </w:r>
          </w:p>
        </w:tc>
      </w:tr>
      <w:tr w:rsidR="00CD0D10" w:rsidRPr="00CF12B2" w:rsidTr="00CD0D10">
        <w:trPr>
          <w:trHeight w:val="300"/>
        </w:trPr>
        <w:tc>
          <w:tcPr>
            <w:tcW w:w="96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2012</w:t>
            </w:r>
          </w:p>
        </w:tc>
        <w:tc>
          <w:tcPr>
            <w:tcW w:w="96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9219</w:t>
            </w:r>
          </w:p>
        </w:tc>
        <w:tc>
          <w:tcPr>
            <w:tcW w:w="114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89</w:t>
            </w:r>
          </w:p>
        </w:tc>
        <w:tc>
          <w:tcPr>
            <w:tcW w:w="248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2107</w:t>
            </w:r>
          </w:p>
        </w:tc>
        <w:tc>
          <w:tcPr>
            <w:tcW w:w="118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561</w:t>
            </w:r>
          </w:p>
        </w:tc>
        <w:tc>
          <w:tcPr>
            <w:tcW w:w="112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6462</w:t>
            </w:r>
          </w:p>
        </w:tc>
      </w:tr>
      <w:tr w:rsidR="00CD0D10" w:rsidRPr="00CF12B2" w:rsidTr="00CD0D10">
        <w:trPr>
          <w:trHeight w:val="300"/>
        </w:trPr>
        <w:tc>
          <w:tcPr>
            <w:tcW w:w="96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2013</w:t>
            </w:r>
          </w:p>
        </w:tc>
        <w:tc>
          <w:tcPr>
            <w:tcW w:w="96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8965</w:t>
            </w:r>
          </w:p>
        </w:tc>
        <w:tc>
          <w:tcPr>
            <w:tcW w:w="114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89</w:t>
            </w:r>
          </w:p>
        </w:tc>
        <w:tc>
          <w:tcPr>
            <w:tcW w:w="248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2009</w:t>
            </w:r>
          </w:p>
        </w:tc>
        <w:tc>
          <w:tcPr>
            <w:tcW w:w="118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517</w:t>
            </w:r>
          </w:p>
        </w:tc>
        <w:tc>
          <w:tcPr>
            <w:tcW w:w="112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6350</w:t>
            </w:r>
          </w:p>
        </w:tc>
      </w:tr>
      <w:tr w:rsidR="00CD0D10" w:rsidRPr="00CF12B2" w:rsidTr="00CD0D10">
        <w:trPr>
          <w:trHeight w:val="300"/>
        </w:trPr>
        <w:tc>
          <w:tcPr>
            <w:tcW w:w="96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2014</w:t>
            </w:r>
          </w:p>
        </w:tc>
        <w:tc>
          <w:tcPr>
            <w:tcW w:w="96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9053</w:t>
            </w:r>
          </w:p>
        </w:tc>
        <w:tc>
          <w:tcPr>
            <w:tcW w:w="114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79</w:t>
            </w:r>
          </w:p>
        </w:tc>
        <w:tc>
          <w:tcPr>
            <w:tcW w:w="248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2017</w:t>
            </w:r>
          </w:p>
        </w:tc>
        <w:tc>
          <w:tcPr>
            <w:tcW w:w="118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464</w:t>
            </w:r>
          </w:p>
        </w:tc>
        <w:tc>
          <w:tcPr>
            <w:tcW w:w="112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6493</w:t>
            </w:r>
          </w:p>
        </w:tc>
      </w:tr>
      <w:tr w:rsidR="00CD0D10" w:rsidRPr="00CF12B2" w:rsidTr="00CD0D10">
        <w:trPr>
          <w:trHeight w:val="300"/>
        </w:trPr>
        <w:tc>
          <w:tcPr>
            <w:tcW w:w="96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2015</w:t>
            </w:r>
          </w:p>
        </w:tc>
        <w:tc>
          <w:tcPr>
            <w:tcW w:w="96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8997</w:t>
            </w:r>
          </w:p>
        </w:tc>
        <w:tc>
          <w:tcPr>
            <w:tcW w:w="114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84</w:t>
            </w:r>
          </w:p>
        </w:tc>
        <w:tc>
          <w:tcPr>
            <w:tcW w:w="248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1986</w:t>
            </w:r>
          </w:p>
        </w:tc>
        <w:tc>
          <w:tcPr>
            <w:tcW w:w="118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447</w:t>
            </w:r>
          </w:p>
        </w:tc>
        <w:tc>
          <w:tcPr>
            <w:tcW w:w="112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6479</w:t>
            </w:r>
          </w:p>
        </w:tc>
      </w:tr>
      <w:tr w:rsidR="00CD0D10" w:rsidRPr="00CF12B2" w:rsidTr="00CD0D10">
        <w:trPr>
          <w:trHeight w:val="300"/>
        </w:trPr>
        <w:tc>
          <w:tcPr>
            <w:tcW w:w="96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2016</w:t>
            </w:r>
          </w:p>
        </w:tc>
        <w:tc>
          <w:tcPr>
            <w:tcW w:w="96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9062</w:t>
            </w:r>
          </w:p>
        </w:tc>
        <w:tc>
          <w:tcPr>
            <w:tcW w:w="114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91</w:t>
            </w:r>
          </w:p>
        </w:tc>
        <w:tc>
          <w:tcPr>
            <w:tcW w:w="248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2047</w:t>
            </w:r>
          </w:p>
        </w:tc>
        <w:tc>
          <w:tcPr>
            <w:tcW w:w="118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461</w:t>
            </w:r>
          </w:p>
        </w:tc>
        <w:tc>
          <w:tcPr>
            <w:tcW w:w="112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6463</w:t>
            </w:r>
          </w:p>
        </w:tc>
      </w:tr>
      <w:tr w:rsidR="00CD0D10" w:rsidRPr="00CF12B2" w:rsidTr="00CD0D10">
        <w:trPr>
          <w:trHeight w:val="300"/>
        </w:trPr>
        <w:tc>
          <w:tcPr>
            <w:tcW w:w="96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2017</w:t>
            </w:r>
          </w:p>
        </w:tc>
        <w:tc>
          <w:tcPr>
            <w:tcW w:w="96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9124</w:t>
            </w:r>
          </w:p>
        </w:tc>
        <w:tc>
          <w:tcPr>
            <w:tcW w:w="114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83</w:t>
            </w:r>
          </w:p>
        </w:tc>
        <w:tc>
          <w:tcPr>
            <w:tcW w:w="248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2081</w:t>
            </w:r>
          </w:p>
        </w:tc>
        <w:tc>
          <w:tcPr>
            <w:tcW w:w="118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464</w:t>
            </w:r>
          </w:p>
        </w:tc>
        <w:tc>
          <w:tcPr>
            <w:tcW w:w="112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6496</w:t>
            </w:r>
          </w:p>
        </w:tc>
      </w:tr>
      <w:tr w:rsidR="00CD0D10" w:rsidRPr="00CF12B2" w:rsidTr="00CD0D10">
        <w:trPr>
          <w:trHeight w:val="300"/>
        </w:trPr>
        <w:tc>
          <w:tcPr>
            <w:tcW w:w="96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2018</w:t>
            </w:r>
          </w:p>
        </w:tc>
        <w:tc>
          <w:tcPr>
            <w:tcW w:w="96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9210</w:t>
            </w:r>
          </w:p>
        </w:tc>
        <w:tc>
          <w:tcPr>
            <w:tcW w:w="114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85</w:t>
            </w:r>
          </w:p>
        </w:tc>
        <w:tc>
          <w:tcPr>
            <w:tcW w:w="248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2114</w:t>
            </w:r>
          </w:p>
        </w:tc>
        <w:tc>
          <w:tcPr>
            <w:tcW w:w="118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473</w:t>
            </w:r>
          </w:p>
        </w:tc>
        <w:tc>
          <w:tcPr>
            <w:tcW w:w="1120" w:type="dxa"/>
            <w:tcBorders>
              <w:top w:val="nil"/>
              <w:left w:val="nil"/>
              <w:bottom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6538</w:t>
            </w:r>
          </w:p>
        </w:tc>
      </w:tr>
      <w:tr w:rsidR="00CD0D10" w:rsidRPr="00CF12B2" w:rsidTr="00CD0D10">
        <w:trPr>
          <w:trHeight w:val="300"/>
        </w:trPr>
        <w:tc>
          <w:tcPr>
            <w:tcW w:w="960" w:type="dxa"/>
            <w:tcBorders>
              <w:top w:val="nil"/>
              <w:left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2019</w:t>
            </w:r>
          </w:p>
        </w:tc>
        <w:tc>
          <w:tcPr>
            <w:tcW w:w="960" w:type="dxa"/>
            <w:tcBorders>
              <w:top w:val="nil"/>
              <w:left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9304</w:t>
            </w:r>
          </w:p>
        </w:tc>
        <w:tc>
          <w:tcPr>
            <w:tcW w:w="1140" w:type="dxa"/>
            <w:tcBorders>
              <w:top w:val="nil"/>
              <w:left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86</w:t>
            </w:r>
          </w:p>
        </w:tc>
        <w:tc>
          <w:tcPr>
            <w:tcW w:w="2480" w:type="dxa"/>
            <w:tcBorders>
              <w:top w:val="nil"/>
              <w:left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2146</w:t>
            </w:r>
          </w:p>
        </w:tc>
        <w:tc>
          <w:tcPr>
            <w:tcW w:w="1180" w:type="dxa"/>
            <w:tcBorders>
              <w:top w:val="nil"/>
              <w:left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481</w:t>
            </w:r>
          </w:p>
        </w:tc>
        <w:tc>
          <w:tcPr>
            <w:tcW w:w="1120" w:type="dxa"/>
            <w:tcBorders>
              <w:top w:val="nil"/>
              <w:left w:val="nil"/>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6592</w:t>
            </w:r>
          </w:p>
        </w:tc>
      </w:tr>
      <w:tr w:rsidR="00CD0D10" w:rsidRPr="00CF12B2" w:rsidTr="00CD0D10">
        <w:trPr>
          <w:trHeight w:val="300"/>
        </w:trPr>
        <w:tc>
          <w:tcPr>
            <w:tcW w:w="960" w:type="dxa"/>
            <w:tcBorders>
              <w:top w:val="nil"/>
              <w:left w:val="nil"/>
              <w:bottom w:val="single" w:sz="4" w:space="0" w:color="auto"/>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2020</w:t>
            </w:r>
          </w:p>
        </w:tc>
        <w:tc>
          <w:tcPr>
            <w:tcW w:w="960" w:type="dxa"/>
            <w:tcBorders>
              <w:top w:val="nil"/>
              <w:left w:val="nil"/>
              <w:bottom w:val="single" w:sz="4" w:space="0" w:color="auto"/>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9382</w:t>
            </w:r>
          </w:p>
        </w:tc>
        <w:tc>
          <w:tcPr>
            <w:tcW w:w="1140" w:type="dxa"/>
            <w:tcBorders>
              <w:top w:val="nil"/>
              <w:left w:val="nil"/>
              <w:bottom w:val="single" w:sz="4" w:space="0" w:color="auto"/>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86</w:t>
            </w:r>
          </w:p>
        </w:tc>
        <w:tc>
          <w:tcPr>
            <w:tcW w:w="2480" w:type="dxa"/>
            <w:tcBorders>
              <w:top w:val="nil"/>
              <w:left w:val="nil"/>
              <w:bottom w:val="single" w:sz="4" w:space="0" w:color="auto"/>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2172</w:t>
            </w:r>
          </w:p>
        </w:tc>
        <w:tc>
          <w:tcPr>
            <w:tcW w:w="1180" w:type="dxa"/>
            <w:tcBorders>
              <w:top w:val="nil"/>
              <w:left w:val="nil"/>
              <w:bottom w:val="single" w:sz="4" w:space="0" w:color="auto"/>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489</w:t>
            </w:r>
          </w:p>
        </w:tc>
        <w:tc>
          <w:tcPr>
            <w:tcW w:w="1120" w:type="dxa"/>
            <w:tcBorders>
              <w:top w:val="nil"/>
              <w:left w:val="nil"/>
              <w:bottom w:val="single" w:sz="4" w:space="0" w:color="auto"/>
              <w:right w:val="nil"/>
            </w:tcBorders>
            <w:shd w:val="clear" w:color="auto" w:fill="auto"/>
            <w:noWrap/>
            <w:vAlign w:val="bottom"/>
            <w:hideMark/>
          </w:tcPr>
          <w:p w:rsidR="00CD0D10" w:rsidRPr="00CF12B2" w:rsidRDefault="00CD0D10" w:rsidP="00CD0D10">
            <w:pPr>
              <w:spacing w:after="0" w:line="240" w:lineRule="auto"/>
              <w:jc w:val="right"/>
              <w:rPr>
                <w:rFonts w:ascii="Calibri" w:eastAsia="Times New Roman" w:hAnsi="Calibri" w:cs="Calibri"/>
                <w:color w:val="000000"/>
                <w:lang w:eastAsia="it-IT"/>
              </w:rPr>
            </w:pPr>
            <w:r w:rsidRPr="00CF12B2">
              <w:rPr>
                <w:rFonts w:ascii="Calibri" w:eastAsia="Times New Roman" w:hAnsi="Calibri" w:cs="Calibri"/>
                <w:color w:val="000000"/>
                <w:lang w:eastAsia="it-IT"/>
              </w:rPr>
              <w:t>6635</w:t>
            </w:r>
          </w:p>
        </w:tc>
      </w:tr>
    </w:tbl>
    <w:p w:rsidR="00CD0D10" w:rsidRPr="0029163E" w:rsidRDefault="00CD0D10" w:rsidP="00CD0D10">
      <w:pPr>
        <w:rPr>
          <w:sz w:val="18"/>
          <w:szCs w:val="18"/>
        </w:rPr>
      </w:pPr>
      <w:r w:rsidRPr="0029163E">
        <w:rPr>
          <w:sz w:val="18"/>
          <w:szCs w:val="18"/>
        </w:rPr>
        <w:t>Fonte: ns. elaborazioni su dati Prometeia</w:t>
      </w:r>
    </w:p>
    <w:p w:rsidR="00CD0D10" w:rsidRDefault="00CD0D10" w:rsidP="00CD0D10"/>
    <w:p w:rsidR="00CD0D10" w:rsidRDefault="00CD0D10" w:rsidP="00CD0D10">
      <w:pPr>
        <w:jc w:val="both"/>
      </w:pPr>
      <w:r>
        <w:t>Per quanto riguarda i rapporti con l’estero, si veda il grafico successivo, relativo a importazioni e esportazioni in dinamica annua, dove si vede come solo in singoli anni (2008, 2009, 2012 e 2016) vi siano stati arretramenti dell’export, che complessivamente alla fine non hanno compromesso una dinamica ascendente.</w:t>
      </w:r>
    </w:p>
    <w:p w:rsidR="00CD0D10" w:rsidRPr="00CD0D10" w:rsidRDefault="00CD0D10" w:rsidP="00CD0D10">
      <w:pPr>
        <w:rPr>
          <w:i/>
        </w:rPr>
      </w:pPr>
      <w:r w:rsidRPr="00CD0D10">
        <w:rPr>
          <w:i/>
        </w:rPr>
        <w:t>Graf. 2 - Export import: andamento annuale (variazioni percentuali)</w:t>
      </w:r>
    </w:p>
    <w:p w:rsidR="00CD0D10" w:rsidRDefault="00CD0D10" w:rsidP="00CD0D10">
      <w:r>
        <w:rPr>
          <w:noProof/>
          <w:lang w:eastAsia="it-IT"/>
        </w:rPr>
        <w:drawing>
          <wp:inline distT="0" distB="0" distL="0" distR="0" wp14:anchorId="0DFF90E0" wp14:editId="206589D7">
            <wp:extent cx="6120130" cy="2992120"/>
            <wp:effectExtent l="0" t="0" r="0" b="0"/>
            <wp:docPr id="12" name="Gra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D0D10" w:rsidRPr="0029163E" w:rsidRDefault="00CD0D10" w:rsidP="00CD0D10">
      <w:pPr>
        <w:rPr>
          <w:sz w:val="18"/>
          <w:szCs w:val="18"/>
        </w:rPr>
      </w:pPr>
      <w:r w:rsidRPr="0029163E">
        <w:rPr>
          <w:sz w:val="18"/>
          <w:szCs w:val="18"/>
        </w:rPr>
        <w:t>Fonte: ns. elaborazioni su dati Prometeia</w:t>
      </w:r>
    </w:p>
    <w:p w:rsidR="00CD0D10" w:rsidRDefault="00CD0D10" w:rsidP="00CD0D10"/>
    <w:p w:rsidR="00CD0D10" w:rsidRDefault="00CD0D10" w:rsidP="00CD0D10">
      <w:r>
        <w:t>Sull’export degli anni recenti, peraltro, torneremo in uno dei prossimi capitoli.</w:t>
      </w:r>
    </w:p>
    <w:p w:rsidR="00CD0D10" w:rsidRDefault="00CD0D10" w:rsidP="00CD0D10"/>
    <w:p w:rsidR="00CD0D10" w:rsidRDefault="00CD0D10" w:rsidP="00CD0D10">
      <w:r>
        <w:t>Infine vediamo alcuni dati relativi alle dinamiche del lavoro, che verranno analizzate più in dettaglio, riguardo al lavoro dipendente, nel prossimo capitolo.</w:t>
      </w:r>
    </w:p>
    <w:p w:rsidR="00CD0D10" w:rsidRDefault="00CD0D10" w:rsidP="00CD0D10">
      <w:pPr>
        <w:jc w:val="both"/>
      </w:pPr>
      <w:r>
        <w:t>Come dato riassuntivo complessivo consideriamo quello del tasso di disoccupazione che, è passato, da meno del 4% nel 2007, a poco meno del 10% nel 2013, con una crescita abbastanza costante, per poi impennarsi ad oltre il 17% del 2014, ed oscillare poi intorno al 10%; ancora quest’anno e l’anno prossimo, dovrebbe permanere sopra l’8%, valore doppio rispetto a quello di dieci anni fa.</w:t>
      </w:r>
    </w:p>
    <w:p w:rsidR="00CD0D10" w:rsidRDefault="00CD0D10" w:rsidP="00CD0D10">
      <w:pPr>
        <w:jc w:val="both"/>
      </w:pPr>
    </w:p>
    <w:p w:rsidR="00CD0D10" w:rsidRPr="00CD0D10" w:rsidRDefault="00CD0D10" w:rsidP="00CD0D10">
      <w:pPr>
        <w:jc w:val="both"/>
        <w:rPr>
          <w:i/>
        </w:rPr>
      </w:pPr>
      <w:r w:rsidRPr="00CD0D10">
        <w:rPr>
          <w:i/>
        </w:rPr>
        <w:t>Graf. 2.</w:t>
      </w:r>
    </w:p>
    <w:p w:rsidR="00CD0D10" w:rsidRDefault="00CD0D10" w:rsidP="00CD0D10">
      <w:r>
        <w:rPr>
          <w:noProof/>
          <w:lang w:eastAsia="it-IT"/>
        </w:rPr>
        <w:drawing>
          <wp:inline distT="0" distB="0" distL="0" distR="0" wp14:anchorId="7265B3E0" wp14:editId="42B2901C">
            <wp:extent cx="4695825" cy="2743200"/>
            <wp:effectExtent l="0" t="0" r="9525" b="0"/>
            <wp:docPr id="13" name="Gra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0D10" w:rsidRPr="0029163E" w:rsidRDefault="00CD0D10" w:rsidP="00CD0D10">
      <w:pPr>
        <w:rPr>
          <w:sz w:val="18"/>
          <w:szCs w:val="18"/>
        </w:rPr>
      </w:pPr>
      <w:r w:rsidRPr="0029163E">
        <w:rPr>
          <w:sz w:val="18"/>
          <w:szCs w:val="18"/>
        </w:rPr>
        <w:t>Fonte: ns. elaborazioni su dati Prometeia</w:t>
      </w:r>
    </w:p>
    <w:p w:rsidR="00CD0D10" w:rsidRDefault="00CD0D10" w:rsidP="00CD0D10"/>
    <w:p w:rsidR="00CD0D10" w:rsidRDefault="00CD0D10" w:rsidP="00CD0D10">
      <w:pPr>
        <w:jc w:val="both"/>
      </w:pPr>
      <w:r>
        <w:t>Infine consideriamo il dato delle unità di lavoro, che si distingue dal dato degli occupati per la sua maggiore aderenza al concetto di “volume complessivo di lavoro”, misurabile in ore di lavoro</w:t>
      </w:r>
    </w:p>
    <w:p w:rsidR="00CD0D10" w:rsidRDefault="00CD0D10" w:rsidP="00CD0D10">
      <w:pPr>
        <w:jc w:val="both"/>
      </w:pPr>
    </w:p>
    <w:p w:rsidR="00CD0D10" w:rsidRDefault="00CD0D10" w:rsidP="00CD0D10">
      <w:pPr>
        <w:jc w:val="both"/>
      </w:pPr>
      <w:r>
        <w:t>Si nota dal grafico successivo come il volume di lavoro effettivamente assorbito dall’economia locale abbia seguito con ritardo l’evoluzione della domanda effettiva e del valore aggiunto. In pratica il volume di unità di lavoro si è assestato intorno ai 145-150mila addetti equivalenti solo nel 2014, anno da cui è cominciato un trend di lentissimo recupero (dopo la grave caduta del 2011-2013), ma su valori nettamente inferiori agli oltre 160mila che caratterizzavano l’anno-base 2007.</w:t>
      </w:r>
    </w:p>
    <w:p w:rsidR="00CD0D10" w:rsidRDefault="00CD0D10" w:rsidP="00CD0D10">
      <w:pPr>
        <w:jc w:val="both"/>
      </w:pPr>
    </w:p>
    <w:p w:rsidR="00CD0D10" w:rsidRDefault="00CD0D10" w:rsidP="00CD0D10">
      <w:pPr>
        <w:jc w:val="both"/>
      </w:pPr>
    </w:p>
    <w:p w:rsidR="00CD0D10" w:rsidRDefault="00CD0D10" w:rsidP="00CD0D10">
      <w:pPr>
        <w:jc w:val="both"/>
      </w:pPr>
    </w:p>
    <w:p w:rsidR="00CD0D10" w:rsidRDefault="00CD0D10" w:rsidP="00CD0D10">
      <w:pPr>
        <w:jc w:val="both"/>
      </w:pPr>
    </w:p>
    <w:p w:rsidR="00CD0D10" w:rsidRPr="00CD0D10" w:rsidRDefault="00CD0D10" w:rsidP="00CD0D10">
      <w:pPr>
        <w:jc w:val="both"/>
        <w:rPr>
          <w:i/>
        </w:rPr>
      </w:pPr>
      <w:r w:rsidRPr="00CD0D10">
        <w:rPr>
          <w:i/>
        </w:rPr>
        <w:lastRenderedPageBreak/>
        <w:t>Graf. 3 – Unità di lavoro 2007-2019 (dal 2017: previsioni)</w:t>
      </w:r>
    </w:p>
    <w:p w:rsidR="00CD0D10" w:rsidRDefault="00CD0D10" w:rsidP="00CD0D10">
      <w:r>
        <w:rPr>
          <w:noProof/>
          <w:lang w:eastAsia="it-IT"/>
        </w:rPr>
        <w:drawing>
          <wp:inline distT="0" distB="0" distL="0" distR="0" wp14:anchorId="574F6633" wp14:editId="1C109F2D">
            <wp:extent cx="4572000" cy="2743200"/>
            <wp:effectExtent l="0" t="0" r="0" b="0"/>
            <wp:docPr id="14" name="Gra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0D10" w:rsidRPr="0029163E" w:rsidRDefault="00CD0D10" w:rsidP="00CD0D10">
      <w:pPr>
        <w:rPr>
          <w:sz w:val="18"/>
          <w:szCs w:val="18"/>
        </w:rPr>
      </w:pPr>
      <w:r w:rsidRPr="0029163E">
        <w:rPr>
          <w:sz w:val="18"/>
          <w:szCs w:val="18"/>
        </w:rPr>
        <w:t>Fonte: ns. elaborazioni su dati Prometeia</w:t>
      </w:r>
    </w:p>
    <w:p w:rsidR="00CD0D10" w:rsidRDefault="00CD0D10" w:rsidP="00CD0D10"/>
    <w:p w:rsidR="00CD0D10" w:rsidRDefault="00CD0D10" w:rsidP="00CD0D10">
      <w:pPr>
        <w:jc w:val="both"/>
      </w:pPr>
      <w:r>
        <w:t>Nel complesso mentre l’industria manifatturiera sembra aver stabilmente perso un addetto su cinque, il settore dei servizi ha, con qualche affanno, recuperato il livello pre-crisi di domanda di lavoro.</w:t>
      </w:r>
    </w:p>
    <w:p w:rsidR="00046867" w:rsidRDefault="00046867" w:rsidP="00CD0D10">
      <w:pPr>
        <w:jc w:val="both"/>
      </w:pPr>
    </w:p>
    <w:p w:rsidR="00046867" w:rsidRPr="00046867" w:rsidRDefault="00046867" w:rsidP="00CD0D10">
      <w:pPr>
        <w:jc w:val="both"/>
        <w:rPr>
          <w:i/>
        </w:rPr>
      </w:pPr>
      <w:r>
        <w:rPr>
          <w:i/>
        </w:rPr>
        <w:t>Ta</w:t>
      </w:r>
      <w:r w:rsidRPr="00046867">
        <w:rPr>
          <w:i/>
        </w:rPr>
        <w:t xml:space="preserve">b. </w:t>
      </w:r>
      <w:r>
        <w:rPr>
          <w:i/>
        </w:rPr>
        <w:t>3</w:t>
      </w:r>
      <w:r w:rsidRPr="00046867">
        <w:rPr>
          <w:i/>
        </w:rPr>
        <w:t xml:space="preserve"> – Unità di lavoro nei  settori manifatturiero e terziario</w:t>
      </w:r>
    </w:p>
    <w:tbl>
      <w:tblPr>
        <w:tblW w:w="3080" w:type="dxa"/>
        <w:tblCellMar>
          <w:left w:w="70" w:type="dxa"/>
          <w:right w:w="70" w:type="dxa"/>
        </w:tblCellMar>
        <w:tblLook w:val="04A0" w:firstRow="1" w:lastRow="0" w:firstColumn="1" w:lastColumn="0" w:noHBand="0" w:noVBand="1"/>
      </w:tblPr>
      <w:tblGrid>
        <w:gridCol w:w="960"/>
        <w:gridCol w:w="1000"/>
        <w:gridCol w:w="1120"/>
      </w:tblGrid>
      <w:tr w:rsidR="00CD0D10" w:rsidRPr="0029163E" w:rsidTr="00CD0D10">
        <w:trPr>
          <w:trHeight w:val="300"/>
        </w:trPr>
        <w:tc>
          <w:tcPr>
            <w:tcW w:w="960" w:type="dxa"/>
            <w:tcBorders>
              <w:top w:val="single" w:sz="4" w:space="0" w:color="auto"/>
              <w:left w:val="nil"/>
              <w:bottom w:val="single" w:sz="4" w:space="0" w:color="auto"/>
              <w:right w:val="nil"/>
            </w:tcBorders>
            <w:shd w:val="clear" w:color="auto" w:fill="auto"/>
            <w:noWrap/>
            <w:vAlign w:val="bottom"/>
            <w:hideMark/>
          </w:tcPr>
          <w:p w:rsidR="00CD0D10" w:rsidRPr="0029163E" w:rsidRDefault="00CD0D10" w:rsidP="00CD0D10">
            <w:pPr>
              <w:spacing w:after="0" w:line="240" w:lineRule="auto"/>
              <w:rPr>
                <w:rFonts w:ascii="Times New Roman" w:eastAsia="Times New Roman" w:hAnsi="Times New Roman" w:cs="Times New Roman"/>
                <w:sz w:val="24"/>
                <w:szCs w:val="24"/>
                <w:lang w:eastAsia="it-IT"/>
              </w:rPr>
            </w:pPr>
          </w:p>
        </w:tc>
        <w:tc>
          <w:tcPr>
            <w:tcW w:w="1000" w:type="dxa"/>
            <w:tcBorders>
              <w:top w:val="single" w:sz="4" w:space="0" w:color="auto"/>
              <w:left w:val="nil"/>
              <w:bottom w:val="single" w:sz="4" w:space="0" w:color="auto"/>
              <w:right w:val="nil"/>
            </w:tcBorders>
            <w:shd w:val="clear" w:color="auto" w:fill="auto"/>
            <w:noWrap/>
            <w:vAlign w:val="bottom"/>
            <w:hideMark/>
          </w:tcPr>
          <w:p w:rsidR="00CD0D10" w:rsidRPr="0029163E" w:rsidRDefault="00CD0D10" w:rsidP="00CD0D10">
            <w:pPr>
              <w:spacing w:after="0" w:line="240" w:lineRule="auto"/>
              <w:rPr>
                <w:rFonts w:ascii="Calibri" w:eastAsia="Times New Roman" w:hAnsi="Calibri" w:cs="Calibri"/>
                <w:color w:val="000000"/>
                <w:lang w:eastAsia="it-IT"/>
              </w:rPr>
            </w:pPr>
            <w:r w:rsidRPr="0029163E">
              <w:rPr>
                <w:rFonts w:ascii="Calibri" w:eastAsia="Times New Roman" w:hAnsi="Calibri" w:cs="Calibri"/>
                <w:color w:val="000000"/>
                <w:lang w:eastAsia="it-IT"/>
              </w:rPr>
              <w:t>ind. Manif.</w:t>
            </w:r>
          </w:p>
        </w:tc>
        <w:tc>
          <w:tcPr>
            <w:tcW w:w="1120" w:type="dxa"/>
            <w:tcBorders>
              <w:top w:val="single" w:sz="4" w:space="0" w:color="auto"/>
              <w:left w:val="nil"/>
              <w:bottom w:val="single" w:sz="4" w:space="0" w:color="auto"/>
              <w:right w:val="nil"/>
            </w:tcBorders>
            <w:shd w:val="clear" w:color="auto" w:fill="auto"/>
            <w:noWrap/>
            <w:vAlign w:val="bottom"/>
            <w:hideMark/>
          </w:tcPr>
          <w:p w:rsidR="00CD0D10" w:rsidRPr="0029163E" w:rsidRDefault="00CD0D10" w:rsidP="00CD0D10">
            <w:pPr>
              <w:spacing w:after="0" w:line="240" w:lineRule="auto"/>
              <w:rPr>
                <w:rFonts w:ascii="Calibri" w:eastAsia="Times New Roman" w:hAnsi="Calibri" w:cs="Calibri"/>
                <w:color w:val="000000"/>
                <w:lang w:eastAsia="it-IT"/>
              </w:rPr>
            </w:pPr>
            <w:r w:rsidRPr="0029163E">
              <w:rPr>
                <w:rFonts w:ascii="Calibri" w:eastAsia="Times New Roman" w:hAnsi="Calibri" w:cs="Calibri"/>
                <w:color w:val="000000"/>
                <w:lang w:eastAsia="it-IT"/>
              </w:rPr>
              <w:t>servizi</w:t>
            </w:r>
          </w:p>
        </w:tc>
      </w:tr>
      <w:tr w:rsidR="00CD0D10" w:rsidRPr="0029163E" w:rsidTr="00CD0D10">
        <w:trPr>
          <w:trHeight w:val="300"/>
        </w:trPr>
        <w:tc>
          <w:tcPr>
            <w:tcW w:w="960" w:type="dxa"/>
            <w:tcBorders>
              <w:top w:val="single" w:sz="4" w:space="0" w:color="auto"/>
              <w:left w:val="nil"/>
              <w:bottom w:val="nil"/>
              <w:right w:val="nil"/>
            </w:tcBorders>
            <w:shd w:val="clear" w:color="auto" w:fill="auto"/>
            <w:noWrap/>
            <w:vAlign w:val="bottom"/>
          </w:tcPr>
          <w:p w:rsidR="00CD0D10" w:rsidRPr="0029163E" w:rsidRDefault="00CD0D10" w:rsidP="00CD0D10">
            <w:pPr>
              <w:spacing w:after="0" w:line="240" w:lineRule="auto"/>
              <w:rPr>
                <w:rFonts w:ascii="Times New Roman" w:eastAsia="Times New Roman" w:hAnsi="Times New Roman" w:cs="Times New Roman"/>
                <w:sz w:val="24"/>
                <w:szCs w:val="24"/>
                <w:lang w:eastAsia="it-IT"/>
              </w:rPr>
            </w:pPr>
          </w:p>
        </w:tc>
        <w:tc>
          <w:tcPr>
            <w:tcW w:w="1000" w:type="dxa"/>
            <w:tcBorders>
              <w:top w:val="single" w:sz="4" w:space="0" w:color="auto"/>
              <w:left w:val="nil"/>
              <w:bottom w:val="nil"/>
              <w:right w:val="nil"/>
            </w:tcBorders>
            <w:shd w:val="clear" w:color="auto" w:fill="auto"/>
            <w:noWrap/>
            <w:vAlign w:val="bottom"/>
          </w:tcPr>
          <w:p w:rsidR="00CD0D10" w:rsidRPr="0029163E" w:rsidRDefault="00CD0D10" w:rsidP="00CD0D10">
            <w:pPr>
              <w:spacing w:after="0" w:line="240" w:lineRule="auto"/>
              <w:rPr>
                <w:rFonts w:ascii="Calibri" w:eastAsia="Times New Roman" w:hAnsi="Calibri" w:cs="Calibri"/>
                <w:color w:val="000000"/>
                <w:lang w:eastAsia="it-IT"/>
              </w:rPr>
            </w:pPr>
          </w:p>
        </w:tc>
        <w:tc>
          <w:tcPr>
            <w:tcW w:w="1120" w:type="dxa"/>
            <w:tcBorders>
              <w:top w:val="single" w:sz="4" w:space="0" w:color="auto"/>
              <w:left w:val="nil"/>
              <w:bottom w:val="nil"/>
              <w:right w:val="nil"/>
            </w:tcBorders>
            <w:shd w:val="clear" w:color="auto" w:fill="auto"/>
            <w:noWrap/>
            <w:vAlign w:val="bottom"/>
          </w:tcPr>
          <w:p w:rsidR="00CD0D10" w:rsidRPr="0029163E" w:rsidRDefault="00CD0D10" w:rsidP="00CD0D10">
            <w:pPr>
              <w:spacing w:after="0" w:line="240" w:lineRule="auto"/>
              <w:rPr>
                <w:rFonts w:ascii="Calibri" w:eastAsia="Times New Roman" w:hAnsi="Calibri" w:cs="Calibri"/>
                <w:color w:val="000000"/>
                <w:lang w:eastAsia="it-IT"/>
              </w:rPr>
            </w:pPr>
          </w:p>
        </w:tc>
      </w:tr>
      <w:tr w:rsidR="00CD0D10" w:rsidRPr="0029163E" w:rsidTr="00CD0D10">
        <w:trPr>
          <w:trHeight w:val="300"/>
        </w:trPr>
        <w:tc>
          <w:tcPr>
            <w:tcW w:w="96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2006</w:t>
            </w:r>
          </w:p>
        </w:tc>
        <w:tc>
          <w:tcPr>
            <w:tcW w:w="100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33,8</w:t>
            </w:r>
          </w:p>
        </w:tc>
        <w:tc>
          <w:tcPr>
            <w:tcW w:w="112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99,8</w:t>
            </w:r>
          </w:p>
        </w:tc>
      </w:tr>
      <w:tr w:rsidR="00CD0D10" w:rsidRPr="0029163E" w:rsidTr="00CD0D10">
        <w:trPr>
          <w:trHeight w:val="300"/>
        </w:trPr>
        <w:tc>
          <w:tcPr>
            <w:tcW w:w="96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2007</w:t>
            </w:r>
          </w:p>
        </w:tc>
        <w:tc>
          <w:tcPr>
            <w:tcW w:w="100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35,3</w:t>
            </w:r>
          </w:p>
        </w:tc>
        <w:tc>
          <w:tcPr>
            <w:tcW w:w="112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107,0</w:t>
            </w:r>
          </w:p>
        </w:tc>
      </w:tr>
      <w:tr w:rsidR="00CD0D10" w:rsidRPr="0029163E" w:rsidTr="00CD0D10">
        <w:trPr>
          <w:trHeight w:val="300"/>
        </w:trPr>
        <w:tc>
          <w:tcPr>
            <w:tcW w:w="96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2008</w:t>
            </w:r>
          </w:p>
        </w:tc>
        <w:tc>
          <w:tcPr>
            <w:tcW w:w="100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37,5</w:t>
            </w:r>
          </w:p>
        </w:tc>
        <w:tc>
          <w:tcPr>
            <w:tcW w:w="112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103,4</w:t>
            </w:r>
          </w:p>
        </w:tc>
      </w:tr>
      <w:tr w:rsidR="00CD0D10" w:rsidRPr="0029163E" w:rsidTr="00CD0D10">
        <w:trPr>
          <w:trHeight w:val="300"/>
        </w:trPr>
        <w:tc>
          <w:tcPr>
            <w:tcW w:w="96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2009</w:t>
            </w:r>
          </w:p>
        </w:tc>
        <w:tc>
          <w:tcPr>
            <w:tcW w:w="100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33,7</w:t>
            </w:r>
          </w:p>
        </w:tc>
        <w:tc>
          <w:tcPr>
            <w:tcW w:w="112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107,1</w:t>
            </w:r>
          </w:p>
        </w:tc>
      </w:tr>
      <w:tr w:rsidR="00CD0D10" w:rsidRPr="0029163E" w:rsidTr="00CD0D10">
        <w:trPr>
          <w:trHeight w:val="300"/>
        </w:trPr>
        <w:tc>
          <w:tcPr>
            <w:tcW w:w="96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2010</w:t>
            </w:r>
          </w:p>
        </w:tc>
        <w:tc>
          <w:tcPr>
            <w:tcW w:w="100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31,0</w:t>
            </w:r>
          </w:p>
        </w:tc>
        <w:tc>
          <w:tcPr>
            <w:tcW w:w="112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108,4</w:t>
            </w:r>
          </w:p>
        </w:tc>
      </w:tr>
      <w:tr w:rsidR="00CD0D10" w:rsidRPr="0029163E" w:rsidTr="00CD0D10">
        <w:trPr>
          <w:trHeight w:val="300"/>
        </w:trPr>
        <w:tc>
          <w:tcPr>
            <w:tcW w:w="96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2011</w:t>
            </w:r>
          </w:p>
        </w:tc>
        <w:tc>
          <w:tcPr>
            <w:tcW w:w="100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30,4</w:t>
            </w:r>
          </w:p>
        </w:tc>
        <w:tc>
          <w:tcPr>
            <w:tcW w:w="112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107,9</w:t>
            </w:r>
          </w:p>
        </w:tc>
      </w:tr>
      <w:tr w:rsidR="00CD0D10" w:rsidRPr="0029163E" w:rsidTr="00CD0D10">
        <w:trPr>
          <w:trHeight w:val="300"/>
        </w:trPr>
        <w:tc>
          <w:tcPr>
            <w:tcW w:w="96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2012</w:t>
            </w:r>
          </w:p>
        </w:tc>
        <w:tc>
          <w:tcPr>
            <w:tcW w:w="100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28,9</w:t>
            </w:r>
          </w:p>
        </w:tc>
        <w:tc>
          <w:tcPr>
            <w:tcW w:w="112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105,9</w:t>
            </w:r>
          </w:p>
        </w:tc>
      </w:tr>
      <w:tr w:rsidR="00CD0D10" w:rsidRPr="0029163E" w:rsidTr="00CD0D10">
        <w:trPr>
          <w:trHeight w:val="300"/>
        </w:trPr>
        <w:tc>
          <w:tcPr>
            <w:tcW w:w="96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2013</w:t>
            </w:r>
          </w:p>
        </w:tc>
        <w:tc>
          <w:tcPr>
            <w:tcW w:w="100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27,8</w:t>
            </w:r>
          </w:p>
        </w:tc>
        <w:tc>
          <w:tcPr>
            <w:tcW w:w="112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103,8</w:t>
            </w:r>
          </w:p>
        </w:tc>
      </w:tr>
      <w:tr w:rsidR="00CD0D10" w:rsidRPr="0029163E" w:rsidTr="00CD0D10">
        <w:trPr>
          <w:trHeight w:val="300"/>
        </w:trPr>
        <w:tc>
          <w:tcPr>
            <w:tcW w:w="96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2014</w:t>
            </w:r>
          </w:p>
        </w:tc>
        <w:tc>
          <w:tcPr>
            <w:tcW w:w="100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27,9</w:t>
            </w:r>
          </w:p>
        </w:tc>
        <w:tc>
          <w:tcPr>
            <w:tcW w:w="112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104,5</w:t>
            </w:r>
          </w:p>
        </w:tc>
      </w:tr>
      <w:tr w:rsidR="00CD0D10" w:rsidRPr="0029163E" w:rsidTr="00CD0D10">
        <w:trPr>
          <w:trHeight w:val="300"/>
        </w:trPr>
        <w:tc>
          <w:tcPr>
            <w:tcW w:w="96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2015</w:t>
            </w:r>
          </w:p>
        </w:tc>
        <w:tc>
          <w:tcPr>
            <w:tcW w:w="100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27,8</w:t>
            </w:r>
          </w:p>
        </w:tc>
        <w:tc>
          <w:tcPr>
            <w:tcW w:w="112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105,2</w:t>
            </w:r>
          </w:p>
        </w:tc>
      </w:tr>
      <w:tr w:rsidR="00CD0D10" w:rsidRPr="0029163E" w:rsidTr="00CD0D10">
        <w:trPr>
          <w:trHeight w:val="300"/>
        </w:trPr>
        <w:tc>
          <w:tcPr>
            <w:tcW w:w="96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2016</w:t>
            </w:r>
          </w:p>
        </w:tc>
        <w:tc>
          <w:tcPr>
            <w:tcW w:w="100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28,3</w:t>
            </w:r>
          </w:p>
        </w:tc>
        <w:tc>
          <w:tcPr>
            <w:tcW w:w="112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105,1</w:t>
            </w:r>
          </w:p>
        </w:tc>
      </w:tr>
      <w:tr w:rsidR="00CD0D10" w:rsidRPr="0029163E" w:rsidTr="00CD0D10">
        <w:trPr>
          <w:trHeight w:val="300"/>
        </w:trPr>
        <w:tc>
          <w:tcPr>
            <w:tcW w:w="96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2017</w:t>
            </w:r>
          </w:p>
        </w:tc>
        <w:tc>
          <w:tcPr>
            <w:tcW w:w="100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27,8</w:t>
            </w:r>
          </w:p>
        </w:tc>
        <w:tc>
          <w:tcPr>
            <w:tcW w:w="112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106,4</w:t>
            </w:r>
          </w:p>
        </w:tc>
      </w:tr>
      <w:tr w:rsidR="00CD0D10" w:rsidRPr="0029163E" w:rsidTr="00CD0D10">
        <w:trPr>
          <w:trHeight w:val="300"/>
        </w:trPr>
        <w:tc>
          <w:tcPr>
            <w:tcW w:w="96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2018</w:t>
            </w:r>
          </w:p>
        </w:tc>
        <w:tc>
          <w:tcPr>
            <w:tcW w:w="100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27,6</w:t>
            </w:r>
          </w:p>
        </w:tc>
        <w:tc>
          <w:tcPr>
            <w:tcW w:w="1120" w:type="dxa"/>
            <w:tcBorders>
              <w:top w:val="nil"/>
              <w:left w:val="nil"/>
              <w:bottom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107,3</w:t>
            </w:r>
          </w:p>
        </w:tc>
      </w:tr>
      <w:tr w:rsidR="00CD0D10" w:rsidRPr="0029163E" w:rsidTr="00CD0D10">
        <w:trPr>
          <w:trHeight w:val="300"/>
        </w:trPr>
        <w:tc>
          <w:tcPr>
            <w:tcW w:w="960" w:type="dxa"/>
            <w:tcBorders>
              <w:top w:val="nil"/>
              <w:left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2019</w:t>
            </w:r>
          </w:p>
        </w:tc>
        <w:tc>
          <w:tcPr>
            <w:tcW w:w="1000" w:type="dxa"/>
            <w:tcBorders>
              <w:top w:val="nil"/>
              <w:left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27,6</w:t>
            </w:r>
          </w:p>
        </w:tc>
        <w:tc>
          <w:tcPr>
            <w:tcW w:w="1120" w:type="dxa"/>
            <w:tcBorders>
              <w:top w:val="nil"/>
              <w:left w:val="nil"/>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107,4</w:t>
            </w:r>
          </w:p>
        </w:tc>
      </w:tr>
      <w:tr w:rsidR="00CD0D10" w:rsidRPr="0029163E" w:rsidTr="00CD0D10">
        <w:trPr>
          <w:trHeight w:val="300"/>
        </w:trPr>
        <w:tc>
          <w:tcPr>
            <w:tcW w:w="960" w:type="dxa"/>
            <w:tcBorders>
              <w:top w:val="nil"/>
              <w:left w:val="nil"/>
              <w:bottom w:val="single" w:sz="4" w:space="0" w:color="auto"/>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2020</w:t>
            </w:r>
          </w:p>
        </w:tc>
        <w:tc>
          <w:tcPr>
            <w:tcW w:w="1000" w:type="dxa"/>
            <w:tcBorders>
              <w:top w:val="nil"/>
              <w:left w:val="nil"/>
              <w:bottom w:val="single" w:sz="4" w:space="0" w:color="auto"/>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27,5</w:t>
            </w:r>
          </w:p>
        </w:tc>
        <w:tc>
          <w:tcPr>
            <w:tcW w:w="1120" w:type="dxa"/>
            <w:tcBorders>
              <w:top w:val="nil"/>
              <w:left w:val="nil"/>
              <w:bottom w:val="single" w:sz="4" w:space="0" w:color="auto"/>
              <w:right w:val="nil"/>
            </w:tcBorders>
            <w:shd w:val="clear" w:color="auto" w:fill="auto"/>
            <w:noWrap/>
            <w:vAlign w:val="bottom"/>
            <w:hideMark/>
          </w:tcPr>
          <w:p w:rsidR="00CD0D10" w:rsidRPr="0029163E" w:rsidRDefault="00CD0D10" w:rsidP="00CD0D10">
            <w:pPr>
              <w:spacing w:after="0" w:line="240" w:lineRule="auto"/>
              <w:jc w:val="right"/>
              <w:rPr>
                <w:rFonts w:ascii="Calibri" w:eastAsia="Times New Roman" w:hAnsi="Calibri" w:cs="Calibri"/>
                <w:color w:val="000000"/>
                <w:lang w:eastAsia="it-IT"/>
              </w:rPr>
            </w:pPr>
            <w:r w:rsidRPr="0029163E">
              <w:rPr>
                <w:rFonts w:ascii="Calibri" w:eastAsia="Times New Roman" w:hAnsi="Calibri" w:cs="Calibri"/>
                <w:color w:val="000000"/>
                <w:lang w:eastAsia="it-IT"/>
              </w:rPr>
              <w:t>107,6</w:t>
            </w:r>
          </w:p>
        </w:tc>
      </w:tr>
    </w:tbl>
    <w:p w:rsidR="00CD0D10" w:rsidRPr="0029163E" w:rsidRDefault="00CD0D10" w:rsidP="00CD0D10">
      <w:pPr>
        <w:rPr>
          <w:sz w:val="18"/>
          <w:szCs w:val="18"/>
        </w:rPr>
      </w:pPr>
      <w:r w:rsidRPr="0029163E">
        <w:rPr>
          <w:sz w:val="18"/>
          <w:szCs w:val="18"/>
        </w:rPr>
        <w:t>Fonte: ns. elaborazioni su dati Prometeia</w:t>
      </w:r>
    </w:p>
    <w:p w:rsidR="00CD0D10" w:rsidRDefault="00CD0D10" w:rsidP="00CD0D10"/>
    <w:p w:rsidR="00CD0D10" w:rsidRDefault="00CD0D10" w:rsidP="00CD0D10"/>
    <w:p w:rsidR="00CD0D10" w:rsidRPr="00CD0D10" w:rsidRDefault="00CD0D10">
      <w:pPr>
        <w:rPr>
          <w:b/>
        </w:rPr>
      </w:pPr>
      <w:r w:rsidRPr="00CD0D10">
        <w:rPr>
          <w:b/>
        </w:rPr>
        <w:lastRenderedPageBreak/>
        <w:t>2. L’OCCUPAZIONE DIPENDENTE</w:t>
      </w:r>
    </w:p>
    <w:p w:rsidR="00CD0D10" w:rsidRDefault="00CD0D10"/>
    <w:p w:rsidR="00C1250A" w:rsidRDefault="00C1250A">
      <w:r>
        <w:t>Il livello provinciale dell’occupazione dipendente ha ripreso ad espandersi solo nel 2014, preceduto da ben sei anni di continua riduzione, con gli anni di peggior crisi nel 2012 (-1,4%) e nel 2013 (-3,3%). E tuttavia nel 2016 non era ancora stato raggiunto non solo il dato dipartenza 2008, ma nemmeno quello del 2011.</w:t>
      </w:r>
    </w:p>
    <w:p w:rsidR="00C1250A" w:rsidRDefault="00C1250A"/>
    <w:p w:rsidR="00CD0D10" w:rsidRPr="00CD0D10" w:rsidRDefault="00CD0D10">
      <w:pPr>
        <w:rPr>
          <w:i/>
        </w:rPr>
      </w:pPr>
      <w:r w:rsidRPr="00CD0D10">
        <w:rPr>
          <w:i/>
        </w:rPr>
        <w:t>Graf. 4 –</w:t>
      </w:r>
      <w:r w:rsidR="00033866">
        <w:rPr>
          <w:i/>
        </w:rPr>
        <w:t xml:space="preserve"> Andamento </w:t>
      </w:r>
      <w:r w:rsidRPr="00CD0D10">
        <w:rPr>
          <w:i/>
        </w:rPr>
        <w:t>dell’occupazione dipendente</w:t>
      </w:r>
    </w:p>
    <w:p w:rsidR="00C1250A" w:rsidRDefault="00C1250A">
      <w:r>
        <w:rPr>
          <w:noProof/>
          <w:lang w:eastAsia="it-IT"/>
        </w:rPr>
        <w:drawing>
          <wp:inline distT="0" distB="0" distL="0" distR="0" wp14:anchorId="6B0C3F62" wp14:editId="26F04A9F">
            <wp:extent cx="4638675" cy="2743200"/>
            <wp:effectExtent l="0" t="0" r="9525"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250A" w:rsidRDefault="00C1250A">
      <w:r>
        <w:t xml:space="preserve"> Una valutazione più precisa può essere fatta per categorie: al 2016 si contavano, rispetto al 2008, circa 600 operai in meno, circa 2700 impiegati in più, circa 400 quadri in più e ben 4300 apprendisti in meno.</w:t>
      </w:r>
    </w:p>
    <w:p w:rsidR="00046867" w:rsidRPr="00046867" w:rsidRDefault="00046867">
      <w:pPr>
        <w:rPr>
          <w:i/>
        </w:rPr>
      </w:pPr>
      <w:r w:rsidRPr="00046867">
        <w:rPr>
          <w:i/>
        </w:rPr>
        <w:t>Tab. 4 – Occupati dipendenti privati non agricoli (contribuenti Inps per anno)</w:t>
      </w:r>
    </w:p>
    <w:p w:rsidR="00C1250A" w:rsidRDefault="00C1250A">
      <w:r w:rsidRPr="00C1250A">
        <w:rPr>
          <w:noProof/>
          <w:lang w:eastAsia="it-IT"/>
        </w:rPr>
        <w:drawing>
          <wp:inline distT="0" distB="0" distL="0" distR="0">
            <wp:extent cx="6120130" cy="1324383"/>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1324383"/>
                    </a:xfrm>
                    <a:prstGeom prst="rect">
                      <a:avLst/>
                    </a:prstGeom>
                    <a:noFill/>
                    <a:ln>
                      <a:noFill/>
                    </a:ln>
                  </pic:spPr>
                </pic:pic>
              </a:graphicData>
            </a:graphic>
          </wp:inline>
        </w:drawing>
      </w:r>
    </w:p>
    <w:p w:rsidR="00046867" w:rsidRPr="00046867" w:rsidRDefault="00046867">
      <w:pPr>
        <w:rPr>
          <w:sz w:val="18"/>
          <w:szCs w:val="18"/>
        </w:rPr>
      </w:pPr>
      <w:r w:rsidRPr="00046867">
        <w:rPr>
          <w:sz w:val="18"/>
          <w:szCs w:val="18"/>
        </w:rPr>
        <w:t>Fonte: ns. elab. su dati Inps</w:t>
      </w:r>
    </w:p>
    <w:p w:rsidR="00C1250A" w:rsidRDefault="00C1250A" w:rsidP="008F3452">
      <w:pPr>
        <w:jc w:val="both"/>
      </w:pPr>
      <w:r>
        <w:t>Evident</w:t>
      </w:r>
      <w:r w:rsidR="002225EC">
        <w:t>e</w:t>
      </w:r>
      <w:r>
        <w:t>mente il cambiamento delle politiche del lavoro ha comportato una specifica crisi del contratto di apprendistato</w:t>
      </w:r>
      <w:r w:rsidR="0016402E">
        <w:t>, la cui portata occupazionale si è all’incirca dimezzata, mentre l’occupazione operaia è rimasta</w:t>
      </w:r>
      <w:r w:rsidR="002225EC">
        <w:t xml:space="preserve"> </w:t>
      </w:r>
      <w:r w:rsidR="0016402E">
        <w:t>relativamente stabile (pur in diminuzione fino al 2014 e poi in aumento), e quella impiegatizia ha subito più anni di espansione (5) che di contrazione (3). L’occupazione dei quadri subisce un “salto” nel 2015, nel quadro di una complessiva quasi continua espansione, mentre i dirigenti rimangono in numero piuttosto stabile.</w:t>
      </w:r>
    </w:p>
    <w:p w:rsidR="00046867" w:rsidRDefault="00046867" w:rsidP="008F3452">
      <w:pPr>
        <w:jc w:val="both"/>
      </w:pPr>
    </w:p>
    <w:p w:rsidR="00046867" w:rsidRDefault="00046867" w:rsidP="008F3452">
      <w:pPr>
        <w:jc w:val="both"/>
      </w:pPr>
    </w:p>
    <w:p w:rsidR="00046867" w:rsidRPr="00046867" w:rsidRDefault="00046867" w:rsidP="008F3452">
      <w:pPr>
        <w:jc w:val="both"/>
        <w:rPr>
          <w:i/>
        </w:rPr>
      </w:pPr>
      <w:r>
        <w:rPr>
          <w:i/>
        </w:rPr>
        <w:t xml:space="preserve">Graf. 5 - </w:t>
      </w:r>
      <w:r w:rsidRPr="00046867">
        <w:rPr>
          <w:i/>
        </w:rPr>
        <w:t>Andamento occupazione per categoria (2008=100)</w:t>
      </w:r>
    </w:p>
    <w:p w:rsidR="00C1250A" w:rsidRDefault="00C1250A">
      <w:r>
        <w:rPr>
          <w:noProof/>
          <w:lang w:eastAsia="it-IT"/>
        </w:rPr>
        <w:drawing>
          <wp:inline distT="0" distB="0" distL="0" distR="0" wp14:anchorId="755FE875" wp14:editId="7B65C0F8">
            <wp:extent cx="4572000" cy="2743200"/>
            <wp:effectExtent l="0" t="0" r="0" b="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46867" w:rsidRPr="00046867" w:rsidRDefault="00046867" w:rsidP="00046867">
      <w:pPr>
        <w:rPr>
          <w:sz w:val="18"/>
          <w:szCs w:val="18"/>
        </w:rPr>
      </w:pPr>
      <w:r w:rsidRPr="00046867">
        <w:rPr>
          <w:sz w:val="18"/>
          <w:szCs w:val="18"/>
        </w:rPr>
        <w:t>Fonte: ns. elab. su dati Inps</w:t>
      </w:r>
    </w:p>
    <w:p w:rsidR="0016402E" w:rsidRDefault="0016402E"/>
    <w:p w:rsidR="00046867" w:rsidRPr="00046867" w:rsidRDefault="00046867">
      <w:pPr>
        <w:rPr>
          <w:i/>
        </w:rPr>
      </w:pPr>
      <w:r>
        <w:rPr>
          <w:i/>
        </w:rPr>
        <w:t>Graf. 6 -. Composizione dipend</w:t>
      </w:r>
      <w:r w:rsidRPr="00046867">
        <w:rPr>
          <w:i/>
        </w:rPr>
        <w:t>e</w:t>
      </w:r>
      <w:r>
        <w:rPr>
          <w:i/>
        </w:rPr>
        <w:t>n</w:t>
      </w:r>
      <w:r w:rsidRPr="00046867">
        <w:rPr>
          <w:i/>
        </w:rPr>
        <w:t>ti privati non agricoli per categoria, 2008 e 2014</w:t>
      </w:r>
    </w:p>
    <w:p w:rsidR="002225EC" w:rsidRDefault="002225EC">
      <w:r>
        <w:rPr>
          <w:noProof/>
          <w:lang w:eastAsia="it-IT"/>
        </w:rPr>
        <w:drawing>
          <wp:inline distT="0" distB="0" distL="0" distR="0" wp14:anchorId="74C3F383" wp14:editId="1C61D53D">
            <wp:extent cx="4572000" cy="2743200"/>
            <wp:effectExtent l="0" t="0" r="0" b="0"/>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46867" w:rsidRPr="00046867" w:rsidRDefault="00046867" w:rsidP="00046867">
      <w:pPr>
        <w:rPr>
          <w:sz w:val="18"/>
          <w:szCs w:val="18"/>
        </w:rPr>
      </w:pPr>
      <w:r w:rsidRPr="00046867">
        <w:rPr>
          <w:sz w:val="18"/>
          <w:szCs w:val="18"/>
        </w:rPr>
        <w:t>Fonte: ns. elab. su dati Inps</w:t>
      </w:r>
    </w:p>
    <w:p w:rsidR="00046867" w:rsidRDefault="00046867"/>
    <w:p w:rsidR="0016402E" w:rsidRDefault="0016402E" w:rsidP="008F3452">
      <w:pPr>
        <w:jc w:val="both"/>
      </w:pPr>
      <w:r>
        <w:t>Abbastanza simile alla curva dell’occupazione è quella relativa ai giorni lavorati, che diminuiscono fino al 2013, per poi aumentare negli ultimi tre anni della serie. I giorni lavorati misurano, seppure imperfettamente, il volume di lavoro prestato, e rispetto all’occupazione risentono delle vari</w:t>
      </w:r>
      <w:r w:rsidR="00E04957">
        <w:t>a</w:t>
      </w:r>
      <w:r>
        <w:t>zioni de</w:t>
      </w:r>
      <w:r w:rsidR="00E04957">
        <w:t>ll’occupazione fra una componente stabile e una precaria (o anche più semplicemente della scansione nell’anno del ritmo degli avviamenti e delle cessazioni).</w:t>
      </w:r>
    </w:p>
    <w:p w:rsidR="0016402E" w:rsidRDefault="0016402E"/>
    <w:p w:rsidR="00046867" w:rsidRDefault="00046867"/>
    <w:p w:rsidR="00046867" w:rsidRPr="00046867" w:rsidRDefault="00046867">
      <w:pPr>
        <w:rPr>
          <w:i/>
        </w:rPr>
      </w:pPr>
      <w:r w:rsidRPr="00046867">
        <w:rPr>
          <w:i/>
        </w:rPr>
        <w:t xml:space="preserve">Graf. </w:t>
      </w:r>
      <w:r>
        <w:rPr>
          <w:i/>
        </w:rPr>
        <w:t>7</w:t>
      </w:r>
      <w:r w:rsidRPr="00046867">
        <w:rPr>
          <w:i/>
        </w:rPr>
        <w:t xml:space="preserve"> – volume complessivo giorni lavorati</w:t>
      </w:r>
    </w:p>
    <w:p w:rsidR="0016402E" w:rsidRDefault="0016402E">
      <w:r>
        <w:rPr>
          <w:noProof/>
          <w:lang w:eastAsia="it-IT"/>
        </w:rPr>
        <w:drawing>
          <wp:inline distT="0" distB="0" distL="0" distR="0" wp14:anchorId="6F649B25" wp14:editId="10C316C8">
            <wp:extent cx="4772025" cy="2743200"/>
            <wp:effectExtent l="0" t="0" r="9525" b="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46867" w:rsidRPr="00046867" w:rsidRDefault="00046867" w:rsidP="00046867">
      <w:pPr>
        <w:rPr>
          <w:sz w:val="18"/>
          <w:szCs w:val="18"/>
        </w:rPr>
      </w:pPr>
      <w:r w:rsidRPr="00046867">
        <w:rPr>
          <w:sz w:val="18"/>
          <w:szCs w:val="18"/>
        </w:rPr>
        <w:t>Fonte: ns. elab. su dati Inps</w:t>
      </w:r>
    </w:p>
    <w:p w:rsidR="00046867" w:rsidRDefault="00046867"/>
    <w:p w:rsidR="00E04957" w:rsidRDefault="00E04957">
      <w:r>
        <w:t>Il dato pro capite dei giorni lavorati vede anch’esso un periodo di riduzione (da 243 a 234, fra il 2008 e il 2012) e poi uno di aumento (fino quasi a 242 nel 2016).</w:t>
      </w:r>
    </w:p>
    <w:p w:rsidR="00046867" w:rsidRDefault="00046867"/>
    <w:p w:rsidR="00046867" w:rsidRPr="00046867" w:rsidRDefault="00046867">
      <w:pPr>
        <w:rPr>
          <w:i/>
        </w:rPr>
      </w:pPr>
      <w:r w:rsidRPr="00046867">
        <w:rPr>
          <w:i/>
        </w:rPr>
        <w:t xml:space="preserve">Graf. </w:t>
      </w:r>
      <w:r>
        <w:rPr>
          <w:i/>
        </w:rPr>
        <w:t xml:space="preserve">8- </w:t>
      </w:r>
      <w:r w:rsidRPr="00046867">
        <w:rPr>
          <w:i/>
        </w:rPr>
        <w:t>Occupati privati non agricoli: media giorni lavorati per anno</w:t>
      </w:r>
    </w:p>
    <w:p w:rsidR="0016402E" w:rsidRDefault="0016402E">
      <w:r>
        <w:rPr>
          <w:noProof/>
          <w:lang w:eastAsia="it-IT"/>
        </w:rPr>
        <w:drawing>
          <wp:inline distT="0" distB="0" distL="0" distR="0" wp14:anchorId="3508A9CA" wp14:editId="28668C04">
            <wp:extent cx="4572000" cy="2743200"/>
            <wp:effectExtent l="0" t="0" r="0" b="0"/>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46867" w:rsidRPr="00046867" w:rsidRDefault="00046867" w:rsidP="00046867">
      <w:pPr>
        <w:rPr>
          <w:sz w:val="18"/>
          <w:szCs w:val="18"/>
        </w:rPr>
      </w:pPr>
      <w:r w:rsidRPr="00046867">
        <w:rPr>
          <w:sz w:val="18"/>
          <w:szCs w:val="18"/>
        </w:rPr>
        <w:t>Fonte: ns. elab. su dati Inps</w:t>
      </w:r>
    </w:p>
    <w:p w:rsidR="00E04957" w:rsidRDefault="00E04957"/>
    <w:p w:rsidR="00E04957" w:rsidRDefault="00E04957" w:rsidP="008F3452">
      <w:pPr>
        <w:jc w:val="both"/>
      </w:pPr>
      <w:r>
        <w:t>Introducendo la variabile di gene</w:t>
      </w:r>
      <w:r w:rsidR="008F3452">
        <w:t>re, si nota nel complesso un au</w:t>
      </w:r>
      <w:r>
        <w:t>m</w:t>
      </w:r>
      <w:r w:rsidR="008F3452">
        <w:t>e</w:t>
      </w:r>
      <w:r>
        <w:t>nto della quota di donne occupate (dal 42,1% al 43,2%), e infatti alla fine del periodo abbiamo circa 400 donne occupate in più e 2300 uomini in meno). Va però detto che l’incremento della quota occupazionale è durato fino al 2012, mentre la dinamica successiva è fondamentalmente negativa. Questo dato non corrisponde agli esiti della legge Fornero sulle pensioni, che, allungando l’</w:t>
      </w:r>
      <w:r w:rsidR="00C550BB">
        <w:t>età di pensione, h</w:t>
      </w:r>
      <w:r>
        <w:t>a</w:t>
      </w:r>
      <w:r w:rsidR="00C550BB">
        <w:t xml:space="preserve"> comportato una maggior presenza lavorativa di generazioni femminili che in precedenza entravano prima in pensione. Può darsi allora che sul dato dell’occupazione femminile abbia pesato più fortemente la maggiore discrezionalità nelle assunzioni concessa alle imprese dal jobs act, che ha indebolito la posizione femminile sul mercato del lavoro. </w:t>
      </w:r>
      <w:r>
        <w:t xml:space="preserve"> </w:t>
      </w:r>
      <w:r w:rsidR="008F3452">
        <w:t>In ogni caso le nuove normative sul mercato del lavoro non hanno favorito l’inserimento lavorativo delle giovani donne, che restano la componente maggiormente esclusa dal mercato del lavoro.</w:t>
      </w:r>
    </w:p>
    <w:p w:rsidR="00561435" w:rsidRDefault="00561435" w:rsidP="008F3452">
      <w:pPr>
        <w:jc w:val="both"/>
      </w:pPr>
    </w:p>
    <w:p w:rsidR="00046867" w:rsidRPr="00046867" w:rsidRDefault="00046867" w:rsidP="008F3452">
      <w:pPr>
        <w:jc w:val="both"/>
        <w:rPr>
          <w:i/>
        </w:rPr>
      </w:pPr>
      <w:r w:rsidRPr="00046867">
        <w:rPr>
          <w:i/>
        </w:rPr>
        <w:t xml:space="preserve">Graf. </w:t>
      </w:r>
      <w:r>
        <w:rPr>
          <w:i/>
        </w:rPr>
        <w:t>9</w:t>
      </w:r>
      <w:r w:rsidRPr="00046867">
        <w:rPr>
          <w:i/>
        </w:rPr>
        <w:t xml:space="preserve"> - Quota occupate su totale occupati dipendenti</w:t>
      </w:r>
    </w:p>
    <w:p w:rsidR="00E04957" w:rsidRDefault="00E04957">
      <w:r>
        <w:rPr>
          <w:noProof/>
          <w:lang w:eastAsia="it-IT"/>
        </w:rPr>
        <w:drawing>
          <wp:inline distT="0" distB="0" distL="0" distR="0" wp14:anchorId="4EBECCD6" wp14:editId="08C4FF0B">
            <wp:extent cx="4572000" cy="2743200"/>
            <wp:effectExtent l="0" t="0" r="0" b="0"/>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97A4F" w:rsidRPr="00046867" w:rsidRDefault="00D97A4F" w:rsidP="00D97A4F">
      <w:pPr>
        <w:rPr>
          <w:sz w:val="18"/>
          <w:szCs w:val="18"/>
        </w:rPr>
      </w:pPr>
      <w:r w:rsidRPr="00046867">
        <w:rPr>
          <w:sz w:val="18"/>
          <w:szCs w:val="18"/>
        </w:rPr>
        <w:t>Fonte: ns. elab. su dati Inps</w:t>
      </w:r>
    </w:p>
    <w:p w:rsidR="008F3452" w:rsidRDefault="008F3452"/>
    <w:p w:rsidR="008F3452" w:rsidRDefault="0021437A" w:rsidP="0000367F">
      <w:pPr>
        <w:jc w:val="both"/>
      </w:pPr>
      <w:r>
        <w:t>Uno dei cambiamenti più spettacolari di questo periodo lo si ha nella struttura degli occupati dipendenti per età. L’invecchiamento della base demografica e la perdita del lavoro per i lavoratori meno qualificati hanno avuto una influenza nei primi anni della crisi. Ma dal 2012 è stato pesante l’impatto soprattutto della “riforma Fornero”, che ha sospinto nel futuro il limite di permanenza nel mercato del lavoro delle classi più anziane, impedendone il pensionamento; questo ha avuto influenza sull’incremento dei lavoratori più anziani (gli ultracinquantenni erano il 17% degli occupati nel 2008, sono al 27% ne 2016). Ancor più pesante è stato l’impatto sulla presenza dei giovani che, non potendo contare sul rimpiazzo delle generazioni più anziane, si sono del tutto rarefatti fra gli occupati, passando dal 25% al 18% degli addetti al di sotto dei trent’anni, e, fra i 30 e i 39 anni, dal 32% al 25% del totale.</w:t>
      </w:r>
    </w:p>
    <w:p w:rsidR="00046867" w:rsidRDefault="00046867" w:rsidP="0000367F">
      <w:pPr>
        <w:jc w:val="both"/>
      </w:pPr>
    </w:p>
    <w:p w:rsidR="00046867" w:rsidRPr="00046867" w:rsidRDefault="00046867" w:rsidP="0000367F">
      <w:pPr>
        <w:jc w:val="both"/>
        <w:rPr>
          <w:i/>
        </w:rPr>
      </w:pPr>
      <w:r w:rsidRPr="00046867">
        <w:rPr>
          <w:i/>
        </w:rPr>
        <w:t xml:space="preserve">Tab. </w:t>
      </w:r>
      <w:r w:rsidR="00D97A4F">
        <w:rPr>
          <w:i/>
        </w:rPr>
        <w:t>5</w:t>
      </w:r>
      <w:r w:rsidRPr="00046867">
        <w:rPr>
          <w:i/>
        </w:rPr>
        <w:t xml:space="preserve"> – composizione per età degli occupati dipendenti privati non agricoli</w:t>
      </w:r>
    </w:p>
    <w:tbl>
      <w:tblPr>
        <w:tblW w:w="4980" w:type="dxa"/>
        <w:tblCellMar>
          <w:left w:w="70" w:type="dxa"/>
          <w:right w:w="70" w:type="dxa"/>
        </w:tblCellMar>
        <w:tblLook w:val="04A0" w:firstRow="1" w:lastRow="0" w:firstColumn="1" w:lastColumn="0" w:noHBand="0" w:noVBand="1"/>
      </w:tblPr>
      <w:tblGrid>
        <w:gridCol w:w="980"/>
        <w:gridCol w:w="960"/>
        <w:gridCol w:w="1060"/>
        <w:gridCol w:w="960"/>
        <w:gridCol w:w="1020"/>
      </w:tblGrid>
      <w:tr w:rsidR="0021437A" w:rsidRPr="0021437A" w:rsidTr="0021437A">
        <w:trPr>
          <w:trHeight w:val="300"/>
        </w:trPr>
        <w:tc>
          <w:tcPr>
            <w:tcW w:w="980" w:type="dxa"/>
            <w:tcBorders>
              <w:top w:val="single" w:sz="4" w:space="0" w:color="auto"/>
              <w:left w:val="nil"/>
              <w:bottom w:val="single" w:sz="4" w:space="0" w:color="auto"/>
              <w:right w:val="nil"/>
            </w:tcBorders>
            <w:shd w:val="clear" w:color="auto" w:fill="auto"/>
            <w:noWrap/>
            <w:vAlign w:val="bottom"/>
            <w:hideMark/>
          </w:tcPr>
          <w:p w:rsidR="0021437A" w:rsidRPr="0021437A" w:rsidRDefault="0021437A" w:rsidP="0021437A">
            <w:pPr>
              <w:spacing w:after="0" w:line="240" w:lineRule="auto"/>
              <w:rPr>
                <w:rFonts w:ascii="Times New Roman" w:eastAsia="Times New Roman" w:hAnsi="Times New Roman" w:cs="Times New Roman"/>
                <w:sz w:val="24"/>
                <w:szCs w:val="24"/>
                <w:lang w:eastAsia="it-IT"/>
              </w:rPr>
            </w:pPr>
          </w:p>
        </w:tc>
        <w:tc>
          <w:tcPr>
            <w:tcW w:w="960" w:type="dxa"/>
            <w:tcBorders>
              <w:top w:val="single" w:sz="4" w:space="0" w:color="auto"/>
              <w:left w:val="nil"/>
              <w:bottom w:val="single" w:sz="4" w:space="0" w:color="auto"/>
              <w:right w:val="nil"/>
            </w:tcBorders>
            <w:shd w:val="clear" w:color="auto" w:fill="auto"/>
            <w:noWrap/>
            <w:vAlign w:val="bottom"/>
            <w:hideMark/>
          </w:tcPr>
          <w:p w:rsidR="0021437A" w:rsidRPr="0021437A" w:rsidRDefault="0021437A" w:rsidP="0021437A">
            <w:pPr>
              <w:spacing w:after="0" w:line="240" w:lineRule="auto"/>
              <w:jc w:val="right"/>
              <w:rPr>
                <w:rFonts w:ascii="Calibri" w:eastAsia="Times New Roman" w:hAnsi="Calibri" w:cs="Calibri"/>
                <w:color w:val="000000"/>
                <w:lang w:eastAsia="it-IT"/>
              </w:rPr>
            </w:pPr>
            <w:r w:rsidRPr="0021437A">
              <w:rPr>
                <w:rFonts w:ascii="Calibri" w:eastAsia="Times New Roman" w:hAnsi="Calibri" w:cs="Calibri"/>
                <w:color w:val="000000"/>
                <w:lang w:eastAsia="it-IT"/>
              </w:rPr>
              <w:t>2008</w:t>
            </w:r>
          </w:p>
        </w:tc>
        <w:tc>
          <w:tcPr>
            <w:tcW w:w="1060" w:type="dxa"/>
            <w:tcBorders>
              <w:top w:val="single" w:sz="4" w:space="0" w:color="auto"/>
              <w:left w:val="nil"/>
              <w:bottom w:val="single" w:sz="4" w:space="0" w:color="auto"/>
              <w:right w:val="nil"/>
            </w:tcBorders>
            <w:shd w:val="clear" w:color="auto" w:fill="auto"/>
            <w:noWrap/>
            <w:vAlign w:val="bottom"/>
            <w:hideMark/>
          </w:tcPr>
          <w:p w:rsidR="0021437A" w:rsidRPr="0021437A" w:rsidRDefault="0021437A" w:rsidP="0021437A">
            <w:pPr>
              <w:spacing w:after="0" w:line="240" w:lineRule="auto"/>
              <w:jc w:val="right"/>
              <w:rPr>
                <w:rFonts w:ascii="Calibri" w:eastAsia="Times New Roman" w:hAnsi="Calibri" w:cs="Calibri"/>
                <w:color w:val="000000"/>
                <w:lang w:eastAsia="it-IT"/>
              </w:rPr>
            </w:pPr>
            <w:r w:rsidRPr="0021437A">
              <w:rPr>
                <w:rFonts w:ascii="Calibri" w:eastAsia="Times New Roman" w:hAnsi="Calibri" w:cs="Calibri"/>
                <w:color w:val="000000"/>
                <w:lang w:eastAsia="it-IT"/>
              </w:rPr>
              <w:t>2014</w:t>
            </w:r>
          </w:p>
        </w:tc>
        <w:tc>
          <w:tcPr>
            <w:tcW w:w="960" w:type="dxa"/>
            <w:tcBorders>
              <w:top w:val="single" w:sz="4" w:space="0" w:color="auto"/>
              <w:left w:val="nil"/>
              <w:bottom w:val="single" w:sz="4" w:space="0" w:color="auto"/>
              <w:right w:val="nil"/>
            </w:tcBorders>
            <w:shd w:val="clear" w:color="auto" w:fill="auto"/>
            <w:noWrap/>
            <w:vAlign w:val="bottom"/>
            <w:hideMark/>
          </w:tcPr>
          <w:p w:rsidR="0021437A" w:rsidRPr="0021437A" w:rsidRDefault="0021437A" w:rsidP="0021437A">
            <w:pPr>
              <w:spacing w:after="0" w:line="240" w:lineRule="auto"/>
              <w:jc w:val="right"/>
              <w:rPr>
                <w:rFonts w:ascii="Calibri" w:eastAsia="Times New Roman" w:hAnsi="Calibri" w:cs="Calibri"/>
                <w:color w:val="000000"/>
                <w:lang w:eastAsia="it-IT"/>
              </w:rPr>
            </w:pPr>
            <w:r w:rsidRPr="0021437A">
              <w:rPr>
                <w:rFonts w:ascii="Calibri" w:eastAsia="Times New Roman" w:hAnsi="Calibri" w:cs="Calibri"/>
                <w:color w:val="000000"/>
                <w:lang w:eastAsia="it-IT"/>
              </w:rPr>
              <w:t>2015</w:t>
            </w:r>
          </w:p>
        </w:tc>
        <w:tc>
          <w:tcPr>
            <w:tcW w:w="1020" w:type="dxa"/>
            <w:tcBorders>
              <w:top w:val="single" w:sz="4" w:space="0" w:color="auto"/>
              <w:left w:val="nil"/>
              <w:bottom w:val="single" w:sz="4" w:space="0" w:color="auto"/>
              <w:right w:val="nil"/>
            </w:tcBorders>
            <w:shd w:val="clear" w:color="auto" w:fill="auto"/>
            <w:noWrap/>
            <w:vAlign w:val="bottom"/>
            <w:hideMark/>
          </w:tcPr>
          <w:p w:rsidR="0021437A" w:rsidRPr="0021437A" w:rsidRDefault="0021437A" w:rsidP="0021437A">
            <w:pPr>
              <w:spacing w:after="0" w:line="240" w:lineRule="auto"/>
              <w:jc w:val="right"/>
              <w:rPr>
                <w:rFonts w:ascii="Calibri" w:eastAsia="Times New Roman" w:hAnsi="Calibri" w:cs="Calibri"/>
                <w:color w:val="000000"/>
                <w:lang w:eastAsia="it-IT"/>
              </w:rPr>
            </w:pPr>
            <w:r w:rsidRPr="0021437A">
              <w:rPr>
                <w:rFonts w:ascii="Calibri" w:eastAsia="Times New Roman" w:hAnsi="Calibri" w:cs="Calibri"/>
                <w:color w:val="000000"/>
                <w:lang w:eastAsia="it-IT"/>
              </w:rPr>
              <w:t>2016</w:t>
            </w:r>
          </w:p>
        </w:tc>
      </w:tr>
      <w:tr w:rsidR="0021437A" w:rsidRPr="0021437A" w:rsidTr="0021437A">
        <w:trPr>
          <w:trHeight w:val="300"/>
        </w:trPr>
        <w:tc>
          <w:tcPr>
            <w:tcW w:w="980" w:type="dxa"/>
            <w:tcBorders>
              <w:top w:val="single" w:sz="4" w:space="0" w:color="auto"/>
              <w:left w:val="nil"/>
              <w:bottom w:val="nil"/>
              <w:right w:val="nil"/>
            </w:tcBorders>
            <w:shd w:val="clear" w:color="auto" w:fill="auto"/>
            <w:noWrap/>
            <w:vAlign w:val="bottom"/>
            <w:hideMark/>
          </w:tcPr>
          <w:p w:rsidR="0021437A" w:rsidRPr="0021437A" w:rsidRDefault="0021437A" w:rsidP="0021437A">
            <w:pPr>
              <w:spacing w:after="0" w:line="240" w:lineRule="auto"/>
              <w:rPr>
                <w:rFonts w:ascii="Calibri" w:eastAsia="Times New Roman" w:hAnsi="Calibri" w:cs="Calibri"/>
                <w:color w:val="000000"/>
                <w:lang w:eastAsia="it-IT"/>
              </w:rPr>
            </w:pPr>
            <w:r w:rsidRPr="0021437A">
              <w:rPr>
                <w:rFonts w:ascii="Calibri" w:eastAsia="Times New Roman" w:hAnsi="Calibri" w:cs="Calibri"/>
                <w:color w:val="000000"/>
                <w:lang w:eastAsia="it-IT"/>
              </w:rPr>
              <w:t>fino a 29</w:t>
            </w:r>
          </w:p>
        </w:tc>
        <w:tc>
          <w:tcPr>
            <w:tcW w:w="960" w:type="dxa"/>
            <w:tcBorders>
              <w:top w:val="single" w:sz="4" w:space="0" w:color="auto"/>
              <w:left w:val="nil"/>
              <w:bottom w:val="nil"/>
              <w:right w:val="nil"/>
            </w:tcBorders>
            <w:shd w:val="clear" w:color="auto" w:fill="auto"/>
            <w:noWrap/>
            <w:vAlign w:val="bottom"/>
            <w:hideMark/>
          </w:tcPr>
          <w:p w:rsidR="0021437A" w:rsidRPr="0021437A" w:rsidRDefault="0021437A" w:rsidP="0021437A">
            <w:pPr>
              <w:spacing w:after="0" w:line="240" w:lineRule="auto"/>
              <w:jc w:val="right"/>
              <w:rPr>
                <w:rFonts w:ascii="Calibri" w:eastAsia="Times New Roman" w:hAnsi="Calibri" w:cs="Calibri"/>
                <w:color w:val="000000"/>
                <w:lang w:eastAsia="it-IT"/>
              </w:rPr>
            </w:pPr>
            <w:r w:rsidRPr="0021437A">
              <w:rPr>
                <w:rFonts w:ascii="Calibri" w:eastAsia="Times New Roman" w:hAnsi="Calibri" w:cs="Calibri"/>
                <w:color w:val="000000"/>
                <w:lang w:eastAsia="it-IT"/>
              </w:rPr>
              <w:t>25%</w:t>
            </w:r>
          </w:p>
        </w:tc>
        <w:tc>
          <w:tcPr>
            <w:tcW w:w="1060" w:type="dxa"/>
            <w:tcBorders>
              <w:top w:val="single" w:sz="4" w:space="0" w:color="auto"/>
              <w:left w:val="nil"/>
              <w:bottom w:val="nil"/>
              <w:right w:val="nil"/>
            </w:tcBorders>
            <w:shd w:val="clear" w:color="auto" w:fill="auto"/>
            <w:noWrap/>
            <w:vAlign w:val="bottom"/>
            <w:hideMark/>
          </w:tcPr>
          <w:p w:rsidR="0021437A" w:rsidRPr="0021437A" w:rsidRDefault="0021437A" w:rsidP="0021437A">
            <w:pPr>
              <w:spacing w:after="0" w:line="240" w:lineRule="auto"/>
              <w:jc w:val="right"/>
              <w:rPr>
                <w:rFonts w:ascii="Calibri" w:eastAsia="Times New Roman" w:hAnsi="Calibri" w:cs="Calibri"/>
                <w:color w:val="000000"/>
                <w:lang w:eastAsia="it-IT"/>
              </w:rPr>
            </w:pPr>
            <w:r w:rsidRPr="0021437A">
              <w:rPr>
                <w:rFonts w:ascii="Calibri" w:eastAsia="Times New Roman" w:hAnsi="Calibri" w:cs="Calibri"/>
                <w:color w:val="000000"/>
                <w:lang w:eastAsia="it-IT"/>
              </w:rPr>
              <w:t>19%</w:t>
            </w:r>
          </w:p>
        </w:tc>
        <w:tc>
          <w:tcPr>
            <w:tcW w:w="960" w:type="dxa"/>
            <w:tcBorders>
              <w:top w:val="single" w:sz="4" w:space="0" w:color="auto"/>
              <w:left w:val="nil"/>
              <w:bottom w:val="nil"/>
              <w:right w:val="nil"/>
            </w:tcBorders>
            <w:shd w:val="clear" w:color="auto" w:fill="auto"/>
            <w:noWrap/>
            <w:vAlign w:val="bottom"/>
            <w:hideMark/>
          </w:tcPr>
          <w:p w:rsidR="0021437A" w:rsidRPr="0021437A" w:rsidRDefault="0021437A" w:rsidP="0021437A">
            <w:pPr>
              <w:spacing w:after="0" w:line="240" w:lineRule="auto"/>
              <w:jc w:val="right"/>
              <w:rPr>
                <w:rFonts w:ascii="Calibri" w:eastAsia="Times New Roman" w:hAnsi="Calibri" w:cs="Calibri"/>
                <w:color w:val="000000"/>
                <w:lang w:eastAsia="it-IT"/>
              </w:rPr>
            </w:pPr>
            <w:r w:rsidRPr="0021437A">
              <w:rPr>
                <w:rFonts w:ascii="Calibri" w:eastAsia="Times New Roman" w:hAnsi="Calibri" w:cs="Calibri"/>
                <w:color w:val="000000"/>
                <w:lang w:eastAsia="it-IT"/>
              </w:rPr>
              <w:t>18%</w:t>
            </w:r>
          </w:p>
        </w:tc>
        <w:tc>
          <w:tcPr>
            <w:tcW w:w="1020" w:type="dxa"/>
            <w:tcBorders>
              <w:top w:val="single" w:sz="4" w:space="0" w:color="auto"/>
              <w:left w:val="nil"/>
              <w:bottom w:val="nil"/>
              <w:right w:val="nil"/>
            </w:tcBorders>
            <w:shd w:val="clear" w:color="auto" w:fill="auto"/>
            <w:noWrap/>
            <w:vAlign w:val="bottom"/>
            <w:hideMark/>
          </w:tcPr>
          <w:p w:rsidR="0021437A" w:rsidRPr="0021437A" w:rsidRDefault="0021437A" w:rsidP="0021437A">
            <w:pPr>
              <w:spacing w:after="0" w:line="240" w:lineRule="auto"/>
              <w:jc w:val="right"/>
              <w:rPr>
                <w:rFonts w:ascii="Calibri" w:eastAsia="Times New Roman" w:hAnsi="Calibri" w:cs="Calibri"/>
                <w:color w:val="000000"/>
                <w:lang w:eastAsia="it-IT"/>
              </w:rPr>
            </w:pPr>
            <w:r w:rsidRPr="0021437A">
              <w:rPr>
                <w:rFonts w:ascii="Calibri" w:eastAsia="Times New Roman" w:hAnsi="Calibri" w:cs="Calibri"/>
                <w:color w:val="000000"/>
                <w:lang w:eastAsia="it-IT"/>
              </w:rPr>
              <w:t>18%</w:t>
            </w:r>
          </w:p>
        </w:tc>
      </w:tr>
      <w:tr w:rsidR="0021437A" w:rsidRPr="0021437A" w:rsidTr="0021437A">
        <w:trPr>
          <w:trHeight w:val="300"/>
        </w:trPr>
        <w:tc>
          <w:tcPr>
            <w:tcW w:w="980" w:type="dxa"/>
            <w:tcBorders>
              <w:top w:val="nil"/>
              <w:left w:val="nil"/>
              <w:bottom w:val="nil"/>
              <w:right w:val="nil"/>
            </w:tcBorders>
            <w:shd w:val="clear" w:color="auto" w:fill="auto"/>
            <w:noWrap/>
            <w:vAlign w:val="bottom"/>
            <w:hideMark/>
          </w:tcPr>
          <w:p w:rsidR="0021437A" w:rsidRPr="0021437A" w:rsidRDefault="0021437A" w:rsidP="0021437A">
            <w:pPr>
              <w:spacing w:after="0" w:line="240" w:lineRule="auto"/>
              <w:rPr>
                <w:rFonts w:ascii="Calibri" w:eastAsia="Times New Roman" w:hAnsi="Calibri" w:cs="Calibri"/>
                <w:color w:val="000000"/>
                <w:lang w:eastAsia="it-IT"/>
              </w:rPr>
            </w:pPr>
            <w:r w:rsidRPr="0021437A">
              <w:rPr>
                <w:rFonts w:ascii="Calibri" w:eastAsia="Times New Roman" w:hAnsi="Calibri" w:cs="Calibri"/>
                <w:color w:val="000000"/>
                <w:lang w:eastAsia="it-IT"/>
              </w:rPr>
              <w:t>da 30 a 39</w:t>
            </w:r>
          </w:p>
        </w:tc>
        <w:tc>
          <w:tcPr>
            <w:tcW w:w="960" w:type="dxa"/>
            <w:tcBorders>
              <w:top w:val="nil"/>
              <w:left w:val="nil"/>
              <w:bottom w:val="nil"/>
              <w:right w:val="nil"/>
            </w:tcBorders>
            <w:shd w:val="clear" w:color="auto" w:fill="auto"/>
            <w:noWrap/>
            <w:vAlign w:val="bottom"/>
            <w:hideMark/>
          </w:tcPr>
          <w:p w:rsidR="0021437A" w:rsidRPr="0021437A" w:rsidRDefault="0021437A" w:rsidP="0021437A">
            <w:pPr>
              <w:spacing w:after="0" w:line="240" w:lineRule="auto"/>
              <w:jc w:val="right"/>
              <w:rPr>
                <w:rFonts w:ascii="Calibri" w:eastAsia="Times New Roman" w:hAnsi="Calibri" w:cs="Calibri"/>
                <w:color w:val="000000"/>
                <w:lang w:eastAsia="it-IT"/>
              </w:rPr>
            </w:pPr>
            <w:r w:rsidRPr="0021437A">
              <w:rPr>
                <w:rFonts w:ascii="Calibri" w:eastAsia="Times New Roman" w:hAnsi="Calibri" w:cs="Calibri"/>
                <w:color w:val="000000"/>
                <w:lang w:eastAsia="it-IT"/>
              </w:rPr>
              <w:t>32%</w:t>
            </w:r>
          </w:p>
        </w:tc>
        <w:tc>
          <w:tcPr>
            <w:tcW w:w="1060" w:type="dxa"/>
            <w:tcBorders>
              <w:top w:val="nil"/>
              <w:left w:val="nil"/>
              <w:bottom w:val="nil"/>
              <w:right w:val="nil"/>
            </w:tcBorders>
            <w:shd w:val="clear" w:color="auto" w:fill="auto"/>
            <w:noWrap/>
            <w:vAlign w:val="bottom"/>
            <w:hideMark/>
          </w:tcPr>
          <w:p w:rsidR="0021437A" w:rsidRPr="0021437A" w:rsidRDefault="0021437A" w:rsidP="0021437A">
            <w:pPr>
              <w:spacing w:after="0" w:line="240" w:lineRule="auto"/>
              <w:jc w:val="right"/>
              <w:rPr>
                <w:rFonts w:ascii="Calibri" w:eastAsia="Times New Roman" w:hAnsi="Calibri" w:cs="Calibri"/>
                <w:color w:val="000000"/>
                <w:lang w:eastAsia="it-IT"/>
              </w:rPr>
            </w:pPr>
            <w:r w:rsidRPr="0021437A">
              <w:rPr>
                <w:rFonts w:ascii="Calibri" w:eastAsia="Times New Roman" w:hAnsi="Calibri" w:cs="Calibri"/>
                <w:color w:val="000000"/>
                <w:lang w:eastAsia="it-IT"/>
              </w:rPr>
              <w:t>27%</w:t>
            </w:r>
          </w:p>
        </w:tc>
        <w:tc>
          <w:tcPr>
            <w:tcW w:w="960" w:type="dxa"/>
            <w:tcBorders>
              <w:top w:val="nil"/>
              <w:left w:val="nil"/>
              <w:bottom w:val="nil"/>
              <w:right w:val="nil"/>
            </w:tcBorders>
            <w:shd w:val="clear" w:color="auto" w:fill="auto"/>
            <w:noWrap/>
            <w:vAlign w:val="bottom"/>
            <w:hideMark/>
          </w:tcPr>
          <w:p w:rsidR="0021437A" w:rsidRPr="0021437A" w:rsidRDefault="0021437A" w:rsidP="0021437A">
            <w:pPr>
              <w:spacing w:after="0" w:line="240" w:lineRule="auto"/>
              <w:jc w:val="right"/>
              <w:rPr>
                <w:rFonts w:ascii="Calibri" w:eastAsia="Times New Roman" w:hAnsi="Calibri" w:cs="Calibri"/>
                <w:color w:val="000000"/>
                <w:lang w:eastAsia="it-IT"/>
              </w:rPr>
            </w:pPr>
            <w:r w:rsidRPr="0021437A">
              <w:rPr>
                <w:rFonts w:ascii="Calibri" w:eastAsia="Times New Roman" w:hAnsi="Calibri" w:cs="Calibri"/>
                <w:color w:val="000000"/>
                <w:lang w:eastAsia="it-IT"/>
              </w:rPr>
              <w:t>26%</w:t>
            </w:r>
          </w:p>
        </w:tc>
        <w:tc>
          <w:tcPr>
            <w:tcW w:w="1020" w:type="dxa"/>
            <w:tcBorders>
              <w:top w:val="nil"/>
              <w:left w:val="nil"/>
              <w:bottom w:val="nil"/>
              <w:right w:val="nil"/>
            </w:tcBorders>
            <w:shd w:val="clear" w:color="auto" w:fill="auto"/>
            <w:noWrap/>
            <w:vAlign w:val="bottom"/>
            <w:hideMark/>
          </w:tcPr>
          <w:p w:rsidR="0021437A" w:rsidRPr="0021437A" w:rsidRDefault="0021437A" w:rsidP="0021437A">
            <w:pPr>
              <w:spacing w:after="0" w:line="240" w:lineRule="auto"/>
              <w:jc w:val="right"/>
              <w:rPr>
                <w:rFonts w:ascii="Calibri" w:eastAsia="Times New Roman" w:hAnsi="Calibri" w:cs="Calibri"/>
                <w:color w:val="000000"/>
                <w:lang w:eastAsia="it-IT"/>
              </w:rPr>
            </w:pPr>
            <w:r w:rsidRPr="0021437A">
              <w:rPr>
                <w:rFonts w:ascii="Calibri" w:eastAsia="Times New Roman" w:hAnsi="Calibri" w:cs="Calibri"/>
                <w:color w:val="000000"/>
                <w:lang w:eastAsia="it-IT"/>
              </w:rPr>
              <w:t>25%</w:t>
            </w:r>
          </w:p>
        </w:tc>
      </w:tr>
      <w:tr w:rsidR="0021437A" w:rsidRPr="0021437A" w:rsidTr="0021437A">
        <w:trPr>
          <w:trHeight w:val="300"/>
        </w:trPr>
        <w:tc>
          <w:tcPr>
            <w:tcW w:w="980" w:type="dxa"/>
            <w:tcBorders>
              <w:top w:val="nil"/>
              <w:left w:val="nil"/>
              <w:bottom w:val="nil"/>
              <w:right w:val="nil"/>
            </w:tcBorders>
            <w:shd w:val="clear" w:color="auto" w:fill="auto"/>
            <w:noWrap/>
            <w:vAlign w:val="bottom"/>
            <w:hideMark/>
          </w:tcPr>
          <w:p w:rsidR="0021437A" w:rsidRPr="0021437A" w:rsidRDefault="0021437A" w:rsidP="0021437A">
            <w:pPr>
              <w:spacing w:after="0" w:line="240" w:lineRule="auto"/>
              <w:rPr>
                <w:rFonts w:ascii="Calibri" w:eastAsia="Times New Roman" w:hAnsi="Calibri" w:cs="Calibri"/>
                <w:color w:val="000000"/>
                <w:lang w:eastAsia="it-IT"/>
              </w:rPr>
            </w:pPr>
            <w:r w:rsidRPr="0021437A">
              <w:rPr>
                <w:rFonts w:ascii="Calibri" w:eastAsia="Times New Roman" w:hAnsi="Calibri" w:cs="Calibri"/>
                <w:color w:val="000000"/>
                <w:lang w:eastAsia="it-IT"/>
              </w:rPr>
              <w:t>da 40 a 49</w:t>
            </w:r>
          </w:p>
        </w:tc>
        <w:tc>
          <w:tcPr>
            <w:tcW w:w="960" w:type="dxa"/>
            <w:tcBorders>
              <w:top w:val="nil"/>
              <w:left w:val="nil"/>
              <w:bottom w:val="nil"/>
              <w:right w:val="nil"/>
            </w:tcBorders>
            <w:shd w:val="clear" w:color="auto" w:fill="auto"/>
            <w:noWrap/>
            <w:vAlign w:val="bottom"/>
            <w:hideMark/>
          </w:tcPr>
          <w:p w:rsidR="0021437A" w:rsidRPr="0021437A" w:rsidRDefault="0021437A" w:rsidP="0021437A">
            <w:pPr>
              <w:spacing w:after="0" w:line="240" w:lineRule="auto"/>
              <w:jc w:val="right"/>
              <w:rPr>
                <w:rFonts w:ascii="Calibri" w:eastAsia="Times New Roman" w:hAnsi="Calibri" w:cs="Calibri"/>
                <w:color w:val="000000"/>
                <w:lang w:eastAsia="it-IT"/>
              </w:rPr>
            </w:pPr>
            <w:r w:rsidRPr="0021437A">
              <w:rPr>
                <w:rFonts w:ascii="Calibri" w:eastAsia="Times New Roman" w:hAnsi="Calibri" w:cs="Calibri"/>
                <w:color w:val="000000"/>
                <w:lang w:eastAsia="it-IT"/>
              </w:rPr>
              <w:t>27%</w:t>
            </w:r>
          </w:p>
        </w:tc>
        <w:tc>
          <w:tcPr>
            <w:tcW w:w="1060" w:type="dxa"/>
            <w:tcBorders>
              <w:top w:val="nil"/>
              <w:left w:val="nil"/>
              <w:bottom w:val="nil"/>
              <w:right w:val="nil"/>
            </w:tcBorders>
            <w:shd w:val="clear" w:color="auto" w:fill="auto"/>
            <w:noWrap/>
            <w:vAlign w:val="bottom"/>
            <w:hideMark/>
          </w:tcPr>
          <w:p w:rsidR="0021437A" w:rsidRPr="0021437A" w:rsidRDefault="0021437A" w:rsidP="0021437A">
            <w:pPr>
              <w:spacing w:after="0" w:line="240" w:lineRule="auto"/>
              <w:jc w:val="right"/>
              <w:rPr>
                <w:rFonts w:ascii="Calibri" w:eastAsia="Times New Roman" w:hAnsi="Calibri" w:cs="Calibri"/>
                <w:color w:val="000000"/>
                <w:lang w:eastAsia="it-IT"/>
              </w:rPr>
            </w:pPr>
            <w:r w:rsidRPr="0021437A">
              <w:rPr>
                <w:rFonts w:ascii="Calibri" w:eastAsia="Times New Roman" w:hAnsi="Calibri" w:cs="Calibri"/>
                <w:color w:val="000000"/>
                <w:lang w:eastAsia="it-IT"/>
              </w:rPr>
              <w:t>30%</w:t>
            </w:r>
          </w:p>
        </w:tc>
        <w:tc>
          <w:tcPr>
            <w:tcW w:w="960" w:type="dxa"/>
            <w:tcBorders>
              <w:top w:val="nil"/>
              <w:left w:val="nil"/>
              <w:bottom w:val="nil"/>
              <w:right w:val="nil"/>
            </w:tcBorders>
            <w:shd w:val="clear" w:color="auto" w:fill="auto"/>
            <w:noWrap/>
            <w:vAlign w:val="bottom"/>
            <w:hideMark/>
          </w:tcPr>
          <w:p w:rsidR="0021437A" w:rsidRPr="0021437A" w:rsidRDefault="0021437A" w:rsidP="0021437A">
            <w:pPr>
              <w:spacing w:after="0" w:line="240" w:lineRule="auto"/>
              <w:jc w:val="right"/>
              <w:rPr>
                <w:rFonts w:ascii="Calibri" w:eastAsia="Times New Roman" w:hAnsi="Calibri" w:cs="Calibri"/>
                <w:color w:val="000000"/>
                <w:lang w:eastAsia="it-IT"/>
              </w:rPr>
            </w:pPr>
            <w:r w:rsidRPr="0021437A">
              <w:rPr>
                <w:rFonts w:ascii="Calibri" w:eastAsia="Times New Roman" w:hAnsi="Calibri" w:cs="Calibri"/>
                <w:color w:val="000000"/>
                <w:lang w:eastAsia="it-IT"/>
              </w:rPr>
              <w:t>30%</w:t>
            </w:r>
          </w:p>
        </w:tc>
        <w:tc>
          <w:tcPr>
            <w:tcW w:w="1020" w:type="dxa"/>
            <w:tcBorders>
              <w:top w:val="nil"/>
              <w:left w:val="nil"/>
              <w:bottom w:val="nil"/>
              <w:right w:val="nil"/>
            </w:tcBorders>
            <w:shd w:val="clear" w:color="auto" w:fill="auto"/>
            <w:noWrap/>
            <w:vAlign w:val="bottom"/>
            <w:hideMark/>
          </w:tcPr>
          <w:p w:rsidR="0021437A" w:rsidRPr="0021437A" w:rsidRDefault="0021437A" w:rsidP="0021437A">
            <w:pPr>
              <w:spacing w:after="0" w:line="240" w:lineRule="auto"/>
              <w:jc w:val="right"/>
              <w:rPr>
                <w:rFonts w:ascii="Calibri" w:eastAsia="Times New Roman" w:hAnsi="Calibri" w:cs="Calibri"/>
                <w:color w:val="000000"/>
                <w:lang w:eastAsia="it-IT"/>
              </w:rPr>
            </w:pPr>
            <w:r w:rsidRPr="0021437A">
              <w:rPr>
                <w:rFonts w:ascii="Calibri" w:eastAsia="Times New Roman" w:hAnsi="Calibri" w:cs="Calibri"/>
                <w:color w:val="000000"/>
                <w:lang w:eastAsia="it-IT"/>
              </w:rPr>
              <w:t>30%</w:t>
            </w:r>
          </w:p>
        </w:tc>
      </w:tr>
      <w:tr w:rsidR="0021437A" w:rsidRPr="0021437A" w:rsidTr="0021437A">
        <w:trPr>
          <w:trHeight w:val="300"/>
        </w:trPr>
        <w:tc>
          <w:tcPr>
            <w:tcW w:w="980" w:type="dxa"/>
            <w:tcBorders>
              <w:top w:val="nil"/>
              <w:left w:val="nil"/>
              <w:bottom w:val="nil"/>
              <w:right w:val="nil"/>
            </w:tcBorders>
            <w:shd w:val="clear" w:color="auto" w:fill="auto"/>
            <w:noWrap/>
            <w:vAlign w:val="bottom"/>
            <w:hideMark/>
          </w:tcPr>
          <w:p w:rsidR="0021437A" w:rsidRPr="0021437A" w:rsidRDefault="0021437A" w:rsidP="0021437A">
            <w:pPr>
              <w:spacing w:after="0" w:line="240" w:lineRule="auto"/>
              <w:rPr>
                <w:rFonts w:ascii="Calibri" w:eastAsia="Times New Roman" w:hAnsi="Calibri" w:cs="Calibri"/>
                <w:color w:val="000000"/>
                <w:lang w:eastAsia="it-IT"/>
              </w:rPr>
            </w:pPr>
            <w:r w:rsidRPr="0021437A">
              <w:rPr>
                <w:rFonts w:ascii="Calibri" w:eastAsia="Times New Roman" w:hAnsi="Calibri" w:cs="Calibri"/>
                <w:color w:val="000000"/>
                <w:lang w:eastAsia="it-IT"/>
              </w:rPr>
              <w:t>da 50 a 59</w:t>
            </w:r>
          </w:p>
        </w:tc>
        <w:tc>
          <w:tcPr>
            <w:tcW w:w="960" w:type="dxa"/>
            <w:tcBorders>
              <w:top w:val="nil"/>
              <w:left w:val="nil"/>
              <w:bottom w:val="nil"/>
              <w:right w:val="nil"/>
            </w:tcBorders>
            <w:shd w:val="clear" w:color="auto" w:fill="auto"/>
            <w:noWrap/>
            <w:vAlign w:val="bottom"/>
            <w:hideMark/>
          </w:tcPr>
          <w:p w:rsidR="0021437A" w:rsidRPr="0021437A" w:rsidRDefault="0021437A" w:rsidP="0021437A">
            <w:pPr>
              <w:spacing w:after="0" w:line="240" w:lineRule="auto"/>
              <w:jc w:val="right"/>
              <w:rPr>
                <w:rFonts w:ascii="Calibri" w:eastAsia="Times New Roman" w:hAnsi="Calibri" w:cs="Calibri"/>
                <w:color w:val="000000"/>
                <w:lang w:eastAsia="it-IT"/>
              </w:rPr>
            </w:pPr>
            <w:r w:rsidRPr="0021437A">
              <w:rPr>
                <w:rFonts w:ascii="Calibri" w:eastAsia="Times New Roman" w:hAnsi="Calibri" w:cs="Calibri"/>
                <w:color w:val="000000"/>
                <w:lang w:eastAsia="it-IT"/>
              </w:rPr>
              <w:t>14%</w:t>
            </w:r>
          </w:p>
        </w:tc>
        <w:tc>
          <w:tcPr>
            <w:tcW w:w="1060" w:type="dxa"/>
            <w:tcBorders>
              <w:top w:val="nil"/>
              <w:left w:val="nil"/>
              <w:bottom w:val="nil"/>
              <w:right w:val="nil"/>
            </w:tcBorders>
            <w:shd w:val="clear" w:color="auto" w:fill="auto"/>
            <w:noWrap/>
            <w:vAlign w:val="bottom"/>
            <w:hideMark/>
          </w:tcPr>
          <w:p w:rsidR="0021437A" w:rsidRPr="0021437A" w:rsidRDefault="0021437A" w:rsidP="0021437A">
            <w:pPr>
              <w:spacing w:after="0" w:line="240" w:lineRule="auto"/>
              <w:jc w:val="right"/>
              <w:rPr>
                <w:rFonts w:ascii="Calibri" w:eastAsia="Times New Roman" w:hAnsi="Calibri" w:cs="Calibri"/>
                <w:color w:val="000000"/>
                <w:lang w:eastAsia="it-IT"/>
              </w:rPr>
            </w:pPr>
            <w:r w:rsidRPr="0021437A">
              <w:rPr>
                <w:rFonts w:ascii="Calibri" w:eastAsia="Times New Roman" w:hAnsi="Calibri" w:cs="Calibri"/>
                <w:color w:val="000000"/>
                <w:lang w:eastAsia="it-IT"/>
              </w:rPr>
              <w:t>20%</w:t>
            </w:r>
          </w:p>
        </w:tc>
        <w:tc>
          <w:tcPr>
            <w:tcW w:w="960" w:type="dxa"/>
            <w:tcBorders>
              <w:top w:val="nil"/>
              <w:left w:val="nil"/>
              <w:bottom w:val="nil"/>
              <w:right w:val="nil"/>
            </w:tcBorders>
            <w:shd w:val="clear" w:color="auto" w:fill="auto"/>
            <w:noWrap/>
            <w:vAlign w:val="bottom"/>
            <w:hideMark/>
          </w:tcPr>
          <w:p w:rsidR="0021437A" w:rsidRPr="0021437A" w:rsidRDefault="0021437A" w:rsidP="0021437A">
            <w:pPr>
              <w:spacing w:after="0" w:line="240" w:lineRule="auto"/>
              <w:jc w:val="right"/>
              <w:rPr>
                <w:rFonts w:ascii="Calibri" w:eastAsia="Times New Roman" w:hAnsi="Calibri" w:cs="Calibri"/>
                <w:color w:val="000000"/>
                <w:lang w:eastAsia="it-IT"/>
              </w:rPr>
            </w:pPr>
            <w:r w:rsidRPr="0021437A">
              <w:rPr>
                <w:rFonts w:ascii="Calibri" w:eastAsia="Times New Roman" w:hAnsi="Calibri" w:cs="Calibri"/>
                <w:color w:val="000000"/>
                <w:lang w:eastAsia="it-IT"/>
              </w:rPr>
              <w:t>21%</w:t>
            </w:r>
          </w:p>
        </w:tc>
        <w:tc>
          <w:tcPr>
            <w:tcW w:w="1020" w:type="dxa"/>
            <w:tcBorders>
              <w:top w:val="nil"/>
              <w:left w:val="nil"/>
              <w:bottom w:val="nil"/>
              <w:right w:val="nil"/>
            </w:tcBorders>
            <w:shd w:val="clear" w:color="auto" w:fill="auto"/>
            <w:noWrap/>
            <w:vAlign w:val="bottom"/>
            <w:hideMark/>
          </w:tcPr>
          <w:p w:rsidR="0021437A" w:rsidRPr="0021437A" w:rsidRDefault="0021437A" w:rsidP="0021437A">
            <w:pPr>
              <w:spacing w:after="0" w:line="240" w:lineRule="auto"/>
              <w:jc w:val="right"/>
              <w:rPr>
                <w:rFonts w:ascii="Calibri" w:eastAsia="Times New Roman" w:hAnsi="Calibri" w:cs="Calibri"/>
                <w:color w:val="000000"/>
                <w:lang w:eastAsia="it-IT"/>
              </w:rPr>
            </w:pPr>
            <w:r w:rsidRPr="0021437A">
              <w:rPr>
                <w:rFonts w:ascii="Calibri" w:eastAsia="Times New Roman" w:hAnsi="Calibri" w:cs="Calibri"/>
                <w:color w:val="000000"/>
                <w:lang w:eastAsia="it-IT"/>
              </w:rPr>
              <w:t>22%</w:t>
            </w:r>
          </w:p>
        </w:tc>
      </w:tr>
      <w:tr w:rsidR="0021437A" w:rsidRPr="0021437A" w:rsidTr="0021437A">
        <w:trPr>
          <w:trHeight w:val="300"/>
        </w:trPr>
        <w:tc>
          <w:tcPr>
            <w:tcW w:w="980" w:type="dxa"/>
            <w:tcBorders>
              <w:top w:val="nil"/>
              <w:left w:val="nil"/>
              <w:bottom w:val="single" w:sz="4" w:space="0" w:color="auto"/>
              <w:right w:val="nil"/>
            </w:tcBorders>
            <w:shd w:val="clear" w:color="auto" w:fill="auto"/>
            <w:noWrap/>
            <w:vAlign w:val="bottom"/>
            <w:hideMark/>
          </w:tcPr>
          <w:p w:rsidR="0021437A" w:rsidRPr="0021437A" w:rsidRDefault="0021437A" w:rsidP="0021437A">
            <w:pPr>
              <w:spacing w:after="0" w:line="240" w:lineRule="auto"/>
              <w:rPr>
                <w:rFonts w:ascii="Calibri" w:eastAsia="Times New Roman" w:hAnsi="Calibri" w:cs="Calibri"/>
                <w:color w:val="000000"/>
                <w:lang w:eastAsia="it-IT"/>
              </w:rPr>
            </w:pPr>
            <w:r w:rsidRPr="0021437A">
              <w:rPr>
                <w:rFonts w:ascii="Calibri" w:eastAsia="Times New Roman" w:hAnsi="Calibri" w:cs="Calibri"/>
                <w:color w:val="000000"/>
                <w:lang w:eastAsia="it-IT"/>
              </w:rPr>
              <w:t>60 e oltre</w:t>
            </w:r>
          </w:p>
        </w:tc>
        <w:tc>
          <w:tcPr>
            <w:tcW w:w="960" w:type="dxa"/>
            <w:tcBorders>
              <w:top w:val="nil"/>
              <w:left w:val="nil"/>
              <w:bottom w:val="single" w:sz="4" w:space="0" w:color="auto"/>
              <w:right w:val="nil"/>
            </w:tcBorders>
            <w:shd w:val="clear" w:color="auto" w:fill="auto"/>
            <w:noWrap/>
            <w:vAlign w:val="bottom"/>
            <w:hideMark/>
          </w:tcPr>
          <w:p w:rsidR="0021437A" w:rsidRPr="0021437A" w:rsidRDefault="0021437A" w:rsidP="0021437A">
            <w:pPr>
              <w:spacing w:after="0" w:line="240" w:lineRule="auto"/>
              <w:jc w:val="right"/>
              <w:rPr>
                <w:rFonts w:ascii="Calibri" w:eastAsia="Times New Roman" w:hAnsi="Calibri" w:cs="Calibri"/>
                <w:color w:val="000000"/>
                <w:lang w:eastAsia="it-IT"/>
              </w:rPr>
            </w:pPr>
            <w:r w:rsidRPr="0021437A">
              <w:rPr>
                <w:rFonts w:ascii="Calibri" w:eastAsia="Times New Roman" w:hAnsi="Calibri" w:cs="Calibri"/>
                <w:color w:val="000000"/>
                <w:lang w:eastAsia="it-IT"/>
              </w:rPr>
              <w:t>3%</w:t>
            </w:r>
          </w:p>
        </w:tc>
        <w:tc>
          <w:tcPr>
            <w:tcW w:w="1060" w:type="dxa"/>
            <w:tcBorders>
              <w:top w:val="nil"/>
              <w:left w:val="nil"/>
              <w:bottom w:val="single" w:sz="4" w:space="0" w:color="auto"/>
              <w:right w:val="nil"/>
            </w:tcBorders>
            <w:shd w:val="clear" w:color="auto" w:fill="auto"/>
            <w:noWrap/>
            <w:vAlign w:val="bottom"/>
            <w:hideMark/>
          </w:tcPr>
          <w:p w:rsidR="0021437A" w:rsidRPr="0021437A" w:rsidRDefault="0021437A" w:rsidP="0021437A">
            <w:pPr>
              <w:spacing w:after="0" w:line="240" w:lineRule="auto"/>
              <w:jc w:val="right"/>
              <w:rPr>
                <w:rFonts w:ascii="Calibri" w:eastAsia="Times New Roman" w:hAnsi="Calibri" w:cs="Calibri"/>
                <w:color w:val="000000"/>
                <w:lang w:eastAsia="it-IT"/>
              </w:rPr>
            </w:pPr>
            <w:r w:rsidRPr="0021437A">
              <w:rPr>
                <w:rFonts w:ascii="Calibri" w:eastAsia="Times New Roman" w:hAnsi="Calibri" w:cs="Calibri"/>
                <w:color w:val="000000"/>
                <w:lang w:eastAsia="it-IT"/>
              </w:rPr>
              <w:t>4%</w:t>
            </w:r>
          </w:p>
        </w:tc>
        <w:tc>
          <w:tcPr>
            <w:tcW w:w="960" w:type="dxa"/>
            <w:tcBorders>
              <w:top w:val="nil"/>
              <w:left w:val="nil"/>
              <w:bottom w:val="single" w:sz="4" w:space="0" w:color="auto"/>
              <w:right w:val="nil"/>
            </w:tcBorders>
            <w:shd w:val="clear" w:color="auto" w:fill="auto"/>
            <w:noWrap/>
            <w:vAlign w:val="bottom"/>
            <w:hideMark/>
          </w:tcPr>
          <w:p w:rsidR="0021437A" w:rsidRPr="0021437A" w:rsidRDefault="0021437A" w:rsidP="0021437A">
            <w:pPr>
              <w:spacing w:after="0" w:line="240" w:lineRule="auto"/>
              <w:jc w:val="right"/>
              <w:rPr>
                <w:rFonts w:ascii="Calibri" w:eastAsia="Times New Roman" w:hAnsi="Calibri" w:cs="Calibri"/>
                <w:color w:val="000000"/>
                <w:lang w:eastAsia="it-IT"/>
              </w:rPr>
            </w:pPr>
            <w:r w:rsidRPr="0021437A">
              <w:rPr>
                <w:rFonts w:ascii="Calibri" w:eastAsia="Times New Roman" w:hAnsi="Calibri" w:cs="Calibri"/>
                <w:color w:val="000000"/>
                <w:lang w:eastAsia="it-IT"/>
              </w:rPr>
              <w:t>5%</w:t>
            </w:r>
          </w:p>
        </w:tc>
        <w:tc>
          <w:tcPr>
            <w:tcW w:w="1020" w:type="dxa"/>
            <w:tcBorders>
              <w:top w:val="nil"/>
              <w:left w:val="nil"/>
              <w:bottom w:val="single" w:sz="4" w:space="0" w:color="auto"/>
              <w:right w:val="nil"/>
            </w:tcBorders>
            <w:shd w:val="clear" w:color="auto" w:fill="auto"/>
            <w:noWrap/>
            <w:vAlign w:val="bottom"/>
            <w:hideMark/>
          </w:tcPr>
          <w:p w:rsidR="0021437A" w:rsidRPr="0021437A" w:rsidRDefault="0021437A" w:rsidP="0021437A">
            <w:pPr>
              <w:spacing w:after="0" w:line="240" w:lineRule="auto"/>
              <w:jc w:val="right"/>
              <w:rPr>
                <w:rFonts w:ascii="Calibri" w:eastAsia="Times New Roman" w:hAnsi="Calibri" w:cs="Calibri"/>
                <w:color w:val="000000"/>
                <w:lang w:eastAsia="it-IT"/>
              </w:rPr>
            </w:pPr>
            <w:r w:rsidRPr="0021437A">
              <w:rPr>
                <w:rFonts w:ascii="Calibri" w:eastAsia="Times New Roman" w:hAnsi="Calibri" w:cs="Calibri"/>
                <w:color w:val="000000"/>
                <w:lang w:eastAsia="it-IT"/>
              </w:rPr>
              <w:t>5%</w:t>
            </w:r>
          </w:p>
        </w:tc>
      </w:tr>
      <w:tr w:rsidR="0021437A" w:rsidRPr="0021437A" w:rsidTr="0021437A">
        <w:trPr>
          <w:trHeight w:val="300"/>
        </w:trPr>
        <w:tc>
          <w:tcPr>
            <w:tcW w:w="980" w:type="dxa"/>
            <w:tcBorders>
              <w:top w:val="single" w:sz="4" w:space="0" w:color="auto"/>
              <w:left w:val="nil"/>
              <w:bottom w:val="single" w:sz="4" w:space="0" w:color="auto"/>
              <w:right w:val="nil"/>
            </w:tcBorders>
            <w:shd w:val="clear" w:color="auto" w:fill="auto"/>
            <w:noWrap/>
            <w:vAlign w:val="bottom"/>
            <w:hideMark/>
          </w:tcPr>
          <w:p w:rsidR="0021437A" w:rsidRPr="0021437A" w:rsidRDefault="0021437A" w:rsidP="0021437A">
            <w:pPr>
              <w:spacing w:after="0" w:line="240" w:lineRule="auto"/>
              <w:jc w:val="right"/>
              <w:rPr>
                <w:rFonts w:ascii="Calibri" w:eastAsia="Times New Roman" w:hAnsi="Calibri" w:cs="Calibri"/>
                <w:color w:val="000000"/>
                <w:lang w:eastAsia="it-IT"/>
              </w:rPr>
            </w:pPr>
          </w:p>
        </w:tc>
        <w:tc>
          <w:tcPr>
            <w:tcW w:w="960" w:type="dxa"/>
            <w:tcBorders>
              <w:top w:val="single" w:sz="4" w:space="0" w:color="auto"/>
              <w:left w:val="nil"/>
              <w:bottom w:val="single" w:sz="4" w:space="0" w:color="auto"/>
              <w:right w:val="nil"/>
            </w:tcBorders>
            <w:shd w:val="clear" w:color="auto" w:fill="auto"/>
            <w:noWrap/>
            <w:vAlign w:val="bottom"/>
            <w:hideMark/>
          </w:tcPr>
          <w:p w:rsidR="0021437A" w:rsidRPr="0021437A" w:rsidRDefault="0021437A" w:rsidP="0021437A">
            <w:pPr>
              <w:spacing w:after="0" w:line="240" w:lineRule="auto"/>
              <w:jc w:val="right"/>
              <w:rPr>
                <w:rFonts w:ascii="Calibri" w:eastAsia="Times New Roman" w:hAnsi="Calibri" w:cs="Calibri"/>
                <w:color w:val="000000"/>
                <w:lang w:eastAsia="it-IT"/>
              </w:rPr>
            </w:pPr>
            <w:r w:rsidRPr="0021437A">
              <w:rPr>
                <w:rFonts w:ascii="Calibri" w:eastAsia="Times New Roman" w:hAnsi="Calibri" w:cs="Calibri"/>
                <w:color w:val="000000"/>
                <w:lang w:eastAsia="it-IT"/>
              </w:rPr>
              <w:t>100%</w:t>
            </w:r>
          </w:p>
        </w:tc>
        <w:tc>
          <w:tcPr>
            <w:tcW w:w="1060" w:type="dxa"/>
            <w:tcBorders>
              <w:top w:val="single" w:sz="4" w:space="0" w:color="auto"/>
              <w:left w:val="nil"/>
              <w:bottom w:val="single" w:sz="4" w:space="0" w:color="auto"/>
              <w:right w:val="nil"/>
            </w:tcBorders>
            <w:shd w:val="clear" w:color="auto" w:fill="auto"/>
            <w:noWrap/>
            <w:vAlign w:val="bottom"/>
            <w:hideMark/>
          </w:tcPr>
          <w:p w:rsidR="0021437A" w:rsidRPr="0021437A" w:rsidRDefault="0021437A" w:rsidP="0021437A">
            <w:pPr>
              <w:spacing w:after="0" w:line="240" w:lineRule="auto"/>
              <w:jc w:val="right"/>
              <w:rPr>
                <w:rFonts w:ascii="Calibri" w:eastAsia="Times New Roman" w:hAnsi="Calibri" w:cs="Calibri"/>
                <w:color w:val="000000"/>
                <w:lang w:eastAsia="it-IT"/>
              </w:rPr>
            </w:pPr>
            <w:r w:rsidRPr="0021437A">
              <w:rPr>
                <w:rFonts w:ascii="Calibri" w:eastAsia="Times New Roman" w:hAnsi="Calibri" w:cs="Calibri"/>
                <w:color w:val="000000"/>
                <w:lang w:eastAsia="it-IT"/>
              </w:rPr>
              <w:t>100%</w:t>
            </w:r>
          </w:p>
        </w:tc>
        <w:tc>
          <w:tcPr>
            <w:tcW w:w="960" w:type="dxa"/>
            <w:tcBorders>
              <w:top w:val="single" w:sz="4" w:space="0" w:color="auto"/>
              <w:left w:val="nil"/>
              <w:bottom w:val="single" w:sz="4" w:space="0" w:color="auto"/>
              <w:right w:val="nil"/>
            </w:tcBorders>
            <w:shd w:val="clear" w:color="auto" w:fill="auto"/>
            <w:noWrap/>
            <w:vAlign w:val="bottom"/>
            <w:hideMark/>
          </w:tcPr>
          <w:p w:rsidR="0021437A" w:rsidRPr="0021437A" w:rsidRDefault="0021437A" w:rsidP="0021437A">
            <w:pPr>
              <w:spacing w:after="0" w:line="240" w:lineRule="auto"/>
              <w:jc w:val="right"/>
              <w:rPr>
                <w:rFonts w:ascii="Calibri" w:eastAsia="Times New Roman" w:hAnsi="Calibri" w:cs="Calibri"/>
                <w:color w:val="000000"/>
                <w:lang w:eastAsia="it-IT"/>
              </w:rPr>
            </w:pPr>
            <w:r w:rsidRPr="0021437A">
              <w:rPr>
                <w:rFonts w:ascii="Calibri" w:eastAsia="Times New Roman" w:hAnsi="Calibri" w:cs="Calibri"/>
                <w:color w:val="000000"/>
                <w:lang w:eastAsia="it-IT"/>
              </w:rPr>
              <w:t>100%</w:t>
            </w:r>
          </w:p>
        </w:tc>
        <w:tc>
          <w:tcPr>
            <w:tcW w:w="1020" w:type="dxa"/>
            <w:tcBorders>
              <w:top w:val="single" w:sz="4" w:space="0" w:color="auto"/>
              <w:left w:val="nil"/>
              <w:bottom w:val="single" w:sz="4" w:space="0" w:color="auto"/>
              <w:right w:val="nil"/>
            </w:tcBorders>
            <w:shd w:val="clear" w:color="auto" w:fill="auto"/>
            <w:noWrap/>
            <w:vAlign w:val="bottom"/>
            <w:hideMark/>
          </w:tcPr>
          <w:p w:rsidR="0021437A" w:rsidRPr="0021437A" w:rsidRDefault="0021437A" w:rsidP="0021437A">
            <w:pPr>
              <w:spacing w:after="0" w:line="240" w:lineRule="auto"/>
              <w:jc w:val="right"/>
              <w:rPr>
                <w:rFonts w:ascii="Calibri" w:eastAsia="Times New Roman" w:hAnsi="Calibri" w:cs="Calibri"/>
                <w:color w:val="000000"/>
                <w:lang w:eastAsia="it-IT"/>
              </w:rPr>
            </w:pPr>
            <w:r w:rsidRPr="0021437A">
              <w:rPr>
                <w:rFonts w:ascii="Calibri" w:eastAsia="Times New Roman" w:hAnsi="Calibri" w:cs="Calibri"/>
                <w:color w:val="000000"/>
                <w:lang w:eastAsia="it-IT"/>
              </w:rPr>
              <w:t>100%</w:t>
            </w:r>
          </w:p>
        </w:tc>
      </w:tr>
    </w:tbl>
    <w:p w:rsidR="00D97A4F" w:rsidRPr="00046867" w:rsidRDefault="00D97A4F" w:rsidP="00D97A4F">
      <w:pPr>
        <w:rPr>
          <w:sz w:val="18"/>
          <w:szCs w:val="18"/>
        </w:rPr>
      </w:pPr>
      <w:r w:rsidRPr="00046867">
        <w:rPr>
          <w:sz w:val="18"/>
          <w:szCs w:val="18"/>
        </w:rPr>
        <w:t>Fonte: ns. elab. su dati Inps</w:t>
      </w:r>
    </w:p>
    <w:p w:rsidR="0021437A" w:rsidRDefault="0021437A"/>
    <w:p w:rsidR="0021437A" w:rsidRDefault="0021437A" w:rsidP="0000367F">
      <w:pPr>
        <w:jc w:val="both"/>
      </w:pPr>
      <w:r>
        <w:t>In termini assoluti gli occupati ventenni sono diminuiti, nell’arco di nove anni, di 8200 unità e i trentenni di 7400 unità; aumentano di 3mila unità gli occupati quarantenni, di 8mila i cinquantenni e di 2700 gli ultrasessantenni.</w:t>
      </w:r>
    </w:p>
    <w:p w:rsidR="0021437A" w:rsidRDefault="0021437A"/>
    <w:p w:rsidR="00046867" w:rsidRPr="00046867" w:rsidRDefault="00046867">
      <w:pPr>
        <w:rPr>
          <w:i/>
        </w:rPr>
      </w:pPr>
      <w:r w:rsidRPr="00046867">
        <w:rPr>
          <w:i/>
        </w:rPr>
        <w:t xml:space="preserve">Graf. </w:t>
      </w:r>
      <w:r>
        <w:rPr>
          <w:i/>
        </w:rPr>
        <w:t>10</w:t>
      </w:r>
      <w:r w:rsidRPr="00046867">
        <w:rPr>
          <w:i/>
        </w:rPr>
        <w:t xml:space="preserve"> – Variazione addetti dipendenti privati non</w:t>
      </w:r>
      <w:r>
        <w:rPr>
          <w:i/>
        </w:rPr>
        <w:t xml:space="preserve"> </w:t>
      </w:r>
      <w:r w:rsidRPr="00046867">
        <w:rPr>
          <w:i/>
        </w:rPr>
        <w:t>agricoli 2008-2016</w:t>
      </w:r>
    </w:p>
    <w:p w:rsidR="0021437A" w:rsidRDefault="0021437A">
      <w:r w:rsidRPr="0021437A">
        <w:rPr>
          <w:noProof/>
          <w:lang w:eastAsia="it-IT"/>
        </w:rPr>
        <w:drawing>
          <wp:inline distT="0" distB="0" distL="0" distR="0">
            <wp:extent cx="4581525" cy="2752725"/>
            <wp:effectExtent l="0" t="0" r="9525"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D97A4F" w:rsidRPr="00046867" w:rsidRDefault="00D97A4F" w:rsidP="00D97A4F">
      <w:pPr>
        <w:rPr>
          <w:sz w:val="18"/>
          <w:szCs w:val="18"/>
        </w:rPr>
      </w:pPr>
      <w:r w:rsidRPr="00046867">
        <w:rPr>
          <w:sz w:val="18"/>
          <w:szCs w:val="18"/>
        </w:rPr>
        <w:t>Fonte: ns. elab. su dati Inps</w:t>
      </w:r>
    </w:p>
    <w:p w:rsidR="0021437A" w:rsidRDefault="0021437A"/>
    <w:p w:rsidR="0021437A" w:rsidRDefault="00096493" w:rsidP="00096493">
      <w:pPr>
        <w:jc w:val="both"/>
      </w:pPr>
      <w:r>
        <w:t>La componente immigrata (formata, sulla base dei dati Inps, dai lavoratori con cittadinanza extracomunitaria e da quelli nati in paesi comunitari dell’Europa dell’Est) del lavoro dipendente ha avuto un peso costante, se non declinante, nel periodo considerato, contrariamente a quanto è accaduto in altre province toscane. Infatti il peso dei lavoratori stranieri così definiti oscilla fra l’8% e il 9%, tendendo negli ultimi anni al livello dell’8%. Stranieri sono l’11-12% degli operai, ed una percentuale declinante (dal 17% al 10%) degli apprendisti. Il declino della componente straniera fra gli apprendisti è secondo noi dovuto alla struttura demografica della componente straniera (che subisce un invecchiamento forse ancora più rapido della componente italiana), che vede declinare i nuovi arrivi fra gli immigrati, e semmai aumentare le seconde generazioni nate in Italia, più scolarizzate.</w:t>
      </w:r>
    </w:p>
    <w:p w:rsidR="00F27BE8" w:rsidRPr="00046867" w:rsidRDefault="00D97A4F">
      <w:pPr>
        <w:rPr>
          <w:i/>
        </w:rPr>
      </w:pPr>
      <w:r>
        <w:rPr>
          <w:i/>
        </w:rPr>
        <w:t>Tab. 6</w:t>
      </w:r>
      <w:r w:rsidR="00046867" w:rsidRPr="00046867">
        <w:rPr>
          <w:i/>
        </w:rPr>
        <w:t xml:space="preserve"> – Quota lavoratori stranieri su occupati dipendenti privati non agricoli, 2008-2016.</w:t>
      </w:r>
    </w:p>
    <w:p w:rsidR="00F27BE8" w:rsidRDefault="00F27BE8">
      <w:r w:rsidRPr="00F27BE8">
        <w:rPr>
          <w:noProof/>
          <w:lang w:eastAsia="it-IT"/>
        </w:rPr>
        <w:drawing>
          <wp:inline distT="0" distB="0" distL="0" distR="0">
            <wp:extent cx="6105525" cy="1533525"/>
            <wp:effectExtent l="0" t="0" r="9525"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05525" cy="1533525"/>
                    </a:xfrm>
                    <a:prstGeom prst="rect">
                      <a:avLst/>
                    </a:prstGeom>
                    <a:noFill/>
                    <a:ln>
                      <a:noFill/>
                    </a:ln>
                  </pic:spPr>
                </pic:pic>
              </a:graphicData>
            </a:graphic>
          </wp:inline>
        </w:drawing>
      </w:r>
    </w:p>
    <w:p w:rsidR="00D97A4F" w:rsidRPr="00046867" w:rsidRDefault="00D97A4F" w:rsidP="00D97A4F">
      <w:pPr>
        <w:rPr>
          <w:sz w:val="18"/>
          <w:szCs w:val="18"/>
        </w:rPr>
      </w:pPr>
      <w:r w:rsidRPr="00046867">
        <w:rPr>
          <w:sz w:val="18"/>
          <w:szCs w:val="18"/>
        </w:rPr>
        <w:t>Fonte: ns. elab. su dati Inps</w:t>
      </w:r>
    </w:p>
    <w:p w:rsidR="00D97A4F" w:rsidRDefault="00D97A4F"/>
    <w:p w:rsidR="008A7107" w:rsidRDefault="008A7107" w:rsidP="008A7107">
      <w:pPr>
        <w:jc w:val="both"/>
      </w:pPr>
      <w:r>
        <w:t>In questi anni la quota degli immigrati extracomunitari è cresciuta (circa dal 60% al 65%) a causa della diminuzione della presenza esteuropea, e romena in particolare.</w:t>
      </w:r>
    </w:p>
    <w:p w:rsidR="008A7107" w:rsidRDefault="008A7107" w:rsidP="008A7107">
      <w:pPr>
        <w:jc w:val="both"/>
      </w:pPr>
    </w:p>
    <w:p w:rsidR="002C1789" w:rsidRDefault="002C1789" w:rsidP="008A7107">
      <w:pPr>
        <w:jc w:val="both"/>
      </w:pPr>
      <w:r>
        <w:t>Il mondo del lav</w:t>
      </w:r>
      <w:r w:rsidR="0000367F">
        <w:t xml:space="preserve">oro dipendente della provincia </w:t>
      </w:r>
      <w:r>
        <w:t>di Lucca può essere diviso anche secondo linee interpretative delle forme contrattuali prevalenti, a partire dalle due variabili binarie “lavoro stabile/lavoro precario” e “tempo pieno/part time”. Nel primo caso si contrappone al lavoro a tempo indeterminato tutte le f</w:t>
      </w:r>
      <w:r w:rsidR="0000367F">
        <w:t>orme con</w:t>
      </w:r>
      <w:r>
        <w:t xml:space="preserve">trattuali a tempo determinato o stagionali, ed anche all’apprendistato. Nel secondo caso, operiamo in realtà una stima a partire dal fatto che non disponiamo del dato dei contratti part time in essere, ma solo di un aggregato in cui confluiscono tutti i lavoratori che nell’anno in corso hanno avuto almeno un rapporto part time. </w:t>
      </w:r>
    </w:p>
    <w:p w:rsidR="00D97A4F" w:rsidRDefault="00D97A4F" w:rsidP="008A7107">
      <w:pPr>
        <w:jc w:val="both"/>
      </w:pPr>
    </w:p>
    <w:p w:rsidR="00D97A4F" w:rsidRDefault="00D97A4F" w:rsidP="008A7107">
      <w:pPr>
        <w:jc w:val="both"/>
        <w:rPr>
          <w:i/>
        </w:rPr>
      </w:pPr>
      <w:r w:rsidRPr="00D97A4F">
        <w:rPr>
          <w:i/>
        </w:rPr>
        <w:t>Tab. 7 composizione dell’occupazione dipendente privata non agricola per contratto</w:t>
      </w:r>
    </w:p>
    <w:p w:rsidR="00D97A4F" w:rsidRPr="00D97A4F" w:rsidRDefault="00D97A4F" w:rsidP="008A7107">
      <w:pPr>
        <w:jc w:val="both"/>
        <w:rPr>
          <w:i/>
          <w:sz w:val="20"/>
          <w:szCs w:val="20"/>
        </w:rPr>
      </w:pPr>
      <w:r w:rsidRPr="00D97A4F">
        <w:rPr>
          <w:i/>
          <w:sz w:val="20"/>
          <w:szCs w:val="20"/>
        </w:rPr>
        <w:t>(standard= dipende</w:t>
      </w:r>
      <w:r>
        <w:rPr>
          <w:i/>
          <w:sz w:val="20"/>
          <w:szCs w:val="20"/>
        </w:rPr>
        <w:t>n</w:t>
      </w:r>
      <w:r w:rsidRPr="00D97A4F">
        <w:rPr>
          <w:i/>
          <w:sz w:val="20"/>
          <w:szCs w:val="20"/>
        </w:rPr>
        <w:t>te a tempo pieno a tempo  indeterminato)</w:t>
      </w:r>
    </w:p>
    <w:tbl>
      <w:tblPr>
        <w:tblStyle w:val="Grigliatabella"/>
        <w:tblW w:w="0" w:type="auto"/>
        <w:tblLook w:val="04A0" w:firstRow="1" w:lastRow="0" w:firstColumn="1" w:lastColumn="0" w:noHBand="0" w:noVBand="1"/>
      </w:tblPr>
      <w:tblGrid>
        <w:gridCol w:w="1519"/>
        <w:gridCol w:w="222"/>
        <w:gridCol w:w="897"/>
        <w:gridCol w:w="897"/>
        <w:gridCol w:w="897"/>
        <w:gridCol w:w="897"/>
        <w:gridCol w:w="897"/>
        <w:gridCol w:w="835"/>
        <w:gridCol w:w="835"/>
        <w:gridCol w:w="835"/>
        <w:gridCol w:w="875"/>
      </w:tblGrid>
      <w:tr w:rsidR="002C1789" w:rsidRPr="002C1789" w:rsidTr="00D97A4F">
        <w:trPr>
          <w:trHeight w:val="300"/>
        </w:trPr>
        <w:tc>
          <w:tcPr>
            <w:tcW w:w="1519" w:type="dxa"/>
            <w:noWrap/>
            <w:hideMark/>
          </w:tcPr>
          <w:p w:rsidR="002C1789" w:rsidRPr="002C1789" w:rsidRDefault="002C1789" w:rsidP="002C1789">
            <w:pPr>
              <w:jc w:val="both"/>
              <w:rPr>
                <w:sz w:val="20"/>
                <w:szCs w:val="20"/>
              </w:rPr>
            </w:pPr>
          </w:p>
        </w:tc>
        <w:tc>
          <w:tcPr>
            <w:tcW w:w="222" w:type="dxa"/>
          </w:tcPr>
          <w:p w:rsidR="002C1789" w:rsidRPr="002C1789" w:rsidRDefault="002C1789" w:rsidP="002C1789">
            <w:pPr>
              <w:jc w:val="both"/>
              <w:rPr>
                <w:sz w:val="20"/>
                <w:szCs w:val="20"/>
              </w:rPr>
            </w:pPr>
          </w:p>
        </w:tc>
        <w:tc>
          <w:tcPr>
            <w:tcW w:w="897" w:type="dxa"/>
            <w:noWrap/>
            <w:hideMark/>
          </w:tcPr>
          <w:p w:rsidR="002C1789" w:rsidRPr="002C1789" w:rsidRDefault="002C1789" w:rsidP="002C1789">
            <w:pPr>
              <w:jc w:val="right"/>
              <w:rPr>
                <w:sz w:val="20"/>
                <w:szCs w:val="20"/>
              </w:rPr>
            </w:pPr>
            <w:r w:rsidRPr="002C1789">
              <w:rPr>
                <w:sz w:val="20"/>
                <w:szCs w:val="20"/>
              </w:rPr>
              <w:t>2008</w:t>
            </w:r>
          </w:p>
        </w:tc>
        <w:tc>
          <w:tcPr>
            <w:tcW w:w="897" w:type="dxa"/>
            <w:noWrap/>
            <w:hideMark/>
          </w:tcPr>
          <w:p w:rsidR="002C1789" w:rsidRPr="002C1789" w:rsidRDefault="002C1789" w:rsidP="002C1789">
            <w:pPr>
              <w:jc w:val="right"/>
              <w:rPr>
                <w:sz w:val="20"/>
                <w:szCs w:val="20"/>
              </w:rPr>
            </w:pPr>
            <w:r w:rsidRPr="002C1789">
              <w:rPr>
                <w:sz w:val="20"/>
                <w:szCs w:val="20"/>
              </w:rPr>
              <w:t>2009</w:t>
            </w:r>
          </w:p>
        </w:tc>
        <w:tc>
          <w:tcPr>
            <w:tcW w:w="897" w:type="dxa"/>
            <w:noWrap/>
            <w:hideMark/>
          </w:tcPr>
          <w:p w:rsidR="002C1789" w:rsidRPr="002C1789" w:rsidRDefault="002C1789" w:rsidP="002C1789">
            <w:pPr>
              <w:jc w:val="right"/>
              <w:rPr>
                <w:sz w:val="20"/>
                <w:szCs w:val="20"/>
              </w:rPr>
            </w:pPr>
            <w:r w:rsidRPr="002C1789">
              <w:rPr>
                <w:sz w:val="20"/>
                <w:szCs w:val="20"/>
              </w:rPr>
              <w:t>2010</w:t>
            </w:r>
          </w:p>
        </w:tc>
        <w:tc>
          <w:tcPr>
            <w:tcW w:w="897" w:type="dxa"/>
            <w:noWrap/>
            <w:hideMark/>
          </w:tcPr>
          <w:p w:rsidR="002C1789" w:rsidRPr="002C1789" w:rsidRDefault="002C1789" w:rsidP="002C1789">
            <w:pPr>
              <w:jc w:val="right"/>
              <w:rPr>
                <w:sz w:val="20"/>
                <w:szCs w:val="20"/>
              </w:rPr>
            </w:pPr>
            <w:r w:rsidRPr="002C1789">
              <w:rPr>
                <w:sz w:val="20"/>
                <w:szCs w:val="20"/>
              </w:rPr>
              <w:t>2011</w:t>
            </w:r>
          </w:p>
        </w:tc>
        <w:tc>
          <w:tcPr>
            <w:tcW w:w="897" w:type="dxa"/>
            <w:noWrap/>
            <w:hideMark/>
          </w:tcPr>
          <w:p w:rsidR="002C1789" w:rsidRPr="002C1789" w:rsidRDefault="002C1789" w:rsidP="002C1789">
            <w:pPr>
              <w:jc w:val="right"/>
              <w:rPr>
                <w:sz w:val="20"/>
                <w:szCs w:val="20"/>
              </w:rPr>
            </w:pPr>
            <w:r w:rsidRPr="002C1789">
              <w:rPr>
                <w:sz w:val="20"/>
                <w:szCs w:val="20"/>
              </w:rPr>
              <w:t>2012</w:t>
            </w:r>
          </w:p>
        </w:tc>
        <w:tc>
          <w:tcPr>
            <w:tcW w:w="835" w:type="dxa"/>
            <w:noWrap/>
            <w:hideMark/>
          </w:tcPr>
          <w:p w:rsidR="002C1789" w:rsidRPr="002C1789" w:rsidRDefault="002C1789" w:rsidP="002C1789">
            <w:pPr>
              <w:jc w:val="right"/>
              <w:rPr>
                <w:sz w:val="20"/>
                <w:szCs w:val="20"/>
              </w:rPr>
            </w:pPr>
            <w:r w:rsidRPr="002C1789">
              <w:rPr>
                <w:sz w:val="20"/>
                <w:szCs w:val="20"/>
              </w:rPr>
              <w:t>2013</w:t>
            </w:r>
          </w:p>
        </w:tc>
        <w:tc>
          <w:tcPr>
            <w:tcW w:w="835" w:type="dxa"/>
            <w:noWrap/>
            <w:hideMark/>
          </w:tcPr>
          <w:p w:rsidR="002C1789" w:rsidRPr="002C1789" w:rsidRDefault="002C1789" w:rsidP="002C1789">
            <w:pPr>
              <w:jc w:val="right"/>
              <w:rPr>
                <w:sz w:val="20"/>
                <w:szCs w:val="20"/>
              </w:rPr>
            </w:pPr>
            <w:r w:rsidRPr="002C1789">
              <w:rPr>
                <w:sz w:val="20"/>
                <w:szCs w:val="20"/>
              </w:rPr>
              <w:t>2014</w:t>
            </w:r>
          </w:p>
        </w:tc>
        <w:tc>
          <w:tcPr>
            <w:tcW w:w="835" w:type="dxa"/>
            <w:noWrap/>
            <w:hideMark/>
          </w:tcPr>
          <w:p w:rsidR="002C1789" w:rsidRPr="002C1789" w:rsidRDefault="002C1789" w:rsidP="002C1789">
            <w:pPr>
              <w:jc w:val="right"/>
              <w:rPr>
                <w:sz w:val="20"/>
                <w:szCs w:val="20"/>
              </w:rPr>
            </w:pPr>
            <w:r w:rsidRPr="002C1789">
              <w:rPr>
                <w:sz w:val="20"/>
                <w:szCs w:val="20"/>
              </w:rPr>
              <w:t>2015</w:t>
            </w:r>
          </w:p>
        </w:tc>
        <w:tc>
          <w:tcPr>
            <w:tcW w:w="875" w:type="dxa"/>
            <w:noWrap/>
            <w:hideMark/>
          </w:tcPr>
          <w:p w:rsidR="002C1789" w:rsidRPr="002C1789" w:rsidRDefault="002C1789" w:rsidP="002C1789">
            <w:pPr>
              <w:jc w:val="right"/>
              <w:rPr>
                <w:sz w:val="20"/>
                <w:szCs w:val="20"/>
              </w:rPr>
            </w:pPr>
            <w:r w:rsidRPr="002C1789">
              <w:rPr>
                <w:sz w:val="20"/>
                <w:szCs w:val="20"/>
              </w:rPr>
              <w:t>2016</w:t>
            </w:r>
          </w:p>
        </w:tc>
      </w:tr>
      <w:tr w:rsidR="002C1789" w:rsidRPr="002C1789" w:rsidTr="00D97A4F">
        <w:trPr>
          <w:trHeight w:val="300"/>
        </w:trPr>
        <w:tc>
          <w:tcPr>
            <w:tcW w:w="1519" w:type="dxa"/>
            <w:noWrap/>
            <w:hideMark/>
          </w:tcPr>
          <w:p w:rsidR="002C1789" w:rsidRPr="002C1789" w:rsidRDefault="002C1789" w:rsidP="002C1789">
            <w:pPr>
              <w:jc w:val="both"/>
              <w:rPr>
                <w:sz w:val="20"/>
                <w:szCs w:val="20"/>
              </w:rPr>
            </w:pPr>
            <w:r w:rsidRPr="002C1789">
              <w:rPr>
                <w:sz w:val="20"/>
                <w:szCs w:val="20"/>
              </w:rPr>
              <w:t>standard</w:t>
            </w:r>
          </w:p>
        </w:tc>
        <w:tc>
          <w:tcPr>
            <w:tcW w:w="222" w:type="dxa"/>
          </w:tcPr>
          <w:p w:rsidR="002C1789" w:rsidRPr="002C1789" w:rsidRDefault="002C1789" w:rsidP="002C1789">
            <w:pPr>
              <w:jc w:val="both"/>
              <w:rPr>
                <w:sz w:val="20"/>
                <w:szCs w:val="20"/>
              </w:rPr>
            </w:pPr>
          </w:p>
        </w:tc>
        <w:tc>
          <w:tcPr>
            <w:tcW w:w="897" w:type="dxa"/>
            <w:noWrap/>
            <w:hideMark/>
          </w:tcPr>
          <w:p w:rsidR="002C1789" w:rsidRPr="002C1789" w:rsidRDefault="002C1789" w:rsidP="002C1789">
            <w:pPr>
              <w:jc w:val="right"/>
              <w:rPr>
                <w:sz w:val="20"/>
                <w:szCs w:val="20"/>
              </w:rPr>
            </w:pPr>
            <w:r w:rsidRPr="002C1789">
              <w:rPr>
                <w:sz w:val="20"/>
                <w:szCs w:val="20"/>
              </w:rPr>
              <w:t>55.850</w:t>
            </w:r>
          </w:p>
        </w:tc>
        <w:tc>
          <w:tcPr>
            <w:tcW w:w="897" w:type="dxa"/>
            <w:noWrap/>
            <w:hideMark/>
          </w:tcPr>
          <w:p w:rsidR="002C1789" w:rsidRPr="002C1789" w:rsidRDefault="002C1789" w:rsidP="002C1789">
            <w:pPr>
              <w:jc w:val="right"/>
              <w:rPr>
                <w:sz w:val="20"/>
                <w:szCs w:val="20"/>
              </w:rPr>
            </w:pPr>
            <w:r w:rsidRPr="002C1789">
              <w:rPr>
                <w:sz w:val="20"/>
                <w:szCs w:val="20"/>
              </w:rPr>
              <w:t>55.920</w:t>
            </w:r>
          </w:p>
        </w:tc>
        <w:tc>
          <w:tcPr>
            <w:tcW w:w="897" w:type="dxa"/>
            <w:noWrap/>
            <w:hideMark/>
          </w:tcPr>
          <w:p w:rsidR="002C1789" w:rsidRPr="002C1789" w:rsidRDefault="002C1789" w:rsidP="002C1789">
            <w:pPr>
              <w:jc w:val="right"/>
              <w:rPr>
                <w:sz w:val="20"/>
                <w:szCs w:val="20"/>
              </w:rPr>
            </w:pPr>
            <w:r w:rsidRPr="002C1789">
              <w:rPr>
                <w:sz w:val="20"/>
                <w:szCs w:val="20"/>
              </w:rPr>
              <w:t>55.208</w:t>
            </w:r>
          </w:p>
        </w:tc>
        <w:tc>
          <w:tcPr>
            <w:tcW w:w="897" w:type="dxa"/>
            <w:noWrap/>
            <w:hideMark/>
          </w:tcPr>
          <w:p w:rsidR="002C1789" w:rsidRPr="002C1789" w:rsidRDefault="002C1789" w:rsidP="002C1789">
            <w:pPr>
              <w:jc w:val="right"/>
              <w:rPr>
                <w:sz w:val="20"/>
                <w:szCs w:val="20"/>
              </w:rPr>
            </w:pPr>
            <w:r w:rsidRPr="002C1789">
              <w:rPr>
                <w:sz w:val="20"/>
                <w:szCs w:val="20"/>
              </w:rPr>
              <w:t>54.872</w:t>
            </w:r>
          </w:p>
        </w:tc>
        <w:tc>
          <w:tcPr>
            <w:tcW w:w="897" w:type="dxa"/>
            <w:noWrap/>
            <w:hideMark/>
          </w:tcPr>
          <w:p w:rsidR="002C1789" w:rsidRPr="002C1789" w:rsidRDefault="002C1789" w:rsidP="002C1789">
            <w:pPr>
              <w:jc w:val="right"/>
              <w:rPr>
                <w:sz w:val="20"/>
                <w:szCs w:val="20"/>
              </w:rPr>
            </w:pPr>
            <w:r w:rsidRPr="002C1789">
              <w:rPr>
                <w:sz w:val="20"/>
                <w:szCs w:val="20"/>
              </w:rPr>
              <w:t>53.203</w:t>
            </w:r>
          </w:p>
        </w:tc>
        <w:tc>
          <w:tcPr>
            <w:tcW w:w="835" w:type="dxa"/>
            <w:noWrap/>
            <w:hideMark/>
          </w:tcPr>
          <w:p w:rsidR="002C1789" w:rsidRPr="002C1789" w:rsidRDefault="002C1789" w:rsidP="002C1789">
            <w:pPr>
              <w:jc w:val="right"/>
              <w:rPr>
                <w:sz w:val="20"/>
                <w:szCs w:val="20"/>
              </w:rPr>
            </w:pPr>
            <w:r w:rsidRPr="002C1789">
              <w:rPr>
                <w:sz w:val="20"/>
                <w:szCs w:val="20"/>
              </w:rPr>
              <w:t>50.958</w:t>
            </w:r>
          </w:p>
        </w:tc>
        <w:tc>
          <w:tcPr>
            <w:tcW w:w="835" w:type="dxa"/>
            <w:noWrap/>
            <w:hideMark/>
          </w:tcPr>
          <w:p w:rsidR="002C1789" w:rsidRPr="002C1789" w:rsidRDefault="002C1789" w:rsidP="002C1789">
            <w:pPr>
              <w:jc w:val="right"/>
              <w:rPr>
                <w:sz w:val="20"/>
                <w:szCs w:val="20"/>
              </w:rPr>
            </w:pPr>
            <w:r w:rsidRPr="002C1789">
              <w:rPr>
                <w:sz w:val="20"/>
                <w:szCs w:val="20"/>
              </w:rPr>
              <w:t>49.349</w:t>
            </w:r>
          </w:p>
        </w:tc>
        <w:tc>
          <w:tcPr>
            <w:tcW w:w="835" w:type="dxa"/>
            <w:noWrap/>
            <w:hideMark/>
          </w:tcPr>
          <w:p w:rsidR="002C1789" w:rsidRPr="002C1789" w:rsidRDefault="002C1789" w:rsidP="002C1789">
            <w:pPr>
              <w:jc w:val="right"/>
              <w:rPr>
                <w:sz w:val="20"/>
                <w:szCs w:val="20"/>
              </w:rPr>
            </w:pPr>
            <w:r w:rsidRPr="002C1789">
              <w:rPr>
                <w:sz w:val="20"/>
                <w:szCs w:val="20"/>
              </w:rPr>
              <w:t>51.878</w:t>
            </w:r>
          </w:p>
        </w:tc>
        <w:tc>
          <w:tcPr>
            <w:tcW w:w="875" w:type="dxa"/>
            <w:noWrap/>
            <w:hideMark/>
          </w:tcPr>
          <w:p w:rsidR="002C1789" w:rsidRPr="002C1789" w:rsidRDefault="002C1789" w:rsidP="002C1789">
            <w:pPr>
              <w:jc w:val="right"/>
              <w:rPr>
                <w:sz w:val="20"/>
                <w:szCs w:val="20"/>
              </w:rPr>
            </w:pPr>
            <w:r w:rsidRPr="002C1789">
              <w:rPr>
                <w:sz w:val="20"/>
                <w:szCs w:val="20"/>
              </w:rPr>
              <w:t>51.450</w:t>
            </w:r>
          </w:p>
        </w:tc>
      </w:tr>
      <w:tr w:rsidR="002C1789" w:rsidRPr="002C1789" w:rsidTr="00D97A4F">
        <w:trPr>
          <w:trHeight w:val="300"/>
        </w:trPr>
        <w:tc>
          <w:tcPr>
            <w:tcW w:w="1519" w:type="dxa"/>
            <w:noWrap/>
            <w:hideMark/>
          </w:tcPr>
          <w:p w:rsidR="002C1789" w:rsidRPr="002C1789" w:rsidRDefault="002C1789" w:rsidP="002C1789">
            <w:pPr>
              <w:jc w:val="both"/>
              <w:rPr>
                <w:sz w:val="20"/>
                <w:szCs w:val="20"/>
              </w:rPr>
            </w:pPr>
            <w:r w:rsidRPr="002C1789">
              <w:rPr>
                <w:sz w:val="20"/>
                <w:szCs w:val="20"/>
              </w:rPr>
              <w:t>part time indet.</w:t>
            </w:r>
          </w:p>
        </w:tc>
        <w:tc>
          <w:tcPr>
            <w:tcW w:w="222" w:type="dxa"/>
          </w:tcPr>
          <w:p w:rsidR="002C1789" w:rsidRPr="002C1789" w:rsidRDefault="002C1789" w:rsidP="002C1789">
            <w:pPr>
              <w:jc w:val="both"/>
              <w:rPr>
                <w:sz w:val="20"/>
                <w:szCs w:val="20"/>
              </w:rPr>
            </w:pPr>
          </w:p>
        </w:tc>
        <w:tc>
          <w:tcPr>
            <w:tcW w:w="897" w:type="dxa"/>
            <w:noWrap/>
            <w:hideMark/>
          </w:tcPr>
          <w:p w:rsidR="002C1789" w:rsidRPr="002C1789" w:rsidRDefault="002C1789" w:rsidP="002C1789">
            <w:pPr>
              <w:jc w:val="right"/>
              <w:rPr>
                <w:sz w:val="20"/>
                <w:szCs w:val="20"/>
              </w:rPr>
            </w:pPr>
            <w:r w:rsidRPr="002C1789">
              <w:rPr>
                <w:sz w:val="20"/>
                <w:szCs w:val="20"/>
              </w:rPr>
              <w:t>16.556</w:t>
            </w:r>
          </w:p>
        </w:tc>
        <w:tc>
          <w:tcPr>
            <w:tcW w:w="897" w:type="dxa"/>
            <w:noWrap/>
            <w:hideMark/>
          </w:tcPr>
          <w:p w:rsidR="002C1789" w:rsidRPr="002C1789" w:rsidRDefault="002C1789" w:rsidP="002C1789">
            <w:pPr>
              <w:jc w:val="right"/>
              <w:rPr>
                <w:sz w:val="20"/>
                <w:szCs w:val="20"/>
              </w:rPr>
            </w:pPr>
            <w:r w:rsidRPr="002C1789">
              <w:rPr>
                <w:sz w:val="20"/>
                <w:szCs w:val="20"/>
              </w:rPr>
              <w:t>17.024</w:t>
            </w:r>
          </w:p>
        </w:tc>
        <w:tc>
          <w:tcPr>
            <w:tcW w:w="897" w:type="dxa"/>
            <w:noWrap/>
            <w:hideMark/>
          </w:tcPr>
          <w:p w:rsidR="002C1789" w:rsidRPr="002C1789" w:rsidRDefault="002C1789" w:rsidP="002C1789">
            <w:pPr>
              <w:jc w:val="right"/>
              <w:rPr>
                <w:sz w:val="20"/>
                <w:szCs w:val="20"/>
              </w:rPr>
            </w:pPr>
            <w:r w:rsidRPr="002C1789">
              <w:rPr>
                <w:sz w:val="20"/>
                <w:szCs w:val="20"/>
              </w:rPr>
              <w:t>16.944</w:t>
            </w:r>
          </w:p>
        </w:tc>
        <w:tc>
          <w:tcPr>
            <w:tcW w:w="897" w:type="dxa"/>
            <w:noWrap/>
            <w:hideMark/>
          </w:tcPr>
          <w:p w:rsidR="002C1789" w:rsidRPr="002C1789" w:rsidRDefault="002C1789" w:rsidP="002C1789">
            <w:pPr>
              <w:jc w:val="right"/>
              <w:rPr>
                <w:sz w:val="20"/>
                <w:szCs w:val="20"/>
              </w:rPr>
            </w:pPr>
            <w:r w:rsidRPr="002C1789">
              <w:rPr>
                <w:sz w:val="20"/>
                <w:szCs w:val="20"/>
              </w:rPr>
              <w:t>17.142</w:t>
            </w:r>
          </w:p>
        </w:tc>
        <w:tc>
          <w:tcPr>
            <w:tcW w:w="897" w:type="dxa"/>
            <w:noWrap/>
            <w:hideMark/>
          </w:tcPr>
          <w:p w:rsidR="002C1789" w:rsidRPr="002C1789" w:rsidRDefault="002C1789" w:rsidP="002C1789">
            <w:pPr>
              <w:jc w:val="right"/>
              <w:rPr>
                <w:sz w:val="20"/>
                <w:szCs w:val="20"/>
              </w:rPr>
            </w:pPr>
            <w:r w:rsidRPr="002C1789">
              <w:rPr>
                <w:sz w:val="20"/>
                <w:szCs w:val="20"/>
              </w:rPr>
              <w:t>18.188</w:t>
            </w:r>
          </w:p>
        </w:tc>
        <w:tc>
          <w:tcPr>
            <w:tcW w:w="835" w:type="dxa"/>
            <w:noWrap/>
            <w:hideMark/>
          </w:tcPr>
          <w:p w:rsidR="002C1789" w:rsidRPr="002C1789" w:rsidRDefault="002C1789" w:rsidP="002C1789">
            <w:pPr>
              <w:jc w:val="right"/>
              <w:rPr>
                <w:sz w:val="20"/>
                <w:szCs w:val="20"/>
              </w:rPr>
            </w:pPr>
            <w:r w:rsidRPr="002C1789">
              <w:rPr>
                <w:sz w:val="20"/>
                <w:szCs w:val="20"/>
              </w:rPr>
              <w:t>18.769</w:t>
            </w:r>
          </w:p>
        </w:tc>
        <w:tc>
          <w:tcPr>
            <w:tcW w:w="835" w:type="dxa"/>
            <w:noWrap/>
            <w:hideMark/>
          </w:tcPr>
          <w:p w:rsidR="002C1789" w:rsidRPr="002C1789" w:rsidRDefault="002C1789" w:rsidP="002C1789">
            <w:pPr>
              <w:jc w:val="right"/>
              <w:rPr>
                <w:sz w:val="20"/>
                <w:szCs w:val="20"/>
              </w:rPr>
            </w:pPr>
            <w:r w:rsidRPr="002C1789">
              <w:rPr>
                <w:sz w:val="20"/>
                <w:szCs w:val="20"/>
              </w:rPr>
              <w:t>19.223</w:t>
            </w:r>
          </w:p>
        </w:tc>
        <w:tc>
          <w:tcPr>
            <w:tcW w:w="835" w:type="dxa"/>
            <w:noWrap/>
            <w:hideMark/>
          </w:tcPr>
          <w:p w:rsidR="002C1789" w:rsidRPr="002C1789" w:rsidRDefault="002C1789" w:rsidP="002C1789">
            <w:pPr>
              <w:jc w:val="right"/>
              <w:rPr>
                <w:sz w:val="20"/>
                <w:szCs w:val="20"/>
              </w:rPr>
            </w:pPr>
            <w:r w:rsidRPr="002C1789">
              <w:rPr>
                <w:sz w:val="20"/>
                <w:szCs w:val="20"/>
              </w:rPr>
              <w:t>22.496</w:t>
            </w:r>
          </w:p>
        </w:tc>
        <w:tc>
          <w:tcPr>
            <w:tcW w:w="875" w:type="dxa"/>
            <w:noWrap/>
            <w:hideMark/>
          </w:tcPr>
          <w:p w:rsidR="002C1789" w:rsidRPr="002C1789" w:rsidRDefault="002C1789" w:rsidP="002C1789">
            <w:pPr>
              <w:jc w:val="right"/>
              <w:rPr>
                <w:sz w:val="20"/>
                <w:szCs w:val="20"/>
              </w:rPr>
            </w:pPr>
            <w:r w:rsidRPr="002C1789">
              <w:rPr>
                <w:sz w:val="20"/>
                <w:szCs w:val="20"/>
              </w:rPr>
              <w:t>22.392</w:t>
            </w:r>
          </w:p>
        </w:tc>
      </w:tr>
      <w:tr w:rsidR="002C1789" w:rsidRPr="002C1789" w:rsidTr="00D97A4F">
        <w:trPr>
          <w:trHeight w:val="300"/>
        </w:trPr>
        <w:tc>
          <w:tcPr>
            <w:tcW w:w="1519" w:type="dxa"/>
            <w:noWrap/>
            <w:hideMark/>
          </w:tcPr>
          <w:p w:rsidR="002C1789" w:rsidRPr="002C1789" w:rsidRDefault="002C1789" w:rsidP="002C1789">
            <w:pPr>
              <w:jc w:val="both"/>
              <w:rPr>
                <w:sz w:val="20"/>
                <w:szCs w:val="20"/>
              </w:rPr>
            </w:pPr>
            <w:r w:rsidRPr="002C1789">
              <w:rPr>
                <w:sz w:val="20"/>
                <w:szCs w:val="20"/>
              </w:rPr>
              <w:t>part time a termine</w:t>
            </w:r>
          </w:p>
        </w:tc>
        <w:tc>
          <w:tcPr>
            <w:tcW w:w="222" w:type="dxa"/>
          </w:tcPr>
          <w:p w:rsidR="002C1789" w:rsidRPr="002C1789" w:rsidRDefault="002C1789" w:rsidP="002C1789">
            <w:pPr>
              <w:jc w:val="both"/>
              <w:rPr>
                <w:sz w:val="20"/>
                <w:szCs w:val="20"/>
              </w:rPr>
            </w:pPr>
          </w:p>
        </w:tc>
        <w:tc>
          <w:tcPr>
            <w:tcW w:w="897" w:type="dxa"/>
            <w:noWrap/>
            <w:hideMark/>
          </w:tcPr>
          <w:p w:rsidR="002C1789" w:rsidRPr="002C1789" w:rsidRDefault="002C1789" w:rsidP="002C1789">
            <w:pPr>
              <w:jc w:val="right"/>
              <w:rPr>
                <w:sz w:val="20"/>
                <w:szCs w:val="20"/>
              </w:rPr>
            </w:pPr>
            <w:r w:rsidRPr="002C1789">
              <w:rPr>
                <w:sz w:val="20"/>
                <w:szCs w:val="20"/>
              </w:rPr>
              <w:t>11.917</w:t>
            </w:r>
          </w:p>
        </w:tc>
        <w:tc>
          <w:tcPr>
            <w:tcW w:w="897" w:type="dxa"/>
            <w:noWrap/>
            <w:hideMark/>
          </w:tcPr>
          <w:p w:rsidR="002C1789" w:rsidRPr="002C1789" w:rsidRDefault="002C1789" w:rsidP="002C1789">
            <w:pPr>
              <w:jc w:val="right"/>
              <w:rPr>
                <w:sz w:val="20"/>
                <w:szCs w:val="20"/>
              </w:rPr>
            </w:pPr>
            <w:r w:rsidRPr="002C1789">
              <w:rPr>
                <w:sz w:val="20"/>
                <w:szCs w:val="20"/>
              </w:rPr>
              <w:t>11.762</w:t>
            </w:r>
          </w:p>
        </w:tc>
        <w:tc>
          <w:tcPr>
            <w:tcW w:w="897" w:type="dxa"/>
            <w:noWrap/>
            <w:hideMark/>
          </w:tcPr>
          <w:p w:rsidR="002C1789" w:rsidRPr="002C1789" w:rsidRDefault="002C1789" w:rsidP="002C1789">
            <w:pPr>
              <w:jc w:val="right"/>
              <w:rPr>
                <w:sz w:val="20"/>
                <w:szCs w:val="20"/>
              </w:rPr>
            </w:pPr>
            <w:r w:rsidRPr="002C1789">
              <w:rPr>
                <w:sz w:val="20"/>
                <w:szCs w:val="20"/>
              </w:rPr>
              <w:t>11.912</w:t>
            </w:r>
          </w:p>
        </w:tc>
        <w:tc>
          <w:tcPr>
            <w:tcW w:w="897" w:type="dxa"/>
            <w:noWrap/>
            <w:hideMark/>
          </w:tcPr>
          <w:p w:rsidR="002C1789" w:rsidRPr="002C1789" w:rsidRDefault="002C1789" w:rsidP="002C1789">
            <w:pPr>
              <w:jc w:val="right"/>
              <w:rPr>
                <w:sz w:val="20"/>
                <w:szCs w:val="20"/>
              </w:rPr>
            </w:pPr>
            <w:r w:rsidRPr="002C1789">
              <w:rPr>
                <w:sz w:val="20"/>
                <w:szCs w:val="20"/>
              </w:rPr>
              <w:t>11.680</w:t>
            </w:r>
          </w:p>
        </w:tc>
        <w:tc>
          <w:tcPr>
            <w:tcW w:w="897" w:type="dxa"/>
            <w:noWrap/>
            <w:hideMark/>
          </w:tcPr>
          <w:p w:rsidR="002C1789" w:rsidRPr="002C1789" w:rsidRDefault="002C1789" w:rsidP="002C1789">
            <w:pPr>
              <w:jc w:val="right"/>
              <w:rPr>
                <w:sz w:val="20"/>
                <w:szCs w:val="20"/>
              </w:rPr>
            </w:pPr>
            <w:r w:rsidRPr="002C1789">
              <w:rPr>
                <w:sz w:val="20"/>
                <w:szCs w:val="20"/>
              </w:rPr>
              <w:t>12.380</w:t>
            </w:r>
          </w:p>
        </w:tc>
        <w:tc>
          <w:tcPr>
            <w:tcW w:w="835" w:type="dxa"/>
            <w:noWrap/>
            <w:hideMark/>
          </w:tcPr>
          <w:p w:rsidR="002C1789" w:rsidRPr="002C1789" w:rsidRDefault="002C1789" w:rsidP="002C1789">
            <w:pPr>
              <w:jc w:val="right"/>
              <w:rPr>
                <w:sz w:val="20"/>
                <w:szCs w:val="20"/>
              </w:rPr>
            </w:pPr>
            <w:r w:rsidRPr="002C1789">
              <w:rPr>
                <w:sz w:val="20"/>
                <w:szCs w:val="20"/>
              </w:rPr>
              <w:t>12.493</w:t>
            </w:r>
          </w:p>
        </w:tc>
        <w:tc>
          <w:tcPr>
            <w:tcW w:w="835" w:type="dxa"/>
            <w:noWrap/>
            <w:hideMark/>
          </w:tcPr>
          <w:p w:rsidR="002C1789" w:rsidRPr="002C1789" w:rsidRDefault="002C1789" w:rsidP="002C1789">
            <w:pPr>
              <w:jc w:val="right"/>
              <w:rPr>
                <w:sz w:val="20"/>
                <w:szCs w:val="20"/>
              </w:rPr>
            </w:pPr>
            <w:r w:rsidRPr="002C1789">
              <w:rPr>
                <w:sz w:val="20"/>
                <w:szCs w:val="20"/>
              </w:rPr>
              <w:t>12.932</w:t>
            </w:r>
          </w:p>
        </w:tc>
        <w:tc>
          <w:tcPr>
            <w:tcW w:w="835" w:type="dxa"/>
            <w:noWrap/>
            <w:hideMark/>
          </w:tcPr>
          <w:p w:rsidR="002C1789" w:rsidRPr="002C1789" w:rsidRDefault="002C1789" w:rsidP="002C1789">
            <w:pPr>
              <w:jc w:val="right"/>
              <w:rPr>
                <w:sz w:val="20"/>
                <w:szCs w:val="20"/>
              </w:rPr>
            </w:pPr>
            <w:r w:rsidRPr="002C1789">
              <w:rPr>
                <w:sz w:val="20"/>
                <w:szCs w:val="20"/>
              </w:rPr>
              <w:t>11.519</w:t>
            </w:r>
          </w:p>
        </w:tc>
        <w:tc>
          <w:tcPr>
            <w:tcW w:w="875" w:type="dxa"/>
            <w:noWrap/>
            <w:hideMark/>
          </w:tcPr>
          <w:p w:rsidR="002C1789" w:rsidRPr="002C1789" w:rsidRDefault="002C1789" w:rsidP="002C1789">
            <w:pPr>
              <w:jc w:val="right"/>
              <w:rPr>
                <w:sz w:val="20"/>
                <w:szCs w:val="20"/>
              </w:rPr>
            </w:pPr>
            <w:r w:rsidRPr="002C1789">
              <w:rPr>
                <w:sz w:val="20"/>
                <w:szCs w:val="20"/>
              </w:rPr>
              <w:t>13.052</w:t>
            </w:r>
          </w:p>
        </w:tc>
      </w:tr>
      <w:tr w:rsidR="002C1789" w:rsidRPr="002C1789" w:rsidTr="00D97A4F">
        <w:trPr>
          <w:trHeight w:val="300"/>
        </w:trPr>
        <w:tc>
          <w:tcPr>
            <w:tcW w:w="1519" w:type="dxa"/>
            <w:noWrap/>
            <w:hideMark/>
          </w:tcPr>
          <w:p w:rsidR="002C1789" w:rsidRPr="002C1789" w:rsidRDefault="002C1789" w:rsidP="002C1789">
            <w:pPr>
              <w:jc w:val="both"/>
              <w:rPr>
                <w:sz w:val="20"/>
                <w:szCs w:val="20"/>
              </w:rPr>
            </w:pPr>
            <w:r w:rsidRPr="002C1789">
              <w:rPr>
                <w:sz w:val="20"/>
                <w:szCs w:val="20"/>
              </w:rPr>
              <w:t>full time a termine</w:t>
            </w:r>
          </w:p>
        </w:tc>
        <w:tc>
          <w:tcPr>
            <w:tcW w:w="222" w:type="dxa"/>
          </w:tcPr>
          <w:p w:rsidR="002C1789" w:rsidRPr="002C1789" w:rsidRDefault="002C1789" w:rsidP="002C1789">
            <w:pPr>
              <w:jc w:val="both"/>
              <w:rPr>
                <w:sz w:val="20"/>
                <w:szCs w:val="20"/>
              </w:rPr>
            </w:pPr>
          </w:p>
        </w:tc>
        <w:tc>
          <w:tcPr>
            <w:tcW w:w="897" w:type="dxa"/>
            <w:noWrap/>
            <w:hideMark/>
          </w:tcPr>
          <w:p w:rsidR="002C1789" w:rsidRPr="002C1789" w:rsidRDefault="002C1789" w:rsidP="002C1789">
            <w:pPr>
              <w:jc w:val="right"/>
              <w:rPr>
                <w:sz w:val="20"/>
                <w:szCs w:val="20"/>
              </w:rPr>
            </w:pPr>
            <w:r w:rsidRPr="002C1789">
              <w:rPr>
                <w:sz w:val="20"/>
                <w:szCs w:val="20"/>
              </w:rPr>
              <w:t>18.445</w:t>
            </w:r>
          </w:p>
        </w:tc>
        <w:tc>
          <w:tcPr>
            <w:tcW w:w="897" w:type="dxa"/>
            <w:noWrap/>
            <w:hideMark/>
          </w:tcPr>
          <w:p w:rsidR="002C1789" w:rsidRPr="002C1789" w:rsidRDefault="002C1789" w:rsidP="002C1789">
            <w:pPr>
              <w:jc w:val="right"/>
              <w:rPr>
                <w:sz w:val="20"/>
                <w:szCs w:val="20"/>
              </w:rPr>
            </w:pPr>
            <w:r w:rsidRPr="002C1789">
              <w:rPr>
                <w:sz w:val="20"/>
                <w:szCs w:val="20"/>
              </w:rPr>
              <w:t>17.328</w:t>
            </w:r>
          </w:p>
        </w:tc>
        <w:tc>
          <w:tcPr>
            <w:tcW w:w="897" w:type="dxa"/>
            <w:noWrap/>
            <w:hideMark/>
          </w:tcPr>
          <w:p w:rsidR="002C1789" w:rsidRPr="002C1789" w:rsidRDefault="002C1789" w:rsidP="002C1789">
            <w:pPr>
              <w:jc w:val="right"/>
              <w:rPr>
                <w:sz w:val="20"/>
                <w:szCs w:val="20"/>
              </w:rPr>
            </w:pPr>
            <w:r w:rsidRPr="002C1789">
              <w:rPr>
                <w:sz w:val="20"/>
                <w:szCs w:val="20"/>
              </w:rPr>
              <w:t>17.131</w:t>
            </w:r>
          </w:p>
        </w:tc>
        <w:tc>
          <w:tcPr>
            <w:tcW w:w="897" w:type="dxa"/>
            <w:noWrap/>
            <w:hideMark/>
          </w:tcPr>
          <w:p w:rsidR="002C1789" w:rsidRPr="002C1789" w:rsidRDefault="002C1789" w:rsidP="002C1789">
            <w:pPr>
              <w:jc w:val="right"/>
              <w:rPr>
                <w:sz w:val="20"/>
                <w:szCs w:val="20"/>
              </w:rPr>
            </w:pPr>
            <w:r w:rsidRPr="002C1789">
              <w:rPr>
                <w:sz w:val="20"/>
                <w:szCs w:val="20"/>
              </w:rPr>
              <w:t>17.896</w:t>
            </w:r>
          </w:p>
        </w:tc>
        <w:tc>
          <w:tcPr>
            <w:tcW w:w="897" w:type="dxa"/>
            <w:noWrap/>
            <w:hideMark/>
          </w:tcPr>
          <w:p w:rsidR="002C1789" w:rsidRPr="002C1789" w:rsidRDefault="002C1789" w:rsidP="002C1789">
            <w:pPr>
              <w:jc w:val="right"/>
              <w:rPr>
                <w:sz w:val="20"/>
                <w:szCs w:val="20"/>
              </w:rPr>
            </w:pPr>
            <w:r w:rsidRPr="002C1789">
              <w:rPr>
                <w:sz w:val="20"/>
                <w:szCs w:val="20"/>
              </w:rPr>
              <w:t>16.417</w:t>
            </w:r>
          </w:p>
        </w:tc>
        <w:tc>
          <w:tcPr>
            <w:tcW w:w="835" w:type="dxa"/>
            <w:noWrap/>
            <w:hideMark/>
          </w:tcPr>
          <w:p w:rsidR="002C1789" w:rsidRPr="002C1789" w:rsidRDefault="002C1789" w:rsidP="002C1789">
            <w:pPr>
              <w:jc w:val="right"/>
              <w:rPr>
                <w:sz w:val="20"/>
                <w:szCs w:val="20"/>
              </w:rPr>
            </w:pPr>
            <w:r w:rsidRPr="002C1789">
              <w:rPr>
                <w:sz w:val="20"/>
                <w:szCs w:val="20"/>
              </w:rPr>
              <w:t>14.633</w:t>
            </w:r>
          </w:p>
        </w:tc>
        <w:tc>
          <w:tcPr>
            <w:tcW w:w="835" w:type="dxa"/>
            <w:noWrap/>
            <w:hideMark/>
          </w:tcPr>
          <w:p w:rsidR="002C1789" w:rsidRPr="002C1789" w:rsidRDefault="002C1789" w:rsidP="002C1789">
            <w:pPr>
              <w:jc w:val="right"/>
              <w:rPr>
                <w:sz w:val="20"/>
                <w:szCs w:val="20"/>
              </w:rPr>
            </w:pPr>
            <w:r w:rsidRPr="002C1789">
              <w:rPr>
                <w:sz w:val="20"/>
                <w:szCs w:val="20"/>
              </w:rPr>
              <w:t>15.019</w:t>
            </w:r>
          </w:p>
        </w:tc>
        <w:tc>
          <w:tcPr>
            <w:tcW w:w="835" w:type="dxa"/>
            <w:noWrap/>
            <w:hideMark/>
          </w:tcPr>
          <w:p w:rsidR="002C1789" w:rsidRPr="002C1789" w:rsidRDefault="002C1789" w:rsidP="002C1789">
            <w:pPr>
              <w:jc w:val="right"/>
              <w:rPr>
                <w:sz w:val="20"/>
                <w:szCs w:val="20"/>
              </w:rPr>
            </w:pPr>
            <w:r w:rsidRPr="002C1789">
              <w:rPr>
                <w:sz w:val="20"/>
                <w:szCs w:val="20"/>
              </w:rPr>
              <w:t>12.761</w:t>
            </w:r>
          </w:p>
        </w:tc>
        <w:tc>
          <w:tcPr>
            <w:tcW w:w="875" w:type="dxa"/>
            <w:noWrap/>
            <w:hideMark/>
          </w:tcPr>
          <w:p w:rsidR="002C1789" w:rsidRPr="002C1789" w:rsidRDefault="002C1789" w:rsidP="002C1789">
            <w:pPr>
              <w:jc w:val="right"/>
              <w:rPr>
                <w:sz w:val="20"/>
                <w:szCs w:val="20"/>
              </w:rPr>
            </w:pPr>
            <w:r w:rsidRPr="002C1789">
              <w:rPr>
                <w:sz w:val="20"/>
                <w:szCs w:val="20"/>
              </w:rPr>
              <w:t>14.030</w:t>
            </w:r>
          </w:p>
        </w:tc>
      </w:tr>
      <w:tr w:rsidR="002C1789" w:rsidRPr="002C1789" w:rsidTr="00D97A4F">
        <w:trPr>
          <w:trHeight w:val="300"/>
        </w:trPr>
        <w:tc>
          <w:tcPr>
            <w:tcW w:w="1519" w:type="dxa"/>
            <w:noWrap/>
            <w:hideMark/>
          </w:tcPr>
          <w:p w:rsidR="002C1789" w:rsidRPr="002C1789" w:rsidRDefault="002C1789" w:rsidP="002C1789">
            <w:pPr>
              <w:jc w:val="both"/>
              <w:rPr>
                <w:sz w:val="20"/>
                <w:szCs w:val="20"/>
              </w:rPr>
            </w:pPr>
            <w:r w:rsidRPr="002C1789">
              <w:rPr>
                <w:sz w:val="20"/>
                <w:szCs w:val="20"/>
              </w:rPr>
              <w:t>TOTALE</w:t>
            </w:r>
          </w:p>
        </w:tc>
        <w:tc>
          <w:tcPr>
            <w:tcW w:w="222" w:type="dxa"/>
          </w:tcPr>
          <w:p w:rsidR="002C1789" w:rsidRPr="002C1789" w:rsidRDefault="002C1789" w:rsidP="002C1789">
            <w:pPr>
              <w:jc w:val="both"/>
              <w:rPr>
                <w:sz w:val="20"/>
                <w:szCs w:val="20"/>
              </w:rPr>
            </w:pPr>
          </w:p>
        </w:tc>
        <w:tc>
          <w:tcPr>
            <w:tcW w:w="897" w:type="dxa"/>
            <w:noWrap/>
            <w:hideMark/>
          </w:tcPr>
          <w:p w:rsidR="002C1789" w:rsidRPr="002C1789" w:rsidRDefault="002C1789" w:rsidP="002C1789">
            <w:pPr>
              <w:jc w:val="right"/>
              <w:rPr>
                <w:sz w:val="20"/>
                <w:szCs w:val="20"/>
              </w:rPr>
            </w:pPr>
            <w:r w:rsidRPr="002C1789">
              <w:rPr>
                <w:sz w:val="20"/>
                <w:szCs w:val="20"/>
              </w:rPr>
              <w:t>102.768</w:t>
            </w:r>
          </w:p>
        </w:tc>
        <w:tc>
          <w:tcPr>
            <w:tcW w:w="897" w:type="dxa"/>
            <w:noWrap/>
            <w:hideMark/>
          </w:tcPr>
          <w:p w:rsidR="002C1789" w:rsidRPr="002C1789" w:rsidRDefault="002C1789" w:rsidP="002C1789">
            <w:pPr>
              <w:jc w:val="right"/>
              <w:rPr>
                <w:sz w:val="20"/>
                <w:szCs w:val="20"/>
              </w:rPr>
            </w:pPr>
            <w:r w:rsidRPr="002C1789">
              <w:rPr>
                <w:sz w:val="20"/>
                <w:szCs w:val="20"/>
              </w:rPr>
              <w:t>102.034</w:t>
            </w:r>
          </w:p>
        </w:tc>
        <w:tc>
          <w:tcPr>
            <w:tcW w:w="897" w:type="dxa"/>
            <w:noWrap/>
            <w:hideMark/>
          </w:tcPr>
          <w:p w:rsidR="002C1789" w:rsidRPr="002C1789" w:rsidRDefault="002C1789" w:rsidP="002C1789">
            <w:pPr>
              <w:jc w:val="right"/>
              <w:rPr>
                <w:sz w:val="20"/>
                <w:szCs w:val="20"/>
              </w:rPr>
            </w:pPr>
            <w:r w:rsidRPr="002C1789">
              <w:rPr>
                <w:sz w:val="20"/>
                <w:szCs w:val="20"/>
              </w:rPr>
              <w:t>101.195</w:t>
            </w:r>
          </w:p>
        </w:tc>
        <w:tc>
          <w:tcPr>
            <w:tcW w:w="897" w:type="dxa"/>
            <w:noWrap/>
            <w:hideMark/>
          </w:tcPr>
          <w:p w:rsidR="002C1789" w:rsidRPr="002C1789" w:rsidRDefault="002C1789" w:rsidP="002C1789">
            <w:pPr>
              <w:jc w:val="right"/>
              <w:rPr>
                <w:sz w:val="20"/>
                <w:szCs w:val="20"/>
              </w:rPr>
            </w:pPr>
            <w:r w:rsidRPr="002C1789">
              <w:rPr>
                <w:sz w:val="20"/>
                <w:szCs w:val="20"/>
              </w:rPr>
              <w:t>101.590</w:t>
            </w:r>
          </w:p>
        </w:tc>
        <w:tc>
          <w:tcPr>
            <w:tcW w:w="897" w:type="dxa"/>
            <w:noWrap/>
            <w:hideMark/>
          </w:tcPr>
          <w:p w:rsidR="002C1789" w:rsidRPr="002C1789" w:rsidRDefault="002C1789" w:rsidP="002C1789">
            <w:pPr>
              <w:jc w:val="right"/>
              <w:rPr>
                <w:sz w:val="20"/>
                <w:szCs w:val="20"/>
              </w:rPr>
            </w:pPr>
            <w:r w:rsidRPr="002C1789">
              <w:rPr>
                <w:sz w:val="20"/>
                <w:szCs w:val="20"/>
              </w:rPr>
              <w:t>100.188</w:t>
            </w:r>
          </w:p>
        </w:tc>
        <w:tc>
          <w:tcPr>
            <w:tcW w:w="835" w:type="dxa"/>
            <w:noWrap/>
            <w:hideMark/>
          </w:tcPr>
          <w:p w:rsidR="002C1789" w:rsidRPr="002C1789" w:rsidRDefault="002C1789" w:rsidP="002C1789">
            <w:pPr>
              <w:jc w:val="right"/>
              <w:rPr>
                <w:sz w:val="20"/>
                <w:szCs w:val="20"/>
              </w:rPr>
            </w:pPr>
            <w:r w:rsidRPr="002C1789">
              <w:rPr>
                <w:sz w:val="20"/>
                <w:szCs w:val="20"/>
              </w:rPr>
              <w:t>96.853</w:t>
            </w:r>
          </w:p>
        </w:tc>
        <w:tc>
          <w:tcPr>
            <w:tcW w:w="835" w:type="dxa"/>
            <w:noWrap/>
            <w:hideMark/>
          </w:tcPr>
          <w:p w:rsidR="002C1789" w:rsidRPr="002C1789" w:rsidRDefault="002C1789" w:rsidP="002C1789">
            <w:pPr>
              <w:jc w:val="right"/>
              <w:rPr>
                <w:sz w:val="20"/>
                <w:szCs w:val="20"/>
              </w:rPr>
            </w:pPr>
            <w:r w:rsidRPr="002C1789">
              <w:rPr>
                <w:sz w:val="20"/>
                <w:szCs w:val="20"/>
              </w:rPr>
              <w:t>96.523</w:t>
            </w:r>
          </w:p>
        </w:tc>
        <w:tc>
          <w:tcPr>
            <w:tcW w:w="835" w:type="dxa"/>
            <w:noWrap/>
            <w:hideMark/>
          </w:tcPr>
          <w:p w:rsidR="002C1789" w:rsidRPr="002C1789" w:rsidRDefault="002C1789" w:rsidP="002C1789">
            <w:pPr>
              <w:jc w:val="right"/>
              <w:rPr>
                <w:sz w:val="20"/>
                <w:szCs w:val="20"/>
              </w:rPr>
            </w:pPr>
            <w:r w:rsidRPr="002C1789">
              <w:rPr>
                <w:sz w:val="20"/>
                <w:szCs w:val="20"/>
              </w:rPr>
              <w:t>98.654</w:t>
            </w:r>
          </w:p>
        </w:tc>
        <w:tc>
          <w:tcPr>
            <w:tcW w:w="875" w:type="dxa"/>
            <w:noWrap/>
            <w:hideMark/>
          </w:tcPr>
          <w:p w:rsidR="002C1789" w:rsidRPr="002C1789" w:rsidRDefault="002C1789" w:rsidP="002C1789">
            <w:pPr>
              <w:jc w:val="right"/>
              <w:rPr>
                <w:sz w:val="20"/>
                <w:szCs w:val="20"/>
              </w:rPr>
            </w:pPr>
            <w:r w:rsidRPr="002C1789">
              <w:rPr>
                <w:sz w:val="20"/>
                <w:szCs w:val="20"/>
              </w:rPr>
              <w:t>100.924</w:t>
            </w:r>
          </w:p>
        </w:tc>
      </w:tr>
      <w:tr w:rsidR="002C1789" w:rsidRPr="002C1789" w:rsidTr="00D97A4F">
        <w:trPr>
          <w:trHeight w:val="300"/>
        </w:trPr>
        <w:tc>
          <w:tcPr>
            <w:tcW w:w="1519" w:type="dxa"/>
            <w:noWrap/>
            <w:hideMark/>
          </w:tcPr>
          <w:p w:rsidR="002C1789" w:rsidRPr="002C1789" w:rsidRDefault="002C1789" w:rsidP="002C1789">
            <w:pPr>
              <w:jc w:val="both"/>
              <w:rPr>
                <w:sz w:val="20"/>
                <w:szCs w:val="20"/>
              </w:rPr>
            </w:pPr>
          </w:p>
        </w:tc>
        <w:tc>
          <w:tcPr>
            <w:tcW w:w="222" w:type="dxa"/>
          </w:tcPr>
          <w:p w:rsidR="002C1789" w:rsidRPr="002C1789" w:rsidRDefault="002C1789" w:rsidP="002C1789">
            <w:pPr>
              <w:jc w:val="both"/>
              <w:rPr>
                <w:sz w:val="20"/>
                <w:szCs w:val="20"/>
              </w:rPr>
            </w:pPr>
          </w:p>
        </w:tc>
        <w:tc>
          <w:tcPr>
            <w:tcW w:w="897" w:type="dxa"/>
            <w:noWrap/>
            <w:hideMark/>
          </w:tcPr>
          <w:p w:rsidR="002C1789" w:rsidRPr="002C1789" w:rsidRDefault="002C1789" w:rsidP="002C1789">
            <w:pPr>
              <w:jc w:val="right"/>
              <w:rPr>
                <w:sz w:val="20"/>
                <w:szCs w:val="20"/>
              </w:rPr>
            </w:pPr>
          </w:p>
        </w:tc>
        <w:tc>
          <w:tcPr>
            <w:tcW w:w="897" w:type="dxa"/>
            <w:noWrap/>
            <w:hideMark/>
          </w:tcPr>
          <w:p w:rsidR="002C1789" w:rsidRPr="002C1789" w:rsidRDefault="002C1789" w:rsidP="002C1789">
            <w:pPr>
              <w:jc w:val="right"/>
              <w:rPr>
                <w:sz w:val="20"/>
                <w:szCs w:val="20"/>
              </w:rPr>
            </w:pPr>
          </w:p>
        </w:tc>
        <w:tc>
          <w:tcPr>
            <w:tcW w:w="897" w:type="dxa"/>
            <w:noWrap/>
            <w:hideMark/>
          </w:tcPr>
          <w:p w:rsidR="002C1789" w:rsidRPr="002C1789" w:rsidRDefault="002C1789" w:rsidP="002C1789">
            <w:pPr>
              <w:jc w:val="right"/>
              <w:rPr>
                <w:sz w:val="20"/>
                <w:szCs w:val="20"/>
              </w:rPr>
            </w:pPr>
          </w:p>
        </w:tc>
        <w:tc>
          <w:tcPr>
            <w:tcW w:w="897" w:type="dxa"/>
            <w:noWrap/>
            <w:hideMark/>
          </w:tcPr>
          <w:p w:rsidR="002C1789" w:rsidRPr="002C1789" w:rsidRDefault="002C1789" w:rsidP="002C1789">
            <w:pPr>
              <w:jc w:val="right"/>
              <w:rPr>
                <w:sz w:val="20"/>
                <w:szCs w:val="20"/>
              </w:rPr>
            </w:pPr>
          </w:p>
        </w:tc>
        <w:tc>
          <w:tcPr>
            <w:tcW w:w="897" w:type="dxa"/>
            <w:noWrap/>
            <w:hideMark/>
          </w:tcPr>
          <w:p w:rsidR="002C1789" w:rsidRPr="002C1789" w:rsidRDefault="002C1789" w:rsidP="002C1789">
            <w:pPr>
              <w:jc w:val="right"/>
              <w:rPr>
                <w:sz w:val="20"/>
                <w:szCs w:val="20"/>
              </w:rPr>
            </w:pPr>
          </w:p>
        </w:tc>
        <w:tc>
          <w:tcPr>
            <w:tcW w:w="835" w:type="dxa"/>
            <w:noWrap/>
            <w:hideMark/>
          </w:tcPr>
          <w:p w:rsidR="002C1789" w:rsidRPr="002C1789" w:rsidRDefault="002C1789" w:rsidP="002C1789">
            <w:pPr>
              <w:jc w:val="right"/>
              <w:rPr>
                <w:sz w:val="20"/>
                <w:szCs w:val="20"/>
              </w:rPr>
            </w:pPr>
          </w:p>
        </w:tc>
        <w:tc>
          <w:tcPr>
            <w:tcW w:w="835" w:type="dxa"/>
            <w:noWrap/>
            <w:hideMark/>
          </w:tcPr>
          <w:p w:rsidR="002C1789" w:rsidRPr="002C1789" w:rsidRDefault="002C1789" w:rsidP="002C1789">
            <w:pPr>
              <w:jc w:val="right"/>
              <w:rPr>
                <w:sz w:val="20"/>
                <w:szCs w:val="20"/>
              </w:rPr>
            </w:pPr>
          </w:p>
        </w:tc>
        <w:tc>
          <w:tcPr>
            <w:tcW w:w="835" w:type="dxa"/>
            <w:noWrap/>
            <w:hideMark/>
          </w:tcPr>
          <w:p w:rsidR="002C1789" w:rsidRPr="002C1789" w:rsidRDefault="002C1789" w:rsidP="002C1789">
            <w:pPr>
              <w:jc w:val="right"/>
              <w:rPr>
                <w:sz w:val="20"/>
                <w:szCs w:val="20"/>
              </w:rPr>
            </w:pPr>
          </w:p>
        </w:tc>
        <w:tc>
          <w:tcPr>
            <w:tcW w:w="875" w:type="dxa"/>
            <w:noWrap/>
            <w:hideMark/>
          </w:tcPr>
          <w:p w:rsidR="002C1789" w:rsidRPr="002C1789" w:rsidRDefault="002C1789" w:rsidP="002C1789">
            <w:pPr>
              <w:jc w:val="right"/>
              <w:rPr>
                <w:sz w:val="20"/>
                <w:szCs w:val="20"/>
              </w:rPr>
            </w:pPr>
          </w:p>
        </w:tc>
      </w:tr>
      <w:tr w:rsidR="002C1789" w:rsidRPr="002C1789" w:rsidTr="00D97A4F">
        <w:trPr>
          <w:trHeight w:val="300"/>
        </w:trPr>
        <w:tc>
          <w:tcPr>
            <w:tcW w:w="1519" w:type="dxa"/>
            <w:noWrap/>
            <w:hideMark/>
          </w:tcPr>
          <w:p w:rsidR="002C1789" w:rsidRPr="002C1789" w:rsidRDefault="002C1789" w:rsidP="002C1789">
            <w:pPr>
              <w:jc w:val="both"/>
              <w:rPr>
                <w:sz w:val="20"/>
                <w:szCs w:val="20"/>
              </w:rPr>
            </w:pPr>
          </w:p>
        </w:tc>
        <w:tc>
          <w:tcPr>
            <w:tcW w:w="222" w:type="dxa"/>
          </w:tcPr>
          <w:p w:rsidR="002C1789" w:rsidRPr="002C1789" w:rsidRDefault="002C1789" w:rsidP="002C1789">
            <w:pPr>
              <w:jc w:val="both"/>
              <w:rPr>
                <w:sz w:val="20"/>
                <w:szCs w:val="20"/>
              </w:rPr>
            </w:pPr>
          </w:p>
        </w:tc>
        <w:tc>
          <w:tcPr>
            <w:tcW w:w="897" w:type="dxa"/>
            <w:noWrap/>
            <w:hideMark/>
          </w:tcPr>
          <w:p w:rsidR="002C1789" w:rsidRPr="002C1789" w:rsidRDefault="002C1789" w:rsidP="002C1789">
            <w:pPr>
              <w:jc w:val="right"/>
              <w:rPr>
                <w:sz w:val="20"/>
                <w:szCs w:val="20"/>
              </w:rPr>
            </w:pPr>
            <w:r w:rsidRPr="002C1789">
              <w:rPr>
                <w:sz w:val="20"/>
                <w:szCs w:val="20"/>
              </w:rPr>
              <w:t>2008</w:t>
            </w:r>
          </w:p>
        </w:tc>
        <w:tc>
          <w:tcPr>
            <w:tcW w:w="897" w:type="dxa"/>
            <w:noWrap/>
            <w:hideMark/>
          </w:tcPr>
          <w:p w:rsidR="002C1789" w:rsidRPr="002C1789" w:rsidRDefault="002C1789" w:rsidP="002C1789">
            <w:pPr>
              <w:jc w:val="right"/>
              <w:rPr>
                <w:sz w:val="20"/>
                <w:szCs w:val="20"/>
              </w:rPr>
            </w:pPr>
            <w:r w:rsidRPr="002C1789">
              <w:rPr>
                <w:sz w:val="20"/>
                <w:szCs w:val="20"/>
              </w:rPr>
              <w:t>2009</w:t>
            </w:r>
          </w:p>
        </w:tc>
        <w:tc>
          <w:tcPr>
            <w:tcW w:w="897" w:type="dxa"/>
            <w:noWrap/>
            <w:hideMark/>
          </w:tcPr>
          <w:p w:rsidR="002C1789" w:rsidRPr="002C1789" w:rsidRDefault="002C1789" w:rsidP="002C1789">
            <w:pPr>
              <w:jc w:val="right"/>
              <w:rPr>
                <w:sz w:val="20"/>
                <w:szCs w:val="20"/>
              </w:rPr>
            </w:pPr>
            <w:r w:rsidRPr="002C1789">
              <w:rPr>
                <w:sz w:val="20"/>
                <w:szCs w:val="20"/>
              </w:rPr>
              <w:t>2010</w:t>
            </w:r>
          </w:p>
        </w:tc>
        <w:tc>
          <w:tcPr>
            <w:tcW w:w="897" w:type="dxa"/>
            <w:noWrap/>
            <w:hideMark/>
          </w:tcPr>
          <w:p w:rsidR="002C1789" w:rsidRPr="002C1789" w:rsidRDefault="002C1789" w:rsidP="002C1789">
            <w:pPr>
              <w:jc w:val="right"/>
              <w:rPr>
                <w:sz w:val="20"/>
                <w:szCs w:val="20"/>
              </w:rPr>
            </w:pPr>
            <w:r w:rsidRPr="002C1789">
              <w:rPr>
                <w:sz w:val="20"/>
                <w:szCs w:val="20"/>
              </w:rPr>
              <w:t>2011</w:t>
            </w:r>
          </w:p>
        </w:tc>
        <w:tc>
          <w:tcPr>
            <w:tcW w:w="897" w:type="dxa"/>
            <w:noWrap/>
            <w:hideMark/>
          </w:tcPr>
          <w:p w:rsidR="002C1789" w:rsidRPr="002C1789" w:rsidRDefault="002C1789" w:rsidP="002C1789">
            <w:pPr>
              <w:jc w:val="right"/>
              <w:rPr>
                <w:sz w:val="20"/>
                <w:szCs w:val="20"/>
              </w:rPr>
            </w:pPr>
            <w:r w:rsidRPr="002C1789">
              <w:rPr>
                <w:sz w:val="20"/>
                <w:szCs w:val="20"/>
              </w:rPr>
              <w:t>2012</w:t>
            </w:r>
          </w:p>
        </w:tc>
        <w:tc>
          <w:tcPr>
            <w:tcW w:w="835" w:type="dxa"/>
            <w:noWrap/>
            <w:hideMark/>
          </w:tcPr>
          <w:p w:rsidR="002C1789" w:rsidRPr="002C1789" w:rsidRDefault="002C1789" w:rsidP="002C1789">
            <w:pPr>
              <w:jc w:val="right"/>
              <w:rPr>
                <w:sz w:val="20"/>
                <w:szCs w:val="20"/>
              </w:rPr>
            </w:pPr>
            <w:r w:rsidRPr="002C1789">
              <w:rPr>
                <w:sz w:val="20"/>
                <w:szCs w:val="20"/>
              </w:rPr>
              <w:t>2013</w:t>
            </w:r>
          </w:p>
        </w:tc>
        <w:tc>
          <w:tcPr>
            <w:tcW w:w="835" w:type="dxa"/>
            <w:noWrap/>
            <w:hideMark/>
          </w:tcPr>
          <w:p w:rsidR="002C1789" w:rsidRPr="002C1789" w:rsidRDefault="002C1789" w:rsidP="002C1789">
            <w:pPr>
              <w:jc w:val="right"/>
              <w:rPr>
                <w:sz w:val="20"/>
                <w:szCs w:val="20"/>
              </w:rPr>
            </w:pPr>
            <w:r w:rsidRPr="002C1789">
              <w:rPr>
                <w:sz w:val="20"/>
                <w:szCs w:val="20"/>
              </w:rPr>
              <w:t>2014</w:t>
            </w:r>
          </w:p>
        </w:tc>
        <w:tc>
          <w:tcPr>
            <w:tcW w:w="835" w:type="dxa"/>
            <w:noWrap/>
            <w:hideMark/>
          </w:tcPr>
          <w:p w:rsidR="002C1789" w:rsidRPr="002C1789" w:rsidRDefault="002C1789" w:rsidP="002C1789">
            <w:pPr>
              <w:jc w:val="right"/>
              <w:rPr>
                <w:sz w:val="20"/>
                <w:szCs w:val="20"/>
              </w:rPr>
            </w:pPr>
            <w:r w:rsidRPr="002C1789">
              <w:rPr>
                <w:sz w:val="20"/>
                <w:szCs w:val="20"/>
              </w:rPr>
              <w:t>2015</w:t>
            </w:r>
          </w:p>
        </w:tc>
        <w:tc>
          <w:tcPr>
            <w:tcW w:w="875" w:type="dxa"/>
            <w:noWrap/>
            <w:hideMark/>
          </w:tcPr>
          <w:p w:rsidR="002C1789" w:rsidRPr="002C1789" w:rsidRDefault="002C1789" w:rsidP="002C1789">
            <w:pPr>
              <w:jc w:val="right"/>
              <w:rPr>
                <w:sz w:val="20"/>
                <w:szCs w:val="20"/>
              </w:rPr>
            </w:pPr>
            <w:r w:rsidRPr="002C1789">
              <w:rPr>
                <w:sz w:val="20"/>
                <w:szCs w:val="20"/>
              </w:rPr>
              <w:t>2016</w:t>
            </w:r>
          </w:p>
        </w:tc>
      </w:tr>
      <w:tr w:rsidR="002C1789" w:rsidRPr="002C1789" w:rsidTr="00D97A4F">
        <w:trPr>
          <w:trHeight w:val="300"/>
        </w:trPr>
        <w:tc>
          <w:tcPr>
            <w:tcW w:w="1519" w:type="dxa"/>
            <w:noWrap/>
            <w:hideMark/>
          </w:tcPr>
          <w:p w:rsidR="002C1789" w:rsidRPr="002C1789" w:rsidRDefault="002C1789" w:rsidP="002C1789">
            <w:pPr>
              <w:jc w:val="both"/>
              <w:rPr>
                <w:sz w:val="20"/>
                <w:szCs w:val="20"/>
              </w:rPr>
            </w:pPr>
            <w:r w:rsidRPr="002C1789">
              <w:rPr>
                <w:sz w:val="20"/>
                <w:szCs w:val="20"/>
              </w:rPr>
              <w:t>standard</w:t>
            </w:r>
          </w:p>
        </w:tc>
        <w:tc>
          <w:tcPr>
            <w:tcW w:w="222" w:type="dxa"/>
          </w:tcPr>
          <w:p w:rsidR="002C1789" w:rsidRPr="002C1789" w:rsidRDefault="002C1789" w:rsidP="002C1789">
            <w:pPr>
              <w:jc w:val="both"/>
              <w:rPr>
                <w:sz w:val="20"/>
                <w:szCs w:val="20"/>
              </w:rPr>
            </w:pPr>
          </w:p>
        </w:tc>
        <w:tc>
          <w:tcPr>
            <w:tcW w:w="897" w:type="dxa"/>
            <w:noWrap/>
            <w:hideMark/>
          </w:tcPr>
          <w:p w:rsidR="002C1789" w:rsidRPr="002C1789" w:rsidRDefault="002C1789" w:rsidP="002C1789">
            <w:pPr>
              <w:jc w:val="right"/>
              <w:rPr>
                <w:sz w:val="20"/>
                <w:szCs w:val="20"/>
              </w:rPr>
            </w:pPr>
            <w:r w:rsidRPr="002C1789">
              <w:rPr>
                <w:sz w:val="20"/>
                <w:szCs w:val="20"/>
              </w:rPr>
              <w:t>54,3%</w:t>
            </w:r>
          </w:p>
        </w:tc>
        <w:tc>
          <w:tcPr>
            <w:tcW w:w="897" w:type="dxa"/>
            <w:noWrap/>
            <w:hideMark/>
          </w:tcPr>
          <w:p w:rsidR="002C1789" w:rsidRPr="002C1789" w:rsidRDefault="002C1789" w:rsidP="002C1789">
            <w:pPr>
              <w:jc w:val="right"/>
              <w:rPr>
                <w:sz w:val="20"/>
                <w:szCs w:val="20"/>
              </w:rPr>
            </w:pPr>
            <w:r w:rsidRPr="002C1789">
              <w:rPr>
                <w:sz w:val="20"/>
                <w:szCs w:val="20"/>
              </w:rPr>
              <w:t>54,8%</w:t>
            </w:r>
          </w:p>
        </w:tc>
        <w:tc>
          <w:tcPr>
            <w:tcW w:w="897" w:type="dxa"/>
            <w:noWrap/>
            <w:hideMark/>
          </w:tcPr>
          <w:p w:rsidR="002C1789" w:rsidRPr="002C1789" w:rsidRDefault="002C1789" w:rsidP="002C1789">
            <w:pPr>
              <w:jc w:val="right"/>
              <w:rPr>
                <w:sz w:val="20"/>
                <w:szCs w:val="20"/>
              </w:rPr>
            </w:pPr>
            <w:r w:rsidRPr="002C1789">
              <w:rPr>
                <w:sz w:val="20"/>
                <w:szCs w:val="20"/>
              </w:rPr>
              <w:t>54,6%</w:t>
            </w:r>
          </w:p>
        </w:tc>
        <w:tc>
          <w:tcPr>
            <w:tcW w:w="897" w:type="dxa"/>
            <w:noWrap/>
            <w:hideMark/>
          </w:tcPr>
          <w:p w:rsidR="002C1789" w:rsidRPr="002C1789" w:rsidRDefault="002C1789" w:rsidP="002C1789">
            <w:pPr>
              <w:jc w:val="right"/>
              <w:rPr>
                <w:sz w:val="20"/>
                <w:szCs w:val="20"/>
              </w:rPr>
            </w:pPr>
            <w:r w:rsidRPr="002C1789">
              <w:rPr>
                <w:sz w:val="20"/>
                <w:szCs w:val="20"/>
              </w:rPr>
              <w:t>54,0%</w:t>
            </w:r>
          </w:p>
        </w:tc>
        <w:tc>
          <w:tcPr>
            <w:tcW w:w="897" w:type="dxa"/>
            <w:noWrap/>
            <w:hideMark/>
          </w:tcPr>
          <w:p w:rsidR="002C1789" w:rsidRPr="002C1789" w:rsidRDefault="002C1789" w:rsidP="002C1789">
            <w:pPr>
              <w:jc w:val="right"/>
              <w:rPr>
                <w:sz w:val="20"/>
                <w:szCs w:val="20"/>
              </w:rPr>
            </w:pPr>
            <w:r w:rsidRPr="002C1789">
              <w:rPr>
                <w:sz w:val="20"/>
                <w:szCs w:val="20"/>
              </w:rPr>
              <w:t>53,1%</w:t>
            </w:r>
          </w:p>
        </w:tc>
        <w:tc>
          <w:tcPr>
            <w:tcW w:w="835" w:type="dxa"/>
            <w:noWrap/>
            <w:hideMark/>
          </w:tcPr>
          <w:p w:rsidR="002C1789" w:rsidRPr="002C1789" w:rsidRDefault="002C1789" w:rsidP="002C1789">
            <w:pPr>
              <w:jc w:val="right"/>
              <w:rPr>
                <w:sz w:val="20"/>
                <w:szCs w:val="20"/>
              </w:rPr>
            </w:pPr>
            <w:r w:rsidRPr="002C1789">
              <w:rPr>
                <w:sz w:val="20"/>
                <w:szCs w:val="20"/>
              </w:rPr>
              <w:t>52,6%</w:t>
            </w:r>
          </w:p>
        </w:tc>
        <w:tc>
          <w:tcPr>
            <w:tcW w:w="835" w:type="dxa"/>
            <w:noWrap/>
            <w:hideMark/>
          </w:tcPr>
          <w:p w:rsidR="002C1789" w:rsidRPr="002C1789" w:rsidRDefault="002C1789" w:rsidP="002C1789">
            <w:pPr>
              <w:jc w:val="right"/>
              <w:rPr>
                <w:sz w:val="20"/>
                <w:szCs w:val="20"/>
              </w:rPr>
            </w:pPr>
            <w:r w:rsidRPr="002C1789">
              <w:rPr>
                <w:sz w:val="20"/>
                <w:szCs w:val="20"/>
              </w:rPr>
              <w:t>51,1%</w:t>
            </w:r>
          </w:p>
        </w:tc>
        <w:tc>
          <w:tcPr>
            <w:tcW w:w="835" w:type="dxa"/>
            <w:noWrap/>
            <w:hideMark/>
          </w:tcPr>
          <w:p w:rsidR="002C1789" w:rsidRPr="002C1789" w:rsidRDefault="002C1789" w:rsidP="002C1789">
            <w:pPr>
              <w:jc w:val="right"/>
              <w:rPr>
                <w:sz w:val="20"/>
                <w:szCs w:val="20"/>
              </w:rPr>
            </w:pPr>
            <w:r w:rsidRPr="002C1789">
              <w:rPr>
                <w:sz w:val="20"/>
                <w:szCs w:val="20"/>
              </w:rPr>
              <w:t>52,6%</w:t>
            </w:r>
          </w:p>
        </w:tc>
        <w:tc>
          <w:tcPr>
            <w:tcW w:w="875" w:type="dxa"/>
            <w:noWrap/>
            <w:hideMark/>
          </w:tcPr>
          <w:p w:rsidR="002C1789" w:rsidRPr="002C1789" w:rsidRDefault="002C1789" w:rsidP="002C1789">
            <w:pPr>
              <w:jc w:val="right"/>
              <w:rPr>
                <w:sz w:val="20"/>
                <w:szCs w:val="20"/>
              </w:rPr>
            </w:pPr>
            <w:r w:rsidRPr="002C1789">
              <w:rPr>
                <w:sz w:val="20"/>
                <w:szCs w:val="20"/>
              </w:rPr>
              <w:t>51,0%</w:t>
            </w:r>
          </w:p>
        </w:tc>
      </w:tr>
      <w:tr w:rsidR="002C1789" w:rsidRPr="002C1789" w:rsidTr="00D97A4F">
        <w:trPr>
          <w:trHeight w:val="300"/>
        </w:trPr>
        <w:tc>
          <w:tcPr>
            <w:tcW w:w="1519" w:type="dxa"/>
            <w:noWrap/>
            <w:hideMark/>
          </w:tcPr>
          <w:p w:rsidR="002C1789" w:rsidRPr="002C1789" w:rsidRDefault="002C1789" w:rsidP="002C1789">
            <w:pPr>
              <w:jc w:val="both"/>
              <w:rPr>
                <w:sz w:val="20"/>
                <w:szCs w:val="20"/>
              </w:rPr>
            </w:pPr>
            <w:r w:rsidRPr="002C1789">
              <w:rPr>
                <w:sz w:val="20"/>
                <w:szCs w:val="20"/>
              </w:rPr>
              <w:t>part time indet.</w:t>
            </w:r>
          </w:p>
        </w:tc>
        <w:tc>
          <w:tcPr>
            <w:tcW w:w="222" w:type="dxa"/>
          </w:tcPr>
          <w:p w:rsidR="002C1789" w:rsidRPr="002C1789" w:rsidRDefault="002C1789" w:rsidP="002C1789">
            <w:pPr>
              <w:jc w:val="both"/>
              <w:rPr>
                <w:sz w:val="20"/>
                <w:szCs w:val="20"/>
              </w:rPr>
            </w:pPr>
          </w:p>
        </w:tc>
        <w:tc>
          <w:tcPr>
            <w:tcW w:w="897" w:type="dxa"/>
            <w:noWrap/>
            <w:hideMark/>
          </w:tcPr>
          <w:p w:rsidR="002C1789" w:rsidRPr="002C1789" w:rsidRDefault="002C1789" w:rsidP="002C1789">
            <w:pPr>
              <w:jc w:val="right"/>
              <w:rPr>
                <w:sz w:val="20"/>
                <w:szCs w:val="20"/>
              </w:rPr>
            </w:pPr>
            <w:r w:rsidRPr="002C1789">
              <w:rPr>
                <w:sz w:val="20"/>
                <w:szCs w:val="20"/>
              </w:rPr>
              <w:t>16,1%</w:t>
            </w:r>
          </w:p>
        </w:tc>
        <w:tc>
          <w:tcPr>
            <w:tcW w:w="897" w:type="dxa"/>
            <w:noWrap/>
            <w:hideMark/>
          </w:tcPr>
          <w:p w:rsidR="002C1789" w:rsidRPr="002C1789" w:rsidRDefault="002C1789" w:rsidP="002C1789">
            <w:pPr>
              <w:jc w:val="right"/>
              <w:rPr>
                <w:sz w:val="20"/>
                <w:szCs w:val="20"/>
              </w:rPr>
            </w:pPr>
            <w:r w:rsidRPr="002C1789">
              <w:rPr>
                <w:sz w:val="20"/>
                <w:szCs w:val="20"/>
              </w:rPr>
              <w:t>16,7%</w:t>
            </w:r>
          </w:p>
        </w:tc>
        <w:tc>
          <w:tcPr>
            <w:tcW w:w="897" w:type="dxa"/>
            <w:noWrap/>
            <w:hideMark/>
          </w:tcPr>
          <w:p w:rsidR="002C1789" w:rsidRPr="002C1789" w:rsidRDefault="002C1789" w:rsidP="002C1789">
            <w:pPr>
              <w:jc w:val="right"/>
              <w:rPr>
                <w:sz w:val="20"/>
                <w:szCs w:val="20"/>
              </w:rPr>
            </w:pPr>
            <w:r w:rsidRPr="002C1789">
              <w:rPr>
                <w:sz w:val="20"/>
                <w:szCs w:val="20"/>
              </w:rPr>
              <w:t>16,7%</w:t>
            </w:r>
          </w:p>
        </w:tc>
        <w:tc>
          <w:tcPr>
            <w:tcW w:w="897" w:type="dxa"/>
            <w:noWrap/>
            <w:hideMark/>
          </w:tcPr>
          <w:p w:rsidR="002C1789" w:rsidRPr="002C1789" w:rsidRDefault="002C1789" w:rsidP="002C1789">
            <w:pPr>
              <w:jc w:val="right"/>
              <w:rPr>
                <w:sz w:val="20"/>
                <w:szCs w:val="20"/>
              </w:rPr>
            </w:pPr>
            <w:r w:rsidRPr="002C1789">
              <w:rPr>
                <w:sz w:val="20"/>
                <w:szCs w:val="20"/>
              </w:rPr>
              <w:t>16,9%</w:t>
            </w:r>
          </w:p>
        </w:tc>
        <w:tc>
          <w:tcPr>
            <w:tcW w:w="897" w:type="dxa"/>
            <w:noWrap/>
            <w:hideMark/>
          </w:tcPr>
          <w:p w:rsidR="002C1789" w:rsidRPr="002C1789" w:rsidRDefault="002C1789" w:rsidP="002C1789">
            <w:pPr>
              <w:jc w:val="right"/>
              <w:rPr>
                <w:sz w:val="20"/>
                <w:szCs w:val="20"/>
              </w:rPr>
            </w:pPr>
            <w:r w:rsidRPr="002C1789">
              <w:rPr>
                <w:sz w:val="20"/>
                <w:szCs w:val="20"/>
              </w:rPr>
              <w:t>18,2%</w:t>
            </w:r>
          </w:p>
        </w:tc>
        <w:tc>
          <w:tcPr>
            <w:tcW w:w="835" w:type="dxa"/>
            <w:noWrap/>
            <w:hideMark/>
          </w:tcPr>
          <w:p w:rsidR="002C1789" w:rsidRPr="002C1789" w:rsidRDefault="002C1789" w:rsidP="002C1789">
            <w:pPr>
              <w:jc w:val="right"/>
              <w:rPr>
                <w:sz w:val="20"/>
                <w:szCs w:val="20"/>
              </w:rPr>
            </w:pPr>
            <w:r w:rsidRPr="002C1789">
              <w:rPr>
                <w:sz w:val="20"/>
                <w:szCs w:val="20"/>
              </w:rPr>
              <w:t>19,4%</w:t>
            </w:r>
          </w:p>
        </w:tc>
        <w:tc>
          <w:tcPr>
            <w:tcW w:w="835" w:type="dxa"/>
            <w:noWrap/>
            <w:hideMark/>
          </w:tcPr>
          <w:p w:rsidR="002C1789" w:rsidRPr="002C1789" w:rsidRDefault="002C1789" w:rsidP="002C1789">
            <w:pPr>
              <w:jc w:val="right"/>
              <w:rPr>
                <w:sz w:val="20"/>
                <w:szCs w:val="20"/>
              </w:rPr>
            </w:pPr>
            <w:r w:rsidRPr="002C1789">
              <w:rPr>
                <w:sz w:val="20"/>
                <w:szCs w:val="20"/>
              </w:rPr>
              <w:t>19,9%</w:t>
            </w:r>
          </w:p>
        </w:tc>
        <w:tc>
          <w:tcPr>
            <w:tcW w:w="835" w:type="dxa"/>
            <w:noWrap/>
            <w:hideMark/>
          </w:tcPr>
          <w:p w:rsidR="002C1789" w:rsidRPr="002C1789" w:rsidRDefault="002C1789" w:rsidP="002C1789">
            <w:pPr>
              <w:jc w:val="right"/>
              <w:rPr>
                <w:sz w:val="20"/>
                <w:szCs w:val="20"/>
              </w:rPr>
            </w:pPr>
            <w:r w:rsidRPr="002C1789">
              <w:rPr>
                <w:sz w:val="20"/>
                <w:szCs w:val="20"/>
              </w:rPr>
              <w:t>22,8%</w:t>
            </w:r>
          </w:p>
        </w:tc>
        <w:tc>
          <w:tcPr>
            <w:tcW w:w="875" w:type="dxa"/>
            <w:noWrap/>
            <w:hideMark/>
          </w:tcPr>
          <w:p w:rsidR="002C1789" w:rsidRPr="002C1789" w:rsidRDefault="002C1789" w:rsidP="002C1789">
            <w:pPr>
              <w:jc w:val="right"/>
              <w:rPr>
                <w:sz w:val="20"/>
                <w:szCs w:val="20"/>
              </w:rPr>
            </w:pPr>
            <w:r w:rsidRPr="002C1789">
              <w:rPr>
                <w:sz w:val="20"/>
                <w:szCs w:val="20"/>
              </w:rPr>
              <w:t>22,2%</w:t>
            </w:r>
          </w:p>
        </w:tc>
      </w:tr>
      <w:tr w:rsidR="002C1789" w:rsidRPr="002C1789" w:rsidTr="00D97A4F">
        <w:trPr>
          <w:trHeight w:val="300"/>
        </w:trPr>
        <w:tc>
          <w:tcPr>
            <w:tcW w:w="1519" w:type="dxa"/>
            <w:noWrap/>
            <w:hideMark/>
          </w:tcPr>
          <w:p w:rsidR="002C1789" w:rsidRPr="002C1789" w:rsidRDefault="002C1789" w:rsidP="002C1789">
            <w:pPr>
              <w:jc w:val="both"/>
              <w:rPr>
                <w:sz w:val="20"/>
                <w:szCs w:val="20"/>
              </w:rPr>
            </w:pPr>
            <w:r w:rsidRPr="002C1789">
              <w:rPr>
                <w:sz w:val="20"/>
                <w:szCs w:val="20"/>
              </w:rPr>
              <w:t>part time a termine</w:t>
            </w:r>
          </w:p>
        </w:tc>
        <w:tc>
          <w:tcPr>
            <w:tcW w:w="222" w:type="dxa"/>
          </w:tcPr>
          <w:p w:rsidR="002C1789" w:rsidRPr="002C1789" w:rsidRDefault="002C1789" w:rsidP="002C1789">
            <w:pPr>
              <w:jc w:val="both"/>
              <w:rPr>
                <w:sz w:val="20"/>
                <w:szCs w:val="20"/>
              </w:rPr>
            </w:pPr>
          </w:p>
        </w:tc>
        <w:tc>
          <w:tcPr>
            <w:tcW w:w="897" w:type="dxa"/>
            <w:noWrap/>
            <w:hideMark/>
          </w:tcPr>
          <w:p w:rsidR="002C1789" w:rsidRPr="002C1789" w:rsidRDefault="002C1789" w:rsidP="002C1789">
            <w:pPr>
              <w:jc w:val="right"/>
              <w:rPr>
                <w:sz w:val="20"/>
                <w:szCs w:val="20"/>
              </w:rPr>
            </w:pPr>
            <w:r w:rsidRPr="002C1789">
              <w:rPr>
                <w:sz w:val="20"/>
                <w:szCs w:val="20"/>
              </w:rPr>
              <w:t>11,6%</w:t>
            </w:r>
          </w:p>
        </w:tc>
        <w:tc>
          <w:tcPr>
            <w:tcW w:w="897" w:type="dxa"/>
            <w:noWrap/>
            <w:hideMark/>
          </w:tcPr>
          <w:p w:rsidR="002C1789" w:rsidRPr="002C1789" w:rsidRDefault="002C1789" w:rsidP="002C1789">
            <w:pPr>
              <w:jc w:val="right"/>
              <w:rPr>
                <w:sz w:val="20"/>
                <w:szCs w:val="20"/>
              </w:rPr>
            </w:pPr>
            <w:r w:rsidRPr="002C1789">
              <w:rPr>
                <w:sz w:val="20"/>
                <w:szCs w:val="20"/>
              </w:rPr>
              <w:t>11,5%</w:t>
            </w:r>
          </w:p>
        </w:tc>
        <w:tc>
          <w:tcPr>
            <w:tcW w:w="897" w:type="dxa"/>
            <w:noWrap/>
            <w:hideMark/>
          </w:tcPr>
          <w:p w:rsidR="002C1789" w:rsidRPr="002C1789" w:rsidRDefault="002C1789" w:rsidP="002C1789">
            <w:pPr>
              <w:jc w:val="right"/>
              <w:rPr>
                <w:sz w:val="20"/>
                <w:szCs w:val="20"/>
              </w:rPr>
            </w:pPr>
            <w:r w:rsidRPr="002C1789">
              <w:rPr>
                <w:sz w:val="20"/>
                <w:szCs w:val="20"/>
              </w:rPr>
              <w:t>11,8%</w:t>
            </w:r>
          </w:p>
        </w:tc>
        <w:tc>
          <w:tcPr>
            <w:tcW w:w="897" w:type="dxa"/>
            <w:noWrap/>
            <w:hideMark/>
          </w:tcPr>
          <w:p w:rsidR="002C1789" w:rsidRPr="002C1789" w:rsidRDefault="002C1789" w:rsidP="002C1789">
            <w:pPr>
              <w:jc w:val="right"/>
              <w:rPr>
                <w:sz w:val="20"/>
                <w:szCs w:val="20"/>
              </w:rPr>
            </w:pPr>
            <w:r w:rsidRPr="002C1789">
              <w:rPr>
                <w:sz w:val="20"/>
                <w:szCs w:val="20"/>
              </w:rPr>
              <w:t>11,5%</w:t>
            </w:r>
          </w:p>
        </w:tc>
        <w:tc>
          <w:tcPr>
            <w:tcW w:w="897" w:type="dxa"/>
            <w:noWrap/>
            <w:hideMark/>
          </w:tcPr>
          <w:p w:rsidR="002C1789" w:rsidRPr="002C1789" w:rsidRDefault="002C1789" w:rsidP="002C1789">
            <w:pPr>
              <w:jc w:val="right"/>
              <w:rPr>
                <w:sz w:val="20"/>
                <w:szCs w:val="20"/>
              </w:rPr>
            </w:pPr>
            <w:r w:rsidRPr="002C1789">
              <w:rPr>
                <w:sz w:val="20"/>
                <w:szCs w:val="20"/>
              </w:rPr>
              <w:t>12,4%</w:t>
            </w:r>
          </w:p>
        </w:tc>
        <w:tc>
          <w:tcPr>
            <w:tcW w:w="835" w:type="dxa"/>
            <w:noWrap/>
            <w:hideMark/>
          </w:tcPr>
          <w:p w:rsidR="002C1789" w:rsidRPr="002C1789" w:rsidRDefault="002C1789" w:rsidP="002C1789">
            <w:pPr>
              <w:jc w:val="right"/>
              <w:rPr>
                <w:sz w:val="20"/>
                <w:szCs w:val="20"/>
              </w:rPr>
            </w:pPr>
            <w:r w:rsidRPr="002C1789">
              <w:rPr>
                <w:sz w:val="20"/>
                <w:szCs w:val="20"/>
              </w:rPr>
              <w:t>12,9%</w:t>
            </w:r>
          </w:p>
        </w:tc>
        <w:tc>
          <w:tcPr>
            <w:tcW w:w="835" w:type="dxa"/>
            <w:noWrap/>
            <w:hideMark/>
          </w:tcPr>
          <w:p w:rsidR="002C1789" w:rsidRPr="002C1789" w:rsidRDefault="002C1789" w:rsidP="002C1789">
            <w:pPr>
              <w:jc w:val="right"/>
              <w:rPr>
                <w:sz w:val="20"/>
                <w:szCs w:val="20"/>
              </w:rPr>
            </w:pPr>
            <w:r w:rsidRPr="002C1789">
              <w:rPr>
                <w:sz w:val="20"/>
                <w:szCs w:val="20"/>
              </w:rPr>
              <w:t>13,4%</w:t>
            </w:r>
          </w:p>
        </w:tc>
        <w:tc>
          <w:tcPr>
            <w:tcW w:w="835" w:type="dxa"/>
            <w:noWrap/>
            <w:hideMark/>
          </w:tcPr>
          <w:p w:rsidR="002C1789" w:rsidRPr="002C1789" w:rsidRDefault="002C1789" w:rsidP="002C1789">
            <w:pPr>
              <w:jc w:val="right"/>
              <w:rPr>
                <w:sz w:val="20"/>
                <w:szCs w:val="20"/>
              </w:rPr>
            </w:pPr>
            <w:r w:rsidRPr="002C1789">
              <w:rPr>
                <w:sz w:val="20"/>
                <w:szCs w:val="20"/>
              </w:rPr>
              <w:t>11,7%</w:t>
            </w:r>
          </w:p>
        </w:tc>
        <w:tc>
          <w:tcPr>
            <w:tcW w:w="875" w:type="dxa"/>
            <w:noWrap/>
            <w:hideMark/>
          </w:tcPr>
          <w:p w:rsidR="002C1789" w:rsidRPr="002C1789" w:rsidRDefault="002C1789" w:rsidP="002C1789">
            <w:pPr>
              <w:jc w:val="right"/>
              <w:rPr>
                <w:sz w:val="20"/>
                <w:szCs w:val="20"/>
              </w:rPr>
            </w:pPr>
            <w:r w:rsidRPr="002C1789">
              <w:rPr>
                <w:sz w:val="20"/>
                <w:szCs w:val="20"/>
              </w:rPr>
              <w:t>12,9%</w:t>
            </w:r>
          </w:p>
        </w:tc>
      </w:tr>
      <w:tr w:rsidR="002C1789" w:rsidRPr="002C1789" w:rsidTr="00D97A4F">
        <w:trPr>
          <w:trHeight w:val="300"/>
        </w:trPr>
        <w:tc>
          <w:tcPr>
            <w:tcW w:w="1519" w:type="dxa"/>
            <w:noWrap/>
            <w:hideMark/>
          </w:tcPr>
          <w:p w:rsidR="002C1789" w:rsidRPr="002C1789" w:rsidRDefault="002C1789" w:rsidP="002C1789">
            <w:pPr>
              <w:jc w:val="both"/>
              <w:rPr>
                <w:sz w:val="20"/>
                <w:szCs w:val="20"/>
              </w:rPr>
            </w:pPr>
            <w:r w:rsidRPr="002C1789">
              <w:rPr>
                <w:sz w:val="20"/>
                <w:szCs w:val="20"/>
              </w:rPr>
              <w:t>full time a termine</w:t>
            </w:r>
          </w:p>
        </w:tc>
        <w:tc>
          <w:tcPr>
            <w:tcW w:w="222" w:type="dxa"/>
          </w:tcPr>
          <w:p w:rsidR="002C1789" w:rsidRPr="002C1789" w:rsidRDefault="002C1789" w:rsidP="002C1789">
            <w:pPr>
              <w:jc w:val="both"/>
              <w:rPr>
                <w:sz w:val="20"/>
                <w:szCs w:val="20"/>
              </w:rPr>
            </w:pPr>
          </w:p>
        </w:tc>
        <w:tc>
          <w:tcPr>
            <w:tcW w:w="897" w:type="dxa"/>
            <w:noWrap/>
            <w:hideMark/>
          </w:tcPr>
          <w:p w:rsidR="002C1789" w:rsidRPr="002C1789" w:rsidRDefault="002C1789" w:rsidP="002C1789">
            <w:pPr>
              <w:jc w:val="right"/>
              <w:rPr>
                <w:sz w:val="20"/>
                <w:szCs w:val="20"/>
              </w:rPr>
            </w:pPr>
            <w:r w:rsidRPr="002C1789">
              <w:rPr>
                <w:sz w:val="20"/>
                <w:szCs w:val="20"/>
              </w:rPr>
              <w:t>17,9%</w:t>
            </w:r>
          </w:p>
        </w:tc>
        <w:tc>
          <w:tcPr>
            <w:tcW w:w="897" w:type="dxa"/>
            <w:noWrap/>
            <w:hideMark/>
          </w:tcPr>
          <w:p w:rsidR="002C1789" w:rsidRPr="002C1789" w:rsidRDefault="002C1789" w:rsidP="002C1789">
            <w:pPr>
              <w:jc w:val="right"/>
              <w:rPr>
                <w:sz w:val="20"/>
                <w:szCs w:val="20"/>
              </w:rPr>
            </w:pPr>
            <w:r w:rsidRPr="002C1789">
              <w:rPr>
                <w:sz w:val="20"/>
                <w:szCs w:val="20"/>
              </w:rPr>
              <w:t>17,0%</w:t>
            </w:r>
          </w:p>
        </w:tc>
        <w:tc>
          <w:tcPr>
            <w:tcW w:w="897" w:type="dxa"/>
            <w:noWrap/>
            <w:hideMark/>
          </w:tcPr>
          <w:p w:rsidR="002C1789" w:rsidRPr="002C1789" w:rsidRDefault="002C1789" w:rsidP="002C1789">
            <w:pPr>
              <w:jc w:val="right"/>
              <w:rPr>
                <w:sz w:val="20"/>
                <w:szCs w:val="20"/>
              </w:rPr>
            </w:pPr>
            <w:r w:rsidRPr="002C1789">
              <w:rPr>
                <w:sz w:val="20"/>
                <w:szCs w:val="20"/>
              </w:rPr>
              <w:t>16,9%</w:t>
            </w:r>
          </w:p>
        </w:tc>
        <w:tc>
          <w:tcPr>
            <w:tcW w:w="897" w:type="dxa"/>
            <w:noWrap/>
            <w:hideMark/>
          </w:tcPr>
          <w:p w:rsidR="002C1789" w:rsidRPr="002C1789" w:rsidRDefault="002C1789" w:rsidP="002C1789">
            <w:pPr>
              <w:jc w:val="right"/>
              <w:rPr>
                <w:sz w:val="20"/>
                <w:szCs w:val="20"/>
              </w:rPr>
            </w:pPr>
            <w:r w:rsidRPr="002C1789">
              <w:rPr>
                <w:sz w:val="20"/>
                <w:szCs w:val="20"/>
              </w:rPr>
              <w:t>17,6%</w:t>
            </w:r>
          </w:p>
        </w:tc>
        <w:tc>
          <w:tcPr>
            <w:tcW w:w="897" w:type="dxa"/>
            <w:noWrap/>
            <w:hideMark/>
          </w:tcPr>
          <w:p w:rsidR="002C1789" w:rsidRPr="002C1789" w:rsidRDefault="002C1789" w:rsidP="002C1789">
            <w:pPr>
              <w:jc w:val="right"/>
              <w:rPr>
                <w:sz w:val="20"/>
                <w:szCs w:val="20"/>
              </w:rPr>
            </w:pPr>
            <w:r w:rsidRPr="002C1789">
              <w:rPr>
                <w:sz w:val="20"/>
                <w:szCs w:val="20"/>
              </w:rPr>
              <w:t>16,4%</w:t>
            </w:r>
          </w:p>
        </w:tc>
        <w:tc>
          <w:tcPr>
            <w:tcW w:w="835" w:type="dxa"/>
            <w:noWrap/>
            <w:hideMark/>
          </w:tcPr>
          <w:p w:rsidR="002C1789" w:rsidRPr="002C1789" w:rsidRDefault="002C1789" w:rsidP="002C1789">
            <w:pPr>
              <w:jc w:val="right"/>
              <w:rPr>
                <w:sz w:val="20"/>
                <w:szCs w:val="20"/>
              </w:rPr>
            </w:pPr>
            <w:r w:rsidRPr="002C1789">
              <w:rPr>
                <w:sz w:val="20"/>
                <w:szCs w:val="20"/>
              </w:rPr>
              <w:t>15,1%</w:t>
            </w:r>
          </w:p>
        </w:tc>
        <w:tc>
          <w:tcPr>
            <w:tcW w:w="835" w:type="dxa"/>
            <w:noWrap/>
            <w:hideMark/>
          </w:tcPr>
          <w:p w:rsidR="002C1789" w:rsidRPr="002C1789" w:rsidRDefault="002C1789" w:rsidP="002C1789">
            <w:pPr>
              <w:jc w:val="right"/>
              <w:rPr>
                <w:sz w:val="20"/>
                <w:szCs w:val="20"/>
              </w:rPr>
            </w:pPr>
            <w:r w:rsidRPr="002C1789">
              <w:rPr>
                <w:sz w:val="20"/>
                <w:szCs w:val="20"/>
              </w:rPr>
              <w:t>15,6%</w:t>
            </w:r>
          </w:p>
        </w:tc>
        <w:tc>
          <w:tcPr>
            <w:tcW w:w="835" w:type="dxa"/>
            <w:noWrap/>
            <w:hideMark/>
          </w:tcPr>
          <w:p w:rsidR="002C1789" w:rsidRPr="002C1789" w:rsidRDefault="002C1789" w:rsidP="002C1789">
            <w:pPr>
              <w:jc w:val="right"/>
              <w:rPr>
                <w:sz w:val="20"/>
                <w:szCs w:val="20"/>
              </w:rPr>
            </w:pPr>
            <w:r w:rsidRPr="002C1789">
              <w:rPr>
                <w:sz w:val="20"/>
                <w:szCs w:val="20"/>
              </w:rPr>
              <w:t>12,9%</w:t>
            </w:r>
          </w:p>
        </w:tc>
        <w:tc>
          <w:tcPr>
            <w:tcW w:w="875" w:type="dxa"/>
            <w:noWrap/>
            <w:hideMark/>
          </w:tcPr>
          <w:p w:rsidR="002C1789" w:rsidRPr="002C1789" w:rsidRDefault="002C1789" w:rsidP="002C1789">
            <w:pPr>
              <w:jc w:val="right"/>
              <w:rPr>
                <w:sz w:val="20"/>
                <w:szCs w:val="20"/>
              </w:rPr>
            </w:pPr>
            <w:r w:rsidRPr="002C1789">
              <w:rPr>
                <w:sz w:val="20"/>
                <w:szCs w:val="20"/>
              </w:rPr>
              <w:t>13,9%</w:t>
            </w:r>
          </w:p>
        </w:tc>
      </w:tr>
      <w:tr w:rsidR="002C1789" w:rsidRPr="002C1789" w:rsidTr="00D97A4F">
        <w:trPr>
          <w:trHeight w:val="300"/>
        </w:trPr>
        <w:tc>
          <w:tcPr>
            <w:tcW w:w="1519" w:type="dxa"/>
            <w:noWrap/>
            <w:hideMark/>
          </w:tcPr>
          <w:p w:rsidR="002C1789" w:rsidRPr="002C1789" w:rsidRDefault="002C1789" w:rsidP="002C1789">
            <w:pPr>
              <w:jc w:val="both"/>
              <w:rPr>
                <w:sz w:val="20"/>
                <w:szCs w:val="20"/>
              </w:rPr>
            </w:pPr>
            <w:r w:rsidRPr="002C1789">
              <w:rPr>
                <w:sz w:val="20"/>
                <w:szCs w:val="20"/>
              </w:rPr>
              <w:t>TOTALE</w:t>
            </w:r>
          </w:p>
        </w:tc>
        <w:tc>
          <w:tcPr>
            <w:tcW w:w="222" w:type="dxa"/>
          </w:tcPr>
          <w:p w:rsidR="002C1789" w:rsidRPr="002C1789" w:rsidRDefault="002C1789" w:rsidP="002C1789">
            <w:pPr>
              <w:jc w:val="both"/>
              <w:rPr>
                <w:sz w:val="20"/>
                <w:szCs w:val="20"/>
              </w:rPr>
            </w:pPr>
          </w:p>
        </w:tc>
        <w:tc>
          <w:tcPr>
            <w:tcW w:w="897" w:type="dxa"/>
            <w:noWrap/>
            <w:hideMark/>
          </w:tcPr>
          <w:p w:rsidR="002C1789" w:rsidRPr="002C1789" w:rsidRDefault="002C1789" w:rsidP="002C1789">
            <w:pPr>
              <w:jc w:val="right"/>
              <w:rPr>
                <w:sz w:val="20"/>
                <w:szCs w:val="20"/>
              </w:rPr>
            </w:pPr>
            <w:r w:rsidRPr="002C1789">
              <w:rPr>
                <w:sz w:val="20"/>
                <w:szCs w:val="20"/>
              </w:rPr>
              <w:t>100,0%</w:t>
            </w:r>
          </w:p>
        </w:tc>
        <w:tc>
          <w:tcPr>
            <w:tcW w:w="897" w:type="dxa"/>
            <w:noWrap/>
            <w:hideMark/>
          </w:tcPr>
          <w:p w:rsidR="002C1789" w:rsidRPr="002C1789" w:rsidRDefault="002C1789" w:rsidP="002C1789">
            <w:pPr>
              <w:jc w:val="right"/>
              <w:rPr>
                <w:sz w:val="20"/>
                <w:szCs w:val="20"/>
              </w:rPr>
            </w:pPr>
            <w:r w:rsidRPr="002C1789">
              <w:rPr>
                <w:sz w:val="20"/>
                <w:szCs w:val="20"/>
              </w:rPr>
              <w:t>100,0%</w:t>
            </w:r>
          </w:p>
        </w:tc>
        <w:tc>
          <w:tcPr>
            <w:tcW w:w="897" w:type="dxa"/>
            <w:noWrap/>
            <w:hideMark/>
          </w:tcPr>
          <w:p w:rsidR="002C1789" w:rsidRPr="002C1789" w:rsidRDefault="002C1789" w:rsidP="002C1789">
            <w:pPr>
              <w:jc w:val="right"/>
              <w:rPr>
                <w:sz w:val="20"/>
                <w:szCs w:val="20"/>
              </w:rPr>
            </w:pPr>
            <w:r w:rsidRPr="002C1789">
              <w:rPr>
                <w:sz w:val="20"/>
                <w:szCs w:val="20"/>
              </w:rPr>
              <w:t>100,0%</w:t>
            </w:r>
          </w:p>
        </w:tc>
        <w:tc>
          <w:tcPr>
            <w:tcW w:w="897" w:type="dxa"/>
            <w:noWrap/>
            <w:hideMark/>
          </w:tcPr>
          <w:p w:rsidR="002C1789" w:rsidRPr="002C1789" w:rsidRDefault="002C1789" w:rsidP="002C1789">
            <w:pPr>
              <w:jc w:val="right"/>
              <w:rPr>
                <w:sz w:val="20"/>
                <w:szCs w:val="20"/>
              </w:rPr>
            </w:pPr>
            <w:r w:rsidRPr="002C1789">
              <w:rPr>
                <w:sz w:val="20"/>
                <w:szCs w:val="20"/>
              </w:rPr>
              <w:t>100,0%</w:t>
            </w:r>
          </w:p>
        </w:tc>
        <w:tc>
          <w:tcPr>
            <w:tcW w:w="897" w:type="dxa"/>
            <w:noWrap/>
            <w:hideMark/>
          </w:tcPr>
          <w:p w:rsidR="002C1789" w:rsidRPr="002C1789" w:rsidRDefault="002C1789" w:rsidP="002C1789">
            <w:pPr>
              <w:jc w:val="right"/>
              <w:rPr>
                <w:sz w:val="20"/>
                <w:szCs w:val="20"/>
              </w:rPr>
            </w:pPr>
            <w:r w:rsidRPr="002C1789">
              <w:rPr>
                <w:sz w:val="20"/>
                <w:szCs w:val="20"/>
              </w:rPr>
              <w:t>100,0%</w:t>
            </w:r>
          </w:p>
        </w:tc>
        <w:tc>
          <w:tcPr>
            <w:tcW w:w="835" w:type="dxa"/>
            <w:noWrap/>
            <w:hideMark/>
          </w:tcPr>
          <w:p w:rsidR="002C1789" w:rsidRPr="002C1789" w:rsidRDefault="002C1789" w:rsidP="002C1789">
            <w:pPr>
              <w:jc w:val="right"/>
              <w:rPr>
                <w:sz w:val="20"/>
                <w:szCs w:val="20"/>
              </w:rPr>
            </w:pPr>
            <w:r w:rsidRPr="002C1789">
              <w:rPr>
                <w:sz w:val="20"/>
                <w:szCs w:val="20"/>
              </w:rPr>
              <w:t>100,0%</w:t>
            </w:r>
          </w:p>
        </w:tc>
        <w:tc>
          <w:tcPr>
            <w:tcW w:w="835" w:type="dxa"/>
            <w:noWrap/>
            <w:hideMark/>
          </w:tcPr>
          <w:p w:rsidR="002C1789" w:rsidRPr="002C1789" w:rsidRDefault="002C1789" w:rsidP="002C1789">
            <w:pPr>
              <w:jc w:val="right"/>
              <w:rPr>
                <w:sz w:val="20"/>
                <w:szCs w:val="20"/>
              </w:rPr>
            </w:pPr>
            <w:r w:rsidRPr="002C1789">
              <w:rPr>
                <w:sz w:val="20"/>
                <w:szCs w:val="20"/>
              </w:rPr>
              <w:t>100,0%</w:t>
            </w:r>
          </w:p>
        </w:tc>
        <w:tc>
          <w:tcPr>
            <w:tcW w:w="835" w:type="dxa"/>
            <w:noWrap/>
            <w:hideMark/>
          </w:tcPr>
          <w:p w:rsidR="002C1789" w:rsidRPr="002C1789" w:rsidRDefault="002C1789" w:rsidP="002C1789">
            <w:pPr>
              <w:jc w:val="right"/>
              <w:rPr>
                <w:sz w:val="20"/>
                <w:szCs w:val="20"/>
              </w:rPr>
            </w:pPr>
            <w:r w:rsidRPr="002C1789">
              <w:rPr>
                <w:sz w:val="20"/>
                <w:szCs w:val="20"/>
              </w:rPr>
              <w:t>100,0%</w:t>
            </w:r>
          </w:p>
        </w:tc>
        <w:tc>
          <w:tcPr>
            <w:tcW w:w="875" w:type="dxa"/>
            <w:noWrap/>
            <w:hideMark/>
          </w:tcPr>
          <w:p w:rsidR="002C1789" w:rsidRPr="002C1789" w:rsidRDefault="002C1789" w:rsidP="002C1789">
            <w:pPr>
              <w:jc w:val="right"/>
              <w:rPr>
                <w:sz w:val="20"/>
                <w:szCs w:val="20"/>
              </w:rPr>
            </w:pPr>
            <w:r w:rsidRPr="002C1789">
              <w:rPr>
                <w:sz w:val="20"/>
                <w:szCs w:val="20"/>
              </w:rPr>
              <w:t>100,0%</w:t>
            </w:r>
          </w:p>
        </w:tc>
      </w:tr>
    </w:tbl>
    <w:p w:rsidR="00D97A4F" w:rsidRPr="00046867" w:rsidRDefault="00D97A4F" w:rsidP="00D97A4F">
      <w:pPr>
        <w:rPr>
          <w:sz w:val="18"/>
          <w:szCs w:val="18"/>
        </w:rPr>
      </w:pPr>
      <w:r w:rsidRPr="00046867">
        <w:rPr>
          <w:sz w:val="18"/>
          <w:szCs w:val="18"/>
        </w:rPr>
        <w:t>Fonte: ns. elab. su dati Inps</w:t>
      </w:r>
    </w:p>
    <w:p w:rsidR="002C1789" w:rsidRDefault="002C1789" w:rsidP="008A7107">
      <w:pPr>
        <w:jc w:val="both"/>
      </w:pPr>
    </w:p>
    <w:p w:rsidR="008A7107" w:rsidRDefault="002C1789" w:rsidP="008A7107">
      <w:pPr>
        <w:jc w:val="both"/>
      </w:pPr>
      <w:r>
        <w:t xml:space="preserve">Definendo “standard” il rapporto di lavoro a tempo pieno e a tempo indeterminato, osserviamo che questa modalità lavorativa sfiora ormai appena la maggioranza assoluta (51%, contro il 54,3% del 2008). Un incremento deciso l’hanno avuto i lavoratori impiegati con forme di part time, che, a tempo indeterminato, sono passati dal </w:t>
      </w:r>
      <w:r w:rsidR="005D1FDF">
        <w:t>16,1% del total</w:t>
      </w:r>
      <w:r w:rsidR="00BD52FA">
        <w:t>e degli addetti locali a 22,2%.</w:t>
      </w:r>
      <w:r w:rsidR="005D1FDF">
        <w:t xml:space="preserve"> Anche il gruppo dei part timers a termine ha subito un certo incremento (da 11,6% a 12,9%), mentre l’ultimo gruppo, dei lavoratori a termine, con orario part time è passato dal 17,9% al 12,9%.</w:t>
      </w:r>
    </w:p>
    <w:p w:rsidR="00910EB7" w:rsidRDefault="00BD52FA" w:rsidP="008A7107">
      <w:pPr>
        <w:jc w:val="both"/>
      </w:pPr>
      <w:r>
        <w:t xml:space="preserve">Come si vede le posizioni </w:t>
      </w:r>
      <w:r w:rsidR="0044476F">
        <w:t>lavorative standard riguardano al 2016 due terzi dei lavoratori, ma meno di un terzo delle lavoratrici; per queste ultime la posizione lavorativa più frequente è quella part time a tempo indeterminato (38% del totale, contro solo il 10% dei maschi). Anche la posizione più “critica”, quella part time a tempo determinato, riguarda le donne in percentuale doppia rispetto agli uomini (18% contro 9%).</w:t>
      </w:r>
    </w:p>
    <w:p w:rsidR="00D97A4F" w:rsidRDefault="00D97A4F" w:rsidP="008A7107">
      <w:pPr>
        <w:jc w:val="both"/>
      </w:pPr>
    </w:p>
    <w:p w:rsidR="00D97A4F" w:rsidRPr="00D97A4F" w:rsidRDefault="00D97A4F" w:rsidP="008A7107">
      <w:pPr>
        <w:jc w:val="both"/>
        <w:rPr>
          <w:i/>
        </w:rPr>
      </w:pPr>
      <w:r w:rsidRPr="00D97A4F">
        <w:rPr>
          <w:i/>
        </w:rPr>
        <w:t>Graf. 11 – composizione per contratto dell’occupazione privata non agricola per genere</w:t>
      </w:r>
    </w:p>
    <w:p w:rsidR="00910EB7" w:rsidRDefault="00910EB7" w:rsidP="008A7107">
      <w:pPr>
        <w:jc w:val="both"/>
      </w:pPr>
      <w:r>
        <w:rPr>
          <w:noProof/>
          <w:lang w:eastAsia="it-IT"/>
        </w:rPr>
        <w:drawing>
          <wp:inline distT="0" distB="0" distL="0" distR="0" wp14:anchorId="3BCEC5D6" wp14:editId="3E062775">
            <wp:extent cx="4572000" cy="2743200"/>
            <wp:effectExtent l="0" t="0" r="0" b="0"/>
            <wp:docPr id="10" name="Gra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4476F" w:rsidRDefault="0044476F" w:rsidP="008A7107">
      <w:pPr>
        <w:jc w:val="both"/>
      </w:pPr>
      <w:r>
        <w:rPr>
          <w:noProof/>
          <w:lang w:eastAsia="it-IT"/>
        </w:rPr>
        <w:drawing>
          <wp:inline distT="0" distB="0" distL="0" distR="0" wp14:anchorId="5A45A7F7" wp14:editId="4A7BEA07">
            <wp:extent cx="4572000" cy="2743200"/>
            <wp:effectExtent l="0" t="0" r="0" b="0"/>
            <wp:docPr id="11" name="Gra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97A4F" w:rsidRPr="00046867" w:rsidRDefault="00D97A4F" w:rsidP="00D97A4F">
      <w:pPr>
        <w:rPr>
          <w:sz w:val="18"/>
          <w:szCs w:val="18"/>
        </w:rPr>
      </w:pPr>
      <w:r w:rsidRPr="00046867">
        <w:rPr>
          <w:sz w:val="18"/>
          <w:szCs w:val="18"/>
        </w:rPr>
        <w:t>Fonte: ns. elab. su dati Inps</w:t>
      </w:r>
    </w:p>
    <w:p w:rsidR="0000367F" w:rsidRDefault="0000367F" w:rsidP="008A7107">
      <w:pPr>
        <w:jc w:val="both"/>
      </w:pPr>
    </w:p>
    <w:p w:rsidR="0000367F" w:rsidRDefault="0000367F" w:rsidP="008A7107">
      <w:pPr>
        <w:jc w:val="both"/>
      </w:pPr>
      <w:r>
        <w:t>Poiché la classificazione delle attività economiche adottata dall’Inps è cambiata nel corso del periodo esaminato, è impossibile analizzare questo periodo come un tutto unico; per questo facciamo dei confronti fra 2009 e 2013, e poi fra 2014 e 2016.</w:t>
      </w:r>
    </w:p>
    <w:p w:rsidR="0000367F" w:rsidRDefault="0000367F" w:rsidP="008A7107">
      <w:pPr>
        <w:jc w:val="both"/>
      </w:pPr>
      <w:r>
        <w:t>Nel periodo più recente sono aumentati gli addetti</w:t>
      </w:r>
      <w:r w:rsidR="00F65D4E">
        <w:t xml:space="preserve"> dipendenti</w:t>
      </w:r>
      <w:r>
        <w:t xml:space="preserve"> sia dell’industria (+4%) che del terziario (+5%); più divaricata è invece la dinamica del periodo precedente, in cui ad un lento recupero degli addetti del terziario (+1%) si affianca una grave caduta degli occupati dell’industria (-15%).</w:t>
      </w:r>
    </w:p>
    <w:p w:rsidR="0000367F" w:rsidRPr="00D97A4F" w:rsidRDefault="00D97A4F" w:rsidP="008A7107">
      <w:pPr>
        <w:jc w:val="both"/>
        <w:rPr>
          <w:i/>
        </w:rPr>
      </w:pPr>
      <w:r w:rsidRPr="00D97A4F">
        <w:rPr>
          <w:i/>
        </w:rPr>
        <w:t>Tab. 8 – Variazione occupati dipendenti privati non agricoli 2014-2016</w:t>
      </w:r>
    </w:p>
    <w:tbl>
      <w:tblPr>
        <w:tblW w:w="8931" w:type="dxa"/>
        <w:tblCellMar>
          <w:left w:w="70" w:type="dxa"/>
          <w:right w:w="70" w:type="dxa"/>
        </w:tblCellMar>
        <w:tblLook w:val="04A0" w:firstRow="1" w:lastRow="0" w:firstColumn="1" w:lastColumn="0" w:noHBand="0" w:noVBand="1"/>
      </w:tblPr>
      <w:tblGrid>
        <w:gridCol w:w="2268"/>
        <w:gridCol w:w="698"/>
        <w:gridCol w:w="1570"/>
        <w:gridCol w:w="993"/>
        <w:gridCol w:w="1417"/>
        <w:gridCol w:w="992"/>
        <w:gridCol w:w="993"/>
      </w:tblGrid>
      <w:tr w:rsidR="0000367F" w:rsidRPr="0000367F" w:rsidTr="0000367F">
        <w:trPr>
          <w:trHeight w:val="300"/>
        </w:trPr>
        <w:tc>
          <w:tcPr>
            <w:tcW w:w="2268" w:type="dxa"/>
            <w:tcBorders>
              <w:top w:val="single" w:sz="4" w:space="0" w:color="auto"/>
              <w:left w:val="nil"/>
              <w:bottom w:val="single" w:sz="4" w:space="0" w:color="auto"/>
              <w:right w:val="nil"/>
            </w:tcBorders>
            <w:shd w:val="clear" w:color="auto" w:fill="auto"/>
            <w:noWrap/>
            <w:vAlign w:val="bottom"/>
            <w:hideMark/>
          </w:tcPr>
          <w:p w:rsidR="0000367F" w:rsidRPr="0000367F" w:rsidRDefault="0000367F" w:rsidP="0000367F">
            <w:pPr>
              <w:spacing w:after="0" w:line="240" w:lineRule="auto"/>
              <w:rPr>
                <w:rFonts w:ascii="Times New Roman" w:eastAsia="Times New Roman" w:hAnsi="Times New Roman" w:cs="Times New Roman"/>
                <w:sz w:val="20"/>
                <w:szCs w:val="20"/>
                <w:lang w:eastAsia="it-IT"/>
              </w:rPr>
            </w:pPr>
          </w:p>
        </w:tc>
        <w:tc>
          <w:tcPr>
            <w:tcW w:w="698" w:type="dxa"/>
            <w:tcBorders>
              <w:top w:val="single" w:sz="4" w:space="0" w:color="auto"/>
              <w:left w:val="nil"/>
              <w:bottom w:val="single" w:sz="4" w:space="0" w:color="auto"/>
              <w:right w:val="nil"/>
            </w:tcBorders>
            <w:shd w:val="clear" w:color="auto" w:fill="auto"/>
            <w:noWrap/>
            <w:vAlign w:val="bottom"/>
            <w:hideMark/>
          </w:tcPr>
          <w:p w:rsidR="0000367F" w:rsidRPr="0000367F" w:rsidRDefault="0000367F" w:rsidP="00761D4A">
            <w:pPr>
              <w:spacing w:after="0" w:line="240" w:lineRule="auto"/>
              <w:jc w:val="center"/>
              <w:rPr>
                <w:rFonts w:ascii="Calibri" w:eastAsia="Times New Roman" w:hAnsi="Calibri" w:cs="Calibri"/>
                <w:color w:val="000000"/>
                <w:sz w:val="20"/>
                <w:szCs w:val="20"/>
                <w:lang w:eastAsia="it-IT"/>
              </w:rPr>
            </w:pPr>
            <w:r w:rsidRPr="0000367F">
              <w:rPr>
                <w:rFonts w:ascii="Calibri" w:eastAsia="Times New Roman" w:hAnsi="Calibri" w:cs="Calibri"/>
                <w:color w:val="000000"/>
                <w:sz w:val="20"/>
                <w:szCs w:val="20"/>
                <w:lang w:eastAsia="it-IT"/>
              </w:rPr>
              <w:t>2.016</w:t>
            </w:r>
          </w:p>
        </w:tc>
        <w:tc>
          <w:tcPr>
            <w:tcW w:w="1570" w:type="dxa"/>
            <w:tcBorders>
              <w:top w:val="single" w:sz="4" w:space="0" w:color="auto"/>
              <w:left w:val="nil"/>
              <w:bottom w:val="single" w:sz="4" w:space="0" w:color="auto"/>
              <w:right w:val="nil"/>
            </w:tcBorders>
            <w:shd w:val="clear" w:color="auto" w:fill="auto"/>
            <w:noWrap/>
            <w:vAlign w:val="bottom"/>
            <w:hideMark/>
          </w:tcPr>
          <w:p w:rsidR="0000367F" w:rsidRPr="0000367F" w:rsidRDefault="0000367F" w:rsidP="00761D4A">
            <w:pPr>
              <w:spacing w:after="0" w:line="240" w:lineRule="auto"/>
              <w:jc w:val="center"/>
              <w:rPr>
                <w:rFonts w:ascii="Calibri" w:eastAsia="Times New Roman" w:hAnsi="Calibri" w:cs="Calibri"/>
                <w:color w:val="000000"/>
                <w:sz w:val="20"/>
                <w:szCs w:val="20"/>
                <w:lang w:eastAsia="it-IT"/>
              </w:rPr>
            </w:pPr>
            <w:r w:rsidRPr="0000367F">
              <w:rPr>
                <w:rFonts w:ascii="Calibri" w:eastAsia="Times New Roman" w:hAnsi="Calibri" w:cs="Calibri"/>
                <w:color w:val="000000"/>
                <w:sz w:val="20"/>
                <w:szCs w:val="20"/>
                <w:lang w:eastAsia="it-IT"/>
              </w:rPr>
              <w:t>2.014</w:t>
            </w:r>
          </w:p>
        </w:tc>
        <w:tc>
          <w:tcPr>
            <w:tcW w:w="993" w:type="dxa"/>
            <w:tcBorders>
              <w:top w:val="single" w:sz="4" w:space="0" w:color="auto"/>
              <w:left w:val="nil"/>
              <w:bottom w:val="single" w:sz="4" w:space="0" w:color="auto"/>
              <w:right w:val="nil"/>
            </w:tcBorders>
            <w:shd w:val="clear" w:color="auto" w:fill="auto"/>
            <w:noWrap/>
            <w:vAlign w:val="bottom"/>
            <w:hideMark/>
          </w:tcPr>
          <w:p w:rsidR="0000367F" w:rsidRPr="0000367F" w:rsidRDefault="0000367F" w:rsidP="00761D4A">
            <w:pPr>
              <w:spacing w:after="0" w:line="240" w:lineRule="auto"/>
              <w:jc w:val="center"/>
              <w:rPr>
                <w:rFonts w:ascii="Calibri" w:eastAsia="Times New Roman" w:hAnsi="Calibri" w:cs="Calibri"/>
                <w:color w:val="000000"/>
                <w:sz w:val="20"/>
                <w:szCs w:val="20"/>
                <w:lang w:eastAsia="it-IT"/>
              </w:rPr>
            </w:pPr>
            <w:r w:rsidRPr="0000367F">
              <w:rPr>
                <w:rFonts w:ascii="Calibri" w:eastAsia="Times New Roman" w:hAnsi="Calibri" w:cs="Calibri"/>
                <w:color w:val="000000"/>
                <w:sz w:val="20"/>
                <w:szCs w:val="20"/>
                <w:lang w:eastAsia="it-IT"/>
              </w:rPr>
              <w:t>v.%'14-'16</w:t>
            </w:r>
          </w:p>
        </w:tc>
        <w:tc>
          <w:tcPr>
            <w:tcW w:w="1417" w:type="dxa"/>
            <w:tcBorders>
              <w:top w:val="single" w:sz="4" w:space="0" w:color="auto"/>
              <w:left w:val="nil"/>
              <w:bottom w:val="single" w:sz="4" w:space="0" w:color="auto"/>
              <w:right w:val="nil"/>
            </w:tcBorders>
            <w:shd w:val="clear" w:color="auto" w:fill="auto"/>
            <w:noWrap/>
            <w:vAlign w:val="bottom"/>
            <w:hideMark/>
          </w:tcPr>
          <w:p w:rsidR="0000367F" w:rsidRPr="0000367F" w:rsidRDefault="0000367F" w:rsidP="00761D4A">
            <w:pPr>
              <w:spacing w:after="0" w:line="240" w:lineRule="auto"/>
              <w:jc w:val="center"/>
              <w:rPr>
                <w:rFonts w:ascii="Calibri" w:eastAsia="Times New Roman" w:hAnsi="Calibri" w:cs="Calibri"/>
                <w:color w:val="000000"/>
                <w:sz w:val="20"/>
                <w:szCs w:val="20"/>
                <w:lang w:eastAsia="it-IT"/>
              </w:rPr>
            </w:pPr>
            <w:r w:rsidRPr="0000367F">
              <w:rPr>
                <w:rFonts w:ascii="Calibri" w:eastAsia="Times New Roman" w:hAnsi="Calibri" w:cs="Calibri"/>
                <w:color w:val="000000"/>
                <w:sz w:val="20"/>
                <w:szCs w:val="20"/>
                <w:lang w:eastAsia="it-IT"/>
              </w:rPr>
              <w:t>2013</w:t>
            </w:r>
          </w:p>
        </w:tc>
        <w:tc>
          <w:tcPr>
            <w:tcW w:w="992" w:type="dxa"/>
            <w:tcBorders>
              <w:top w:val="single" w:sz="4" w:space="0" w:color="auto"/>
              <w:left w:val="nil"/>
              <w:bottom w:val="single" w:sz="4" w:space="0" w:color="auto"/>
              <w:right w:val="nil"/>
            </w:tcBorders>
            <w:shd w:val="clear" w:color="auto" w:fill="auto"/>
            <w:noWrap/>
            <w:vAlign w:val="bottom"/>
            <w:hideMark/>
          </w:tcPr>
          <w:p w:rsidR="0000367F" w:rsidRPr="0000367F" w:rsidRDefault="0000367F" w:rsidP="00761D4A">
            <w:pPr>
              <w:spacing w:after="0" w:line="240" w:lineRule="auto"/>
              <w:jc w:val="center"/>
              <w:rPr>
                <w:rFonts w:ascii="Calibri" w:eastAsia="Times New Roman" w:hAnsi="Calibri" w:cs="Calibri"/>
                <w:color w:val="000000"/>
                <w:sz w:val="20"/>
                <w:szCs w:val="20"/>
                <w:lang w:eastAsia="it-IT"/>
              </w:rPr>
            </w:pPr>
            <w:r w:rsidRPr="0000367F">
              <w:rPr>
                <w:rFonts w:ascii="Calibri" w:eastAsia="Times New Roman" w:hAnsi="Calibri" w:cs="Calibri"/>
                <w:color w:val="000000"/>
                <w:sz w:val="20"/>
                <w:szCs w:val="20"/>
                <w:lang w:eastAsia="it-IT"/>
              </w:rPr>
              <w:t>2008</w:t>
            </w:r>
          </w:p>
        </w:tc>
        <w:tc>
          <w:tcPr>
            <w:tcW w:w="993" w:type="dxa"/>
            <w:tcBorders>
              <w:top w:val="single" w:sz="4" w:space="0" w:color="auto"/>
              <w:left w:val="nil"/>
              <w:bottom w:val="single" w:sz="4" w:space="0" w:color="auto"/>
              <w:right w:val="nil"/>
            </w:tcBorders>
            <w:shd w:val="clear" w:color="auto" w:fill="auto"/>
            <w:noWrap/>
            <w:vAlign w:val="bottom"/>
            <w:hideMark/>
          </w:tcPr>
          <w:p w:rsidR="0000367F" w:rsidRPr="0000367F" w:rsidRDefault="0000367F" w:rsidP="00761D4A">
            <w:pPr>
              <w:spacing w:after="0" w:line="240" w:lineRule="auto"/>
              <w:jc w:val="center"/>
              <w:rPr>
                <w:rFonts w:ascii="Calibri" w:eastAsia="Times New Roman" w:hAnsi="Calibri" w:cs="Calibri"/>
                <w:color w:val="000000"/>
                <w:sz w:val="20"/>
                <w:szCs w:val="20"/>
                <w:lang w:eastAsia="it-IT"/>
              </w:rPr>
            </w:pPr>
            <w:r w:rsidRPr="0000367F">
              <w:rPr>
                <w:rFonts w:ascii="Calibri" w:eastAsia="Times New Roman" w:hAnsi="Calibri" w:cs="Calibri"/>
                <w:color w:val="000000"/>
                <w:sz w:val="20"/>
                <w:szCs w:val="20"/>
                <w:lang w:eastAsia="it-IT"/>
              </w:rPr>
              <w:t>v.%'8-'13</w:t>
            </w:r>
          </w:p>
        </w:tc>
      </w:tr>
      <w:tr w:rsidR="0000367F" w:rsidRPr="0000367F" w:rsidTr="0000367F">
        <w:trPr>
          <w:trHeight w:val="300"/>
        </w:trPr>
        <w:tc>
          <w:tcPr>
            <w:tcW w:w="2268" w:type="dxa"/>
            <w:tcBorders>
              <w:top w:val="single" w:sz="4" w:space="0" w:color="auto"/>
              <w:left w:val="nil"/>
              <w:right w:val="nil"/>
            </w:tcBorders>
            <w:shd w:val="clear" w:color="auto" w:fill="auto"/>
            <w:noWrap/>
            <w:vAlign w:val="bottom"/>
            <w:hideMark/>
          </w:tcPr>
          <w:p w:rsidR="0000367F" w:rsidRPr="0000367F" w:rsidRDefault="0000367F" w:rsidP="0000367F">
            <w:pPr>
              <w:spacing w:after="0" w:line="240" w:lineRule="auto"/>
              <w:rPr>
                <w:rFonts w:ascii="Calibri" w:eastAsia="Times New Roman" w:hAnsi="Calibri" w:cs="Calibri"/>
                <w:color w:val="000000"/>
                <w:sz w:val="20"/>
                <w:szCs w:val="20"/>
                <w:lang w:eastAsia="it-IT"/>
              </w:rPr>
            </w:pPr>
            <w:r w:rsidRPr="0000367F">
              <w:rPr>
                <w:rFonts w:ascii="Calibri" w:eastAsia="Times New Roman" w:hAnsi="Calibri" w:cs="Calibri"/>
                <w:color w:val="000000"/>
                <w:sz w:val="20"/>
                <w:szCs w:val="20"/>
                <w:lang w:eastAsia="it-IT"/>
              </w:rPr>
              <w:t>industria</w:t>
            </w:r>
          </w:p>
        </w:tc>
        <w:tc>
          <w:tcPr>
            <w:tcW w:w="698" w:type="dxa"/>
            <w:tcBorders>
              <w:top w:val="single" w:sz="4" w:space="0" w:color="auto"/>
              <w:left w:val="nil"/>
              <w:right w:val="nil"/>
            </w:tcBorders>
            <w:shd w:val="clear" w:color="auto" w:fill="auto"/>
            <w:noWrap/>
            <w:vAlign w:val="bottom"/>
            <w:hideMark/>
          </w:tcPr>
          <w:p w:rsidR="0000367F" w:rsidRPr="0000367F" w:rsidRDefault="0000367F" w:rsidP="00761D4A">
            <w:pPr>
              <w:spacing w:after="0" w:line="240" w:lineRule="auto"/>
              <w:jc w:val="center"/>
              <w:rPr>
                <w:rFonts w:ascii="Calibri" w:eastAsia="Times New Roman" w:hAnsi="Calibri" w:cs="Calibri"/>
                <w:color w:val="000000"/>
                <w:sz w:val="20"/>
                <w:szCs w:val="20"/>
                <w:lang w:eastAsia="it-IT"/>
              </w:rPr>
            </w:pPr>
            <w:r w:rsidRPr="0000367F">
              <w:rPr>
                <w:rFonts w:ascii="Calibri" w:eastAsia="Times New Roman" w:hAnsi="Calibri" w:cs="Calibri"/>
                <w:color w:val="000000"/>
                <w:sz w:val="20"/>
                <w:szCs w:val="20"/>
                <w:lang w:eastAsia="it-IT"/>
              </w:rPr>
              <w:t>37.548</w:t>
            </w:r>
          </w:p>
        </w:tc>
        <w:tc>
          <w:tcPr>
            <w:tcW w:w="1570" w:type="dxa"/>
            <w:tcBorders>
              <w:top w:val="single" w:sz="4" w:space="0" w:color="auto"/>
              <w:left w:val="nil"/>
              <w:right w:val="nil"/>
            </w:tcBorders>
            <w:shd w:val="clear" w:color="auto" w:fill="auto"/>
            <w:noWrap/>
            <w:vAlign w:val="bottom"/>
            <w:hideMark/>
          </w:tcPr>
          <w:p w:rsidR="0000367F" w:rsidRPr="0000367F" w:rsidRDefault="0000367F" w:rsidP="00761D4A">
            <w:pPr>
              <w:spacing w:after="0" w:line="240" w:lineRule="auto"/>
              <w:jc w:val="center"/>
              <w:rPr>
                <w:rFonts w:ascii="Calibri" w:eastAsia="Times New Roman" w:hAnsi="Calibri" w:cs="Calibri"/>
                <w:color w:val="000000"/>
                <w:sz w:val="20"/>
                <w:szCs w:val="20"/>
                <w:lang w:eastAsia="it-IT"/>
              </w:rPr>
            </w:pPr>
            <w:r w:rsidRPr="0000367F">
              <w:rPr>
                <w:rFonts w:ascii="Calibri" w:eastAsia="Times New Roman" w:hAnsi="Calibri" w:cs="Calibri"/>
                <w:color w:val="000000"/>
                <w:sz w:val="20"/>
                <w:szCs w:val="20"/>
                <w:lang w:eastAsia="it-IT"/>
              </w:rPr>
              <w:t>36.236</w:t>
            </w:r>
          </w:p>
        </w:tc>
        <w:tc>
          <w:tcPr>
            <w:tcW w:w="993" w:type="dxa"/>
            <w:tcBorders>
              <w:top w:val="single" w:sz="4" w:space="0" w:color="auto"/>
              <w:left w:val="nil"/>
              <w:right w:val="nil"/>
            </w:tcBorders>
            <w:shd w:val="clear" w:color="auto" w:fill="auto"/>
            <w:noWrap/>
            <w:vAlign w:val="bottom"/>
            <w:hideMark/>
          </w:tcPr>
          <w:p w:rsidR="0000367F" w:rsidRPr="0000367F" w:rsidRDefault="0000367F" w:rsidP="00761D4A">
            <w:pPr>
              <w:spacing w:after="0" w:line="240" w:lineRule="auto"/>
              <w:jc w:val="center"/>
              <w:rPr>
                <w:rFonts w:ascii="Calibri" w:eastAsia="Times New Roman" w:hAnsi="Calibri" w:cs="Calibri"/>
                <w:color w:val="000000"/>
                <w:sz w:val="20"/>
                <w:szCs w:val="20"/>
                <w:lang w:eastAsia="it-IT"/>
              </w:rPr>
            </w:pPr>
            <w:r w:rsidRPr="0000367F">
              <w:rPr>
                <w:rFonts w:ascii="Calibri" w:eastAsia="Times New Roman" w:hAnsi="Calibri" w:cs="Calibri"/>
                <w:color w:val="000000"/>
                <w:sz w:val="20"/>
                <w:szCs w:val="20"/>
                <w:lang w:eastAsia="it-IT"/>
              </w:rPr>
              <w:t>4%</w:t>
            </w:r>
          </w:p>
        </w:tc>
        <w:tc>
          <w:tcPr>
            <w:tcW w:w="1417" w:type="dxa"/>
            <w:tcBorders>
              <w:top w:val="single" w:sz="4" w:space="0" w:color="auto"/>
              <w:left w:val="nil"/>
              <w:right w:val="nil"/>
            </w:tcBorders>
            <w:shd w:val="clear" w:color="auto" w:fill="auto"/>
            <w:noWrap/>
            <w:vAlign w:val="bottom"/>
            <w:hideMark/>
          </w:tcPr>
          <w:p w:rsidR="0000367F" w:rsidRPr="0000367F" w:rsidRDefault="0000367F" w:rsidP="00761D4A">
            <w:pPr>
              <w:spacing w:after="0" w:line="240" w:lineRule="auto"/>
              <w:jc w:val="center"/>
              <w:rPr>
                <w:rFonts w:ascii="Calibri" w:eastAsia="Times New Roman" w:hAnsi="Calibri" w:cs="Calibri"/>
                <w:color w:val="000000"/>
                <w:sz w:val="20"/>
                <w:szCs w:val="20"/>
                <w:lang w:eastAsia="it-IT"/>
              </w:rPr>
            </w:pPr>
            <w:r w:rsidRPr="0000367F">
              <w:rPr>
                <w:rFonts w:ascii="Calibri" w:eastAsia="Times New Roman" w:hAnsi="Calibri" w:cs="Calibri"/>
                <w:color w:val="000000"/>
                <w:sz w:val="20"/>
                <w:szCs w:val="20"/>
                <w:lang w:eastAsia="it-IT"/>
              </w:rPr>
              <w:t>36.599</w:t>
            </w:r>
          </w:p>
        </w:tc>
        <w:tc>
          <w:tcPr>
            <w:tcW w:w="992" w:type="dxa"/>
            <w:tcBorders>
              <w:top w:val="single" w:sz="4" w:space="0" w:color="auto"/>
              <w:left w:val="nil"/>
              <w:right w:val="nil"/>
            </w:tcBorders>
            <w:shd w:val="clear" w:color="auto" w:fill="auto"/>
            <w:noWrap/>
            <w:vAlign w:val="bottom"/>
            <w:hideMark/>
          </w:tcPr>
          <w:p w:rsidR="0000367F" w:rsidRPr="0000367F" w:rsidRDefault="0000367F" w:rsidP="00761D4A">
            <w:pPr>
              <w:spacing w:after="0" w:line="240" w:lineRule="auto"/>
              <w:jc w:val="center"/>
              <w:rPr>
                <w:rFonts w:ascii="Calibri" w:eastAsia="Times New Roman" w:hAnsi="Calibri" w:cs="Calibri"/>
                <w:color w:val="000000"/>
                <w:sz w:val="20"/>
                <w:szCs w:val="20"/>
                <w:lang w:eastAsia="it-IT"/>
              </w:rPr>
            </w:pPr>
            <w:r w:rsidRPr="0000367F">
              <w:rPr>
                <w:rFonts w:ascii="Calibri" w:eastAsia="Times New Roman" w:hAnsi="Calibri" w:cs="Calibri"/>
                <w:color w:val="000000"/>
                <w:sz w:val="20"/>
                <w:szCs w:val="20"/>
                <w:lang w:eastAsia="it-IT"/>
              </w:rPr>
              <w:t>43.159</w:t>
            </w:r>
          </w:p>
        </w:tc>
        <w:tc>
          <w:tcPr>
            <w:tcW w:w="993" w:type="dxa"/>
            <w:tcBorders>
              <w:top w:val="single" w:sz="4" w:space="0" w:color="auto"/>
              <w:left w:val="nil"/>
              <w:right w:val="nil"/>
            </w:tcBorders>
            <w:shd w:val="clear" w:color="auto" w:fill="auto"/>
            <w:noWrap/>
            <w:vAlign w:val="bottom"/>
            <w:hideMark/>
          </w:tcPr>
          <w:p w:rsidR="0000367F" w:rsidRPr="0000367F" w:rsidRDefault="0000367F" w:rsidP="00761D4A">
            <w:pPr>
              <w:spacing w:after="0" w:line="240" w:lineRule="auto"/>
              <w:jc w:val="center"/>
              <w:rPr>
                <w:rFonts w:ascii="Calibri" w:eastAsia="Times New Roman" w:hAnsi="Calibri" w:cs="Calibri"/>
                <w:color w:val="000000"/>
                <w:sz w:val="20"/>
                <w:szCs w:val="20"/>
                <w:lang w:eastAsia="it-IT"/>
              </w:rPr>
            </w:pPr>
            <w:r w:rsidRPr="0000367F">
              <w:rPr>
                <w:rFonts w:ascii="Calibri" w:eastAsia="Times New Roman" w:hAnsi="Calibri" w:cs="Calibri"/>
                <w:color w:val="000000"/>
                <w:sz w:val="20"/>
                <w:szCs w:val="20"/>
                <w:lang w:eastAsia="it-IT"/>
              </w:rPr>
              <w:t>-15%</w:t>
            </w:r>
          </w:p>
        </w:tc>
      </w:tr>
      <w:tr w:rsidR="0000367F" w:rsidRPr="0000367F" w:rsidTr="0000367F">
        <w:trPr>
          <w:trHeight w:val="300"/>
        </w:trPr>
        <w:tc>
          <w:tcPr>
            <w:tcW w:w="2268" w:type="dxa"/>
            <w:tcBorders>
              <w:top w:val="nil"/>
              <w:left w:val="nil"/>
              <w:bottom w:val="single" w:sz="4" w:space="0" w:color="auto"/>
              <w:right w:val="nil"/>
            </w:tcBorders>
            <w:shd w:val="clear" w:color="auto" w:fill="auto"/>
            <w:noWrap/>
            <w:vAlign w:val="bottom"/>
            <w:hideMark/>
          </w:tcPr>
          <w:p w:rsidR="0000367F" w:rsidRPr="0000367F" w:rsidRDefault="0000367F" w:rsidP="0000367F">
            <w:pPr>
              <w:spacing w:after="0" w:line="240" w:lineRule="auto"/>
              <w:rPr>
                <w:rFonts w:ascii="Calibri" w:eastAsia="Times New Roman" w:hAnsi="Calibri" w:cs="Calibri"/>
                <w:color w:val="000000"/>
                <w:sz w:val="20"/>
                <w:szCs w:val="20"/>
                <w:lang w:eastAsia="it-IT"/>
              </w:rPr>
            </w:pPr>
            <w:r w:rsidRPr="0000367F">
              <w:rPr>
                <w:rFonts w:ascii="Calibri" w:eastAsia="Times New Roman" w:hAnsi="Calibri" w:cs="Calibri"/>
                <w:color w:val="000000"/>
                <w:sz w:val="20"/>
                <w:szCs w:val="20"/>
                <w:lang w:eastAsia="it-IT"/>
              </w:rPr>
              <w:t>terziario</w:t>
            </w:r>
          </w:p>
        </w:tc>
        <w:tc>
          <w:tcPr>
            <w:tcW w:w="698" w:type="dxa"/>
            <w:tcBorders>
              <w:top w:val="nil"/>
              <w:left w:val="nil"/>
              <w:bottom w:val="single" w:sz="4" w:space="0" w:color="auto"/>
              <w:right w:val="nil"/>
            </w:tcBorders>
            <w:shd w:val="clear" w:color="auto" w:fill="auto"/>
            <w:noWrap/>
            <w:vAlign w:val="bottom"/>
            <w:hideMark/>
          </w:tcPr>
          <w:p w:rsidR="0000367F" w:rsidRPr="0000367F" w:rsidRDefault="0000367F" w:rsidP="00761D4A">
            <w:pPr>
              <w:spacing w:after="0" w:line="240" w:lineRule="auto"/>
              <w:jc w:val="center"/>
              <w:rPr>
                <w:rFonts w:ascii="Calibri" w:eastAsia="Times New Roman" w:hAnsi="Calibri" w:cs="Calibri"/>
                <w:color w:val="000000"/>
                <w:sz w:val="20"/>
                <w:szCs w:val="20"/>
                <w:lang w:eastAsia="it-IT"/>
              </w:rPr>
            </w:pPr>
            <w:r w:rsidRPr="0000367F">
              <w:rPr>
                <w:rFonts w:ascii="Calibri" w:eastAsia="Times New Roman" w:hAnsi="Calibri" w:cs="Calibri"/>
                <w:color w:val="000000"/>
                <w:sz w:val="20"/>
                <w:szCs w:val="20"/>
                <w:lang w:eastAsia="it-IT"/>
              </w:rPr>
              <w:t>63.376</w:t>
            </w:r>
          </w:p>
        </w:tc>
        <w:tc>
          <w:tcPr>
            <w:tcW w:w="1570" w:type="dxa"/>
            <w:tcBorders>
              <w:top w:val="nil"/>
              <w:left w:val="nil"/>
              <w:bottom w:val="single" w:sz="4" w:space="0" w:color="auto"/>
              <w:right w:val="nil"/>
            </w:tcBorders>
            <w:shd w:val="clear" w:color="auto" w:fill="auto"/>
            <w:noWrap/>
            <w:vAlign w:val="bottom"/>
            <w:hideMark/>
          </w:tcPr>
          <w:p w:rsidR="0000367F" w:rsidRPr="0000367F" w:rsidRDefault="0000367F" w:rsidP="00761D4A">
            <w:pPr>
              <w:spacing w:after="0" w:line="240" w:lineRule="auto"/>
              <w:jc w:val="center"/>
              <w:rPr>
                <w:rFonts w:ascii="Calibri" w:eastAsia="Times New Roman" w:hAnsi="Calibri" w:cs="Calibri"/>
                <w:color w:val="000000"/>
                <w:sz w:val="20"/>
                <w:szCs w:val="20"/>
                <w:lang w:eastAsia="it-IT"/>
              </w:rPr>
            </w:pPr>
            <w:r w:rsidRPr="0000367F">
              <w:rPr>
                <w:rFonts w:ascii="Calibri" w:eastAsia="Times New Roman" w:hAnsi="Calibri" w:cs="Calibri"/>
                <w:color w:val="000000"/>
                <w:sz w:val="20"/>
                <w:szCs w:val="20"/>
                <w:lang w:eastAsia="it-IT"/>
              </w:rPr>
              <w:t>60.287</w:t>
            </w:r>
          </w:p>
        </w:tc>
        <w:tc>
          <w:tcPr>
            <w:tcW w:w="993" w:type="dxa"/>
            <w:tcBorders>
              <w:top w:val="nil"/>
              <w:left w:val="nil"/>
              <w:bottom w:val="single" w:sz="4" w:space="0" w:color="auto"/>
              <w:right w:val="nil"/>
            </w:tcBorders>
            <w:shd w:val="clear" w:color="auto" w:fill="auto"/>
            <w:noWrap/>
            <w:vAlign w:val="bottom"/>
            <w:hideMark/>
          </w:tcPr>
          <w:p w:rsidR="0000367F" w:rsidRPr="0000367F" w:rsidRDefault="0000367F" w:rsidP="00761D4A">
            <w:pPr>
              <w:spacing w:after="0" w:line="240" w:lineRule="auto"/>
              <w:jc w:val="center"/>
              <w:rPr>
                <w:rFonts w:ascii="Calibri" w:eastAsia="Times New Roman" w:hAnsi="Calibri" w:cs="Calibri"/>
                <w:color w:val="000000"/>
                <w:sz w:val="20"/>
                <w:szCs w:val="20"/>
                <w:lang w:eastAsia="it-IT"/>
              </w:rPr>
            </w:pPr>
            <w:r w:rsidRPr="0000367F">
              <w:rPr>
                <w:rFonts w:ascii="Calibri" w:eastAsia="Times New Roman" w:hAnsi="Calibri" w:cs="Calibri"/>
                <w:color w:val="000000"/>
                <w:sz w:val="20"/>
                <w:szCs w:val="20"/>
                <w:lang w:eastAsia="it-IT"/>
              </w:rPr>
              <w:t>5%</w:t>
            </w:r>
          </w:p>
        </w:tc>
        <w:tc>
          <w:tcPr>
            <w:tcW w:w="1417" w:type="dxa"/>
            <w:tcBorders>
              <w:top w:val="nil"/>
              <w:left w:val="nil"/>
              <w:bottom w:val="single" w:sz="4" w:space="0" w:color="auto"/>
              <w:right w:val="nil"/>
            </w:tcBorders>
            <w:shd w:val="clear" w:color="auto" w:fill="auto"/>
            <w:noWrap/>
            <w:vAlign w:val="bottom"/>
            <w:hideMark/>
          </w:tcPr>
          <w:p w:rsidR="0000367F" w:rsidRPr="0000367F" w:rsidRDefault="0000367F" w:rsidP="00761D4A">
            <w:pPr>
              <w:spacing w:after="0" w:line="240" w:lineRule="auto"/>
              <w:jc w:val="center"/>
              <w:rPr>
                <w:rFonts w:ascii="Calibri" w:eastAsia="Times New Roman" w:hAnsi="Calibri" w:cs="Calibri"/>
                <w:color w:val="000000"/>
                <w:sz w:val="20"/>
                <w:szCs w:val="20"/>
                <w:lang w:eastAsia="it-IT"/>
              </w:rPr>
            </w:pPr>
            <w:r w:rsidRPr="0000367F">
              <w:rPr>
                <w:rFonts w:ascii="Calibri" w:eastAsia="Times New Roman" w:hAnsi="Calibri" w:cs="Calibri"/>
                <w:color w:val="000000"/>
                <w:sz w:val="20"/>
                <w:szCs w:val="20"/>
                <w:lang w:eastAsia="it-IT"/>
              </w:rPr>
              <w:t>60.254</w:t>
            </w:r>
          </w:p>
        </w:tc>
        <w:tc>
          <w:tcPr>
            <w:tcW w:w="992" w:type="dxa"/>
            <w:tcBorders>
              <w:top w:val="nil"/>
              <w:left w:val="nil"/>
              <w:bottom w:val="single" w:sz="4" w:space="0" w:color="auto"/>
              <w:right w:val="nil"/>
            </w:tcBorders>
            <w:shd w:val="clear" w:color="auto" w:fill="auto"/>
            <w:noWrap/>
            <w:vAlign w:val="bottom"/>
            <w:hideMark/>
          </w:tcPr>
          <w:p w:rsidR="0000367F" w:rsidRPr="0000367F" w:rsidRDefault="0000367F" w:rsidP="00761D4A">
            <w:pPr>
              <w:spacing w:after="0" w:line="240" w:lineRule="auto"/>
              <w:jc w:val="center"/>
              <w:rPr>
                <w:rFonts w:ascii="Calibri" w:eastAsia="Times New Roman" w:hAnsi="Calibri" w:cs="Calibri"/>
                <w:color w:val="000000"/>
                <w:sz w:val="20"/>
                <w:szCs w:val="20"/>
                <w:lang w:eastAsia="it-IT"/>
              </w:rPr>
            </w:pPr>
            <w:r w:rsidRPr="0000367F">
              <w:rPr>
                <w:rFonts w:ascii="Calibri" w:eastAsia="Times New Roman" w:hAnsi="Calibri" w:cs="Calibri"/>
                <w:color w:val="000000"/>
                <w:sz w:val="20"/>
                <w:szCs w:val="20"/>
                <w:lang w:eastAsia="it-IT"/>
              </w:rPr>
              <w:t>59.609</w:t>
            </w:r>
          </w:p>
        </w:tc>
        <w:tc>
          <w:tcPr>
            <w:tcW w:w="993" w:type="dxa"/>
            <w:tcBorders>
              <w:top w:val="nil"/>
              <w:left w:val="nil"/>
              <w:bottom w:val="single" w:sz="4" w:space="0" w:color="auto"/>
              <w:right w:val="nil"/>
            </w:tcBorders>
            <w:shd w:val="clear" w:color="auto" w:fill="auto"/>
            <w:noWrap/>
            <w:vAlign w:val="bottom"/>
            <w:hideMark/>
          </w:tcPr>
          <w:p w:rsidR="0000367F" w:rsidRPr="0000367F" w:rsidRDefault="0000367F" w:rsidP="00761D4A">
            <w:pPr>
              <w:spacing w:after="0" w:line="240" w:lineRule="auto"/>
              <w:jc w:val="center"/>
              <w:rPr>
                <w:rFonts w:ascii="Calibri" w:eastAsia="Times New Roman" w:hAnsi="Calibri" w:cs="Calibri"/>
                <w:color w:val="000000"/>
                <w:sz w:val="20"/>
                <w:szCs w:val="20"/>
                <w:lang w:eastAsia="it-IT"/>
              </w:rPr>
            </w:pPr>
            <w:r w:rsidRPr="0000367F">
              <w:rPr>
                <w:rFonts w:ascii="Calibri" w:eastAsia="Times New Roman" w:hAnsi="Calibri" w:cs="Calibri"/>
                <w:color w:val="000000"/>
                <w:sz w:val="20"/>
                <w:szCs w:val="20"/>
                <w:lang w:eastAsia="it-IT"/>
              </w:rPr>
              <w:t>1%</w:t>
            </w:r>
          </w:p>
        </w:tc>
      </w:tr>
    </w:tbl>
    <w:p w:rsidR="00D97A4F" w:rsidRPr="00046867" w:rsidRDefault="00D97A4F" w:rsidP="00D97A4F">
      <w:pPr>
        <w:rPr>
          <w:sz w:val="18"/>
          <w:szCs w:val="18"/>
        </w:rPr>
      </w:pPr>
      <w:r w:rsidRPr="00046867">
        <w:rPr>
          <w:sz w:val="18"/>
          <w:szCs w:val="18"/>
        </w:rPr>
        <w:t>Fonte: ns. elab. su dati Inps</w:t>
      </w:r>
    </w:p>
    <w:p w:rsidR="00D97A4F" w:rsidRDefault="00D97A4F" w:rsidP="008A7107">
      <w:pPr>
        <w:jc w:val="both"/>
      </w:pPr>
    </w:p>
    <w:p w:rsidR="0000367F" w:rsidRDefault="0000367F" w:rsidP="008A7107">
      <w:pPr>
        <w:jc w:val="both"/>
      </w:pPr>
      <w:r>
        <w:t>La quota degli addetti industriali</w:t>
      </w:r>
      <w:r w:rsidR="00F65D4E">
        <w:t xml:space="preserve"> dipendenti</w:t>
      </w:r>
      <w:r>
        <w:t xml:space="preserve"> in tutto il decennio è passata dal 42,0% al 37,2%.</w:t>
      </w:r>
    </w:p>
    <w:p w:rsidR="0000367F" w:rsidRDefault="004A4928" w:rsidP="008A7107">
      <w:pPr>
        <w:jc w:val="both"/>
      </w:pPr>
      <w:r>
        <w:t xml:space="preserve">Approfondiamo la comparazione fra andamenti dei settori con dati un </w:t>
      </w:r>
      <w:r w:rsidR="00761D4A">
        <w:t>p</w:t>
      </w:r>
      <w:r>
        <w:t>o’ più disaggregati</w:t>
      </w:r>
      <w:r w:rsidR="00761D4A">
        <w:t>. Nel caso del terziario vediamo come gli anni di più intensa crisi abbiano pesato sul settore commerciale (che ha perso il 7% degli addetti negli anni della crisi, recuperandoli solo in parte in seguito) ma, sembrerebbe, non su quello turistico alberghiero (i cui occupati sono cresciuti del 5% negli anni della crisi e di un altro 5% nell’ultimo triennio) e neanche su quello degli altri servizi.</w:t>
      </w:r>
    </w:p>
    <w:p w:rsidR="00D97A4F" w:rsidRDefault="00D97A4F" w:rsidP="008A7107">
      <w:pPr>
        <w:jc w:val="both"/>
      </w:pPr>
    </w:p>
    <w:p w:rsidR="00D97A4F" w:rsidRPr="00D97A4F" w:rsidRDefault="00D97A4F" w:rsidP="00D97A4F">
      <w:pPr>
        <w:jc w:val="both"/>
        <w:rPr>
          <w:i/>
        </w:rPr>
      </w:pPr>
      <w:r w:rsidRPr="00D97A4F">
        <w:rPr>
          <w:i/>
        </w:rPr>
        <w:t>Tab. 9 –Variazione occupati dipendenti servizi privati 2014-2016</w:t>
      </w:r>
    </w:p>
    <w:tbl>
      <w:tblPr>
        <w:tblW w:w="9072" w:type="dxa"/>
        <w:tblCellMar>
          <w:left w:w="70" w:type="dxa"/>
          <w:right w:w="70" w:type="dxa"/>
        </w:tblCellMar>
        <w:tblLook w:val="04A0" w:firstRow="1" w:lastRow="0" w:firstColumn="1" w:lastColumn="0" w:noHBand="0" w:noVBand="1"/>
      </w:tblPr>
      <w:tblGrid>
        <w:gridCol w:w="2410"/>
        <w:gridCol w:w="1418"/>
        <w:gridCol w:w="992"/>
        <w:gridCol w:w="1276"/>
        <w:gridCol w:w="1134"/>
        <w:gridCol w:w="754"/>
        <w:gridCol w:w="1088"/>
      </w:tblGrid>
      <w:tr w:rsidR="00761D4A" w:rsidRPr="00761D4A" w:rsidTr="00761D4A">
        <w:trPr>
          <w:trHeight w:val="300"/>
        </w:trPr>
        <w:tc>
          <w:tcPr>
            <w:tcW w:w="2410" w:type="dxa"/>
            <w:tcBorders>
              <w:top w:val="single" w:sz="4" w:space="0" w:color="auto"/>
              <w:left w:val="nil"/>
              <w:bottom w:val="single" w:sz="4" w:space="0" w:color="auto"/>
              <w:right w:val="nil"/>
            </w:tcBorders>
            <w:shd w:val="clear" w:color="auto" w:fill="auto"/>
            <w:noWrap/>
            <w:vAlign w:val="bottom"/>
            <w:hideMark/>
          </w:tcPr>
          <w:p w:rsidR="00761D4A" w:rsidRPr="00761D4A" w:rsidRDefault="00761D4A" w:rsidP="00761D4A">
            <w:pPr>
              <w:spacing w:after="0" w:line="240" w:lineRule="auto"/>
              <w:rPr>
                <w:rFonts w:ascii="Times New Roman" w:eastAsia="Times New Roman" w:hAnsi="Times New Roman" w:cs="Times New Roman"/>
                <w:sz w:val="24"/>
                <w:szCs w:val="24"/>
                <w:lang w:eastAsia="it-IT"/>
              </w:rPr>
            </w:pPr>
          </w:p>
        </w:tc>
        <w:tc>
          <w:tcPr>
            <w:tcW w:w="1418" w:type="dxa"/>
            <w:tcBorders>
              <w:top w:val="single" w:sz="4" w:space="0" w:color="auto"/>
              <w:left w:val="nil"/>
              <w:bottom w:val="single" w:sz="4" w:space="0" w:color="auto"/>
              <w:right w:val="nil"/>
            </w:tcBorders>
            <w:shd w:val="clear" w:color="auto" w:fill="auto"/>
            <w:noWrap/>
            <w:vAlign w:val="bottom"/>
            <w:hideMark/>
          </w:tcPr>
          <w:p w:rsidR="00761D4A" w:rsidRPr="00761D4A" w:rsidRDefault="00761D4A" w:rsidP="00761D4A">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2016</w:t>
            </w:r>
          </w:p>
        </w:tc>
        <w:tc>
          <w:tcPr>
            <w:tcW w:w="992" w:type="dxa"/>
            <w:tcBorders>
              <w:top w:val="single" w:sz="4" w:space="0" w:color="auto"/>
              <w:left w:val="nil"/>
              <w:bottom w:val="single" w:sz="4" w:space="0" w:color="auto"/>
              <w:right w:val="nil"/>
            </w:tcBorders>
            <w:shd w:val="clear" w:color="auto" w:fill="auto"/>
            <w:noWrap/>
            <w:vAlign w:val="bottom"/>
            <w:hideMark/>
          </w:tcPr>
          <w:p w:rsidR="00761D4A" w:rsidRPr="00761D4A" w:rsidRDefault="00761D4A" w:rsidP="00761D4A">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2014</w:t>
            </w:r>
          </w:p>
        </w:tc>
        <w:tc>
          <w:tcPr>
            <w:tcW w:w="1276" w:type="dxa"/>
            <w:tcBorders>
              <w:top w:val="single" w:sz="4" w:space="0" w:color="auto"/>
              <w:left w:val="nil"/>
              <w:bottom w:val="single" w:sz="4" w:space="0" w:color="auto"/>
              <w:right w:val="nil"/>
            </w:tcBorders>
            <w:shd w:val="clear" w:color="auto" w:fill="auto"/>
            <w:noWrap/>
            <w:vAlign w:val="bottom"/>
            <w:hideMark/>
          </w:tcPr>
          <w:p w:rsidR="00761D4A" w:rsidRPr="00761D4A" w:rsidRDefault="00761D4A" w:rsidP="00761D4A">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v.%'14-'16</w:t>
            </w:r>
          </w:p>
        </w:tc>
        <w:tc>
          <w:tcPr>
            <w:tcW w:w="1134" w:type="dxa"/>
            <w:tcBorders>
              <w:top w:val="single" w:sz="4" w:space="0" w:color="auto"/>
              <w:left w:val="nil"/>
              <w:bottom w:val="single" w:sz="4" w:space="0" w:color="auto"/>
              <w:right w:val="nil"/>
            </w:tcBorders>
            <w:shd w:val="clear" w:color="auto" w:fill="auto"/>
            <w:noWrap/>
            <w:vAlign w:val="bottom"/>
            <w:hideMark/>
          </w:tcPr>
          <w:p w:rsidR="00761D4A" w:rsidRPr="00761D4A" w:rsidRDefault="00761D4A" w:rsidP="00761D4A">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2013</w:t>
            </w:r>
          </w:p>
        </w:tc>
        <w:tc>
          <w:tcPr>
            <w:tcW w:w="754" w:type="dxa"/>
            <w:tcBorders>
              <w:top w:val="single" w:sz="4" w:space="0" w:color="auto"/>
              <w:left w:val="nil"/>
              <w:bottom w:val="single" w:sz="4" w:space="0" w:color="auto"/>
              <w:right w:val="nil"/>
            </w:tcBorders>
            <w:shd w:val="clear" w:color="auto" w:fill="auto"/>
            <w:noWrap/>
            <w:vAlign w:val="bottom"/>
            <w:hideMark/>
          </w:tcPr>
          <w:p w:rsidR="00761D4A" w:rsidRPr="00761D4A" w:rsidRDefault="00761D4A" w:rsidP="00761D4A">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2008</w:t>
            </w:r>
          </w:p>
        </w:tc>
        <w:tc>
          <w:tcPr>
            <w:tcW w:w="1088" w:type="dxa"/>
            <w:tcBorders>
              <w:top w:val="single" w:sz="4" w:space="0" w:color="auto"/>
              <w:left w:val="nil"/>
              <w:bottom w:val="single" w:sz="4" w:space="0" w:color="auto"/>
              <w:right w:val="nil"/>
            </w:tcBorders>
            <w:shd w:val="clear" w:color="auto" w:fill="auto"/>
            <w:noWrap/>
            <w:vAlign w:val="bottom"/>
            <w:hideMark/>
          </w:tcPr>
          <w:p w:rsidR="00761D4A" w:rsidRPr="00761D4A" w:rsidRDefault="00761D4A" w:rsidP="00761D4A">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v.%'08-13</w:t>
            </w:r>
          </w:p>
        </w:tc>
      </w:tr>
      <w:tr w:rsidR="00761D4A" w:rsidRPr="00761D4A" w:rsidTr="00761D4A">
        <w:trPr>
          <w:trHeight w:val="300"/>
        </w:trPr>
        <w:tc>
          <w:tcPr>
            <w:tcW w:w="2410" w:type="dxa"/>
            <w:tcBorders>
              <w:top w:val="single" w:sz="4" w:space="0" w:color="auto"/>
              <w:left w:val="nil"/>
              <w:bottom w:val="nil"/>
              <w:right w:val="nil"/>
            </w:tcBorders>
            <w:shd w:val="clear" w:color="auto" w:fill="auto"/>
            <w:noWrap/>
            <w:vAlign w:val="bottom"/>
            <w:hideMark/>
          </w:tcPr>
          <w:p w:rsidR="00761D4A" w:rsidRPr="00761D4A" w:rsidRDefault="00761D4A" w:rsidP="00761D4A">
            <w:pPr>
              <w:spacing w:after="0" w:line="240" w:lineRule="auto"/>
              <w:rPr>
                <w:rFonts w:ascii="Calibri" w:eastAsia="Times New Roman" w:hAnsi="Calibri" w:cs="Calibri"/>
                <w:color w:val="000000"/>
                <w:lang w:eastAsia="it-IT"/>
              </w:rPr>
            </w:pPr>
            <w:r w:rsidRPr="00761D4A">
              <w:rPr>
                <w:rFonts w:ascii="Calibri" w:eastAsia="Times New Roman" w:hAnsi="Calibri" w:cs="Calibri"/>
                <w:color w:val="000000"/>
                <w:lang w:eastAsia="it-IT"/>
              </w:rPr>
              <w:t xml:space="preserve">commercio </w:t>
            </w:r>
          </w:p>
        </w:tc>
        <w:tc>
          <w:tcPr>
            <w:tcW w:w="1418" w:type="dxa"/>
            <w:tcBorders>
              <w:top w:val="single" w:sz="4" w:space="0" w:color="auto"/>
              <w:left w:val="nil"/>
              <w:bottom w:val="nil"/>
              <w:right w:val="nil"/>
            </w:tcBorders>
            <w:shd w:val="clear" w:color="auto" w:fill="auto"/>
            <w:noWrap/>
            <w:vAlign w:val="bottom"/>
            <w:hideMark/>
          </w:tcPr>
          <w:p w:rsidR="00761D4A" w:rsidRPr="00761D4A" w:rsidRDefault="00761D4A" w:rsidP="00761D4A">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15.989</w:t>
            </w:r>
          </w:p>
        </w:tc>
        <w:tc>
          <w:tcPr>
            <w:tcW w:w="992" w:type="dxa"/>
            <w:tcBorders>
              <w:top w:val="single" w:sz="4" w:space="0" w:color="auto"/>
              <w:left w:val="nil"/>
              <w:bottom w:val="nil"/>
              <w:right w:val="nil"/>
            </w:tcBorders>
            <w:shd w:val="clear" w:color="auto" w:fill="auto"/>
            <w:noWrap/>
            <w:vAlign w:val="bottom"/>
            <w:hideMark/>
          </w:tcPr>
          <w:p w:rsidR="00761D4A" w:rsidRPr="00761D4A" w:rsidRDefault="00761D4A" w:rsidP="00761D4A">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15.304</w:t>
            </w:r>
          </w:p>
        </w:tc>
        <w:tc>
          <w:tcPr>
            <w:tcW w:w="1276" w:type="dxa"/>
            <w:tcBorders>
              <w:top w:val="single" w:sz="4" w:space="0" w:color="auto"/>
              <w:left w:val="nil"/>
              <w:bottom w:val="nil"/>
              <w:right w:val="nil"/>
            </w:tcBorders>
            <w:shd w:val="clear" w:color="auto" w:fill="auto"/>
            <w:noWrap/>
            <w:vAlign w:val="bottom"/>
            <w:hideMark/>
          </w:tcPr>
          <w:p w:rsidR="00761D4A" w:rsidRPr="00761D4A" w:rsidRDefault="00761D4A" w:rsidP="00761D4A">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4%</w:t>
            </w:r>
          </w:p>
        </w:tc>
        <w:tc>
          <w:tcPr>
            <w:tcW w:w="1134" w:type="dxa"/>
            <w:tcBorders>
              <w:top w:val="single" w:sz="4" w:space="0" w:color="auto"/>
              <w:left w:val="nil"/>
              <w:bottom w:val="nil"/>
              <w:right w:val="nil"/>
            </w:tcBorders>
            <w:shd w:val="clear" w:color="auto" w:fill="auto"/>
            <w:noWrap/>
            <w:vAlign w:val="bottom"/>
            <w:hideMark/>
          </w:tcPr>
          <w:p w:rsidR="00761D4A" w:rsidRPr="00761D4A" w:rsidRDefault="00761D4A" w:rsidP="00761D4A">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15.668</w:t>
            </w:r>
          </w:p>
        </w:tc>
        <w:tc>
          <w:tcPr>
            <w:tcW w:w="754" w:type="dxa"/>
            <w:tcBorders>
              <w:top w:val="single" w:sz="4" w:space="0" w:color="auto"/>
              <w:left w:val="nil"/>
              <w:bottom w:val="nil"/>
              <w:right w:val="nil"/>
            </w:tcBorders>
            <w:shd w:val="clear" w:color="auto" w:fill="auto"/>
            <w:noWrap/>
            <w:vAlign w:val="bottom"/>
            <w:hideMark/>
          </w:tcPr>
          <w:p w:rsidR="00761D4A" w:rsidRPr="00761D4A" w:rsidRDefault="00761D4A" w:rsidP="00761D4A">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16.815</w:t>
            </w:r>
          </w:p>
        </w:tc>
        <w:tc>
          <w:tcPr>
            <w:tcW w:w="1088" w:type="dxa"/>
            <w:tcBorders>
              <w:top w:val="single" w:sz="4" w:space="0" w:color="auto"/>
              <w:left w:val="nil"/>
              <w:bottom w:val="nil"/>
              <w:right w:val="nil"/>
            </w:tcBorders>
            <w:shd w:val="clear" w:color="auto" w:fill="auto"/>
            <w:noWrap/>
            <w:vAlign w:val="bottom"/>
            <w:hideMark/>
          </w:tcPr>
          <w:p w:rsidR="00761D4A" w:rsidRPr="00761D4A" w:rsidRDefault="00761D4A" w:rsidP="00761D4A">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-7%</w:t>
            </w:r>
          </w:p>
        </w:tc>
      </w:tr>
      <w:tr w:rsidR="00761D4A" w:rsidRPr="00761D4A" w:rsidTr="00761D4A">
        <w:trPr>
          <w:trHeight w:val="300"/>
        </w:trPr>
        <w:tc>
          <w:tcPr>
            <w:tcW w:w="2410" w:type="dxa"/>
            <w:tcBorders>
              <w:top w:val="nil"/>
              <w:left w:val="nil"/>
              <w:right w:val="nil"/>
            </w:tcBorders>
            <w:shd w:val="clear" w:color="auto" w:fill="auto"/>
            <w:noWrap/>
            <w:vAlign w:val="bottom"/>
            <w:hideMark/>
          </w:tcPr>
          <w:p w:rsidR="00761D4A" w:rsidRPr="00761D4A" w:rsidRDefault="00761D4A" w:rsidP="00761D4A">
            <w:pPr>
              <w:spacing w:after="0" w:line="240" w:lineRule="auto"/>
              <w:rPr>
                <w:rFonts w:ascii="Calibri" w:eastAsia="Times New Roman" w:hAnsi="Calibri" w:cs="Calibri"/>
                <w:color w:val="000000"/>
                <w:lang w:eastAsia="it-IT"/>
              </w:rPr>
            </w:pPr>
            <w:r w:rsidRPr="00761D4A">
              <w:rPr>
                <w:rFonts w:ascii="Calibri" w:eastAsia="Times New Roman" w:hAnsi="Calibri" w:cs="Calibri"/>
                <w:color w:val="000000"/>
                <w:lang w:eastAsia="it-IT"/>
              </w:rPr>
              <w:t>alberghi e ristoranti</w:t>
            </w:r>
          </w:p>
        </w:tc>
        <w:tc>
          <w:tcPr>
            <w:tcW w:w="1418" w:type="dxa"/>
            <w:tcBorders>
              <w:top w:val="nil"/>
              <w:left w:val="nil"/>
              <w:right w:val="nil"/>
            </w:tcBorders>
            <w:shd w:val="clear" w:color="auto" w:fill="auto"/>
            <w:noWrap/>
            <w:vAlign w:val="bottom"/>
            <w:hideMark/>
          </w:tcPr>
          <w:p w:rsidR="00761D4A" w:rsidRPr="00761D4A" w:rsidRDefault="00761D4A" w:rsidP="00761D4A">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13.931</w:t>
            </w:r>
          </w:p>
        </w:tc>
        <w:tc>
          <w:tcPr>
            <w:tcW w:w="992" w:type="dxa"/>
            <w:tcBorders>
              <w:top w:val="nil"/>
              <w:left w:val="nil"/>
              <w:right w:val="nil"/>
            </w:tcBorders>
            <w:shd w:val="clear" w:color="auto" w:fill="auto"/>
            <w:noWrap/>
            <w:vAlign w:val="bottom"/>
            <w:hideMark/>
          </w:tcPr>
          <w:p w:rsidR="00761D4A" w:rsidRPr="00761D4A" w:rsidRDefault="00761D4A" w:rsidP="00761D4A">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13.316</w:t>
            </w:r>
          </w:p>
        </w:tc>
        <w:tc>
          <w:tcPr>
            <w:tcW w:w="1276" w:type="dxa"/>
            <w:tcBorders>
              <w:top w:val="nil"/>
              <w:left w:val="nil"/>
              <w:right w:val="nil"/>
            </w:tcBorders>
            <w:shd w:val="clear" w:color="auto" w:fill="auto"/>
            <w:noWrap/>
            <w:vAlign w:val="bottom"/>
            <w:hideMark/>
          </w:tcPr>
          <w:p w:rsidR="00761D4A" w:rsidRPr="00761D4A" w:rsidRDefault="00761D4A" w:rsidP="00761D4A">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5%</w:t>
            </w:r>
          </w:p>
        </w:tc>
        <w:tc>
          <w:tcPr>
            <w:tcW w:w="1134" w:type="dxa"/>
            <w:tcBorders>
              <w:top w:val="nil"/>
              <w:left w:val="nil"/>
              <w:right w:val="nil"/>
            </w:tcBorders>
            <w:shd w:val="clear" w:color="auto" w:fill="auto"/>
            <w:noWrap/>
            <w:vAlign w:val="bottom"/>
            <w:hideMark/>
          </w:tcPr>
          <w:p w:rsidR="00761D4A" w:rsidRPr="00761D4A" w:rsidRDefault="00761D4A" w:rsidP="00761D4A">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13.240</w:t>
            </w:r>
          </w:p>
        </w:tc>
        <w:tc>
          <w:tcPr>
            <w:tcW w:w="754" w:type="dxa"/>
            <w:tcBorders>
              <w:top w:val="nil"/>
              <w:left w:val="nil"/>
              <w:right w:val="nil"/>
            </w:tcBorders>
            <w:shd w:val="clear" w:color="auto" w:fill="auto"/>
            <w:noWrap/>
            <w:vAlign w:val="bottom"/>
            <w:hideMark/>
          </w:tcPr>
          <w:p w:rsidR="00761D4A" w:rsidRPr="00761D4A" w:rsidRDefault="00761D4A" w:rsidP="00761D4A">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12.619</w:t>
            </w:r>
          </w:p>
        </w:tc>
        <w:tc>
          <w:tcPr>
            <w:tcW w:w="1088" w:type="dxa"/>
            <w:tcBorders>
              <w:top w:val="nil"/>
              <w:left w:val="nil"/>
              <w:right w:val="nil"/>
            </w:tcBorders>
            <w:shd w:val="clear" w:color="auto" w:fill="auto"/>
            <w:noWrap/>
            <w:vAlign w:val="bottom"/>
            <w:hideMark/>
          </w:tcPr>
          <w:p w:rsidR="00761D4A" w:rsidRPr="00761D4A" w:rsidRDefault="00761D4A" w:rsidP="00761D4A">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5%</w:t>
            </w:r>
          </w:p>
        </w:tc>
      </w:tr>
      <w:tr w:rsidR="00761D4A" w:rsidRPr="00761D4A" w:rsidTr="00761D4A">
        <w:trPr>
          <w:trHeight w:val="300"/>
        </w:trPr>
        <w:tc>
          <w:tcPr>
            <w:tcW w:w="2410" w:type="dxa"/>
            <w:tcBorders>
              <w:top w:val="nil"/>
              <w:left w:val="nil"/>
              <w:bottom w:val="single" w:sz="4" w:space="0" w:color="auto"/>
              <w:right w:val="nil"/>
            </w:tcBorders>
            <w:shd w:val="clear" w:color="auto" w:fill="auto"/>
            <w:noWrap/>
            <w:vAlign w:val="bottom"/>
            <w:hideMark/>
          </w:tcPr>
          <w:p w:rsidR="00761D4A" w:rsidRPr="00761D4A" w:rsidRDefault="00761D4A" w:rsidP="00761D4A">
            <w:pPr>
              <w:spacing w:after="0" w:line="240" w:lineRule="auto"/>
              <w:rPr>
                <w:rFonts w:ascii="Calibri" w:eastAsia="Times New Roman" w:hAnsi="Calibri" w:cs="Calibri"/>
                <w:color w:val="000000"/>
                <w:lang w:eastAsia="it-IT"/>
              </w:rPr>
            </w:pPr>
            <w:r w:rsidRPr="00761D4A">
              <w:rPr>
                <w:rFonts w:ascii="Calibri" w:eastAsia="Times New Roman" w:hAnsi="Calibri" w:cs="Calibri"/>
                <w:color w:val="000000"/>
                <w:lang w:eastAsia="it-IT"/>
              </w:rPr>
              <w:t>altri servizi</w:t>
            </w:r>
          </w:p>
        </w:tc>
        <w:tc>
          <w:tcPr>
            <w:tcW w:w="1418" w:type="dxa"/>
            <w:tcBorders>
              <w:top w:val="nil"/>
              <w:left w:val="nil"/>
              <w:bottom w:val="single" w:sz="4" w:space="0" w:color="auto"/>
              <w:right w:val="nil"/>
            </w:tcBorders>
            <w:shd w:val="clear" w:color="auto" w:fill="auto"/>
            <w:noWrap/>
            <w:vAlign w:val="bottom"/>
            <w:hideMark/>
          </w:tcPr>
          <w:p w:rsidR="00761D4A" w:rsidRPr="00761D4A" w:rsidRDefault="00761D4A" w:rsidP="00761D4A">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33.456</w:t>
            </w:r>
          </w:p>
        </w:tc>
        <w:tc>
          <w:tcPr>
            <w:tcW w:w="992" w:type="dxa"/>
            <w:tcBorders>
              <w:top w:val="nil"/>
              <w:left w:val="nil"/>
              <w:bottom w:val="single" w:sz="4" w:space="0" w:color="auto"/>
              <w:right w:val="nil"/>
            </w:tcBorders>
            <w:shd w:val="clear" w:color="auto" w:fill="auto"/>
            <w:noWrap/>
            <w:vAlign w:val="bottom"/>
            <w:hideMark/>
          </w:tcPr>
          <w:p w:rsidR="00761D4A" w:rsidRPr="00761D4A" w:rsidRDefault="00761D4A" w:rsidP="00761D4A">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31.667</w:t>
            </w:r>
          </w:p>
        </w:tc>
        <w:tc>
          <w:tcPr>
            <w:tcW w:w="1276" w:type="dxa"/>
            <w:tcBorders>
              <w:top w:val="nil"/>
              <w:left w:val="nil"/>
              <w:bottom w:val="single" w:sz="4" w:space="0" w:color="auto"/>
              <w:right w:val="nil"/>
            </w:tcBorders>
            <w:shd w:val="clear" w:color="auto" w:fill="auto"/>
            <w:noWrap/>
            <w:vAlign w:val="bottom"/>
            <w:hideMark/>
          </w:tcPr>
          <w:p w:rsidR="00761D4A" w:rsidRPr="00761D4A" w:rsidRDefault="00761D4A" w:rsidP="00761D4A">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6%</w:t>
            </w:r>
          </w:p>
        </w:tc>
        <w:tc>
          <w:tcPr>
            <w:tcW w:w="1134" w:type="dxa"/>
            <w:tcBorders>
              <w:top w:val="nil"/>
              <w:left w:val="nil"/>
              <w:bottom w:val="single" w:sz="4" w:space="0" w:color="auto"/>
              <w:right w:val="nil"/>
            </w:tcBorders>
            <w:shd w:val="clear" w:color="auto" w:fill="auto"/>
            <w:noWrap/>
            <w:vAlign w:val="bottom"/>
            <w:hideMark/>
          </w:tcPr>
          <w:p w:rsidR="00761D4A" w:rsidRPr="00761D4A" w:rsidRDefault="00761D4A" w:rsidP="00761D4A">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31.346</w:t>
            </w:r>
          </w:p>
        </w:tc>
        <w:tc>
          <w:tcPr>
            <w:tcW w:w="754" w:type="dxa"/>
            <w:tcBorders>
              <w:top w:val="nil"/>
              <w:left w:val="nil"/>
              <w:bottom w:val="single" w:sz="4" w:space="0" w:color="auto"/>
              <w:right w:val="nil"/>
            </w:tcBorders>
            <w:shd w:val="clear" w:color="auto" w:fill="auto"/>
            <w:noWrap/>
            <w:vAlign w:val="bottom"/>
            <w:hideMark/>
          </w:tcPr>
          <w:p w:rsidR="00761D4A" w:rsidRPr="00761D4A" w:rsidRDefault="00761D4A" w:rsidP="00761D4A">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30.175</w:t>
            </w:r>
          </w:p>
        </w:tc>
        <w:tc>
          <w:tcPr>
            <w:tcW w:w="1088" w:type="dxa"/>
            <w:tcBorders>
              <w:top w:val="nil"/>
              <w:left w:val="nil"/>
              <w:bottom w:val="single" w:sz="4" w:space="0" w:color="auto"/>
              <w:right w:val="nil"/>
            </w:tcBorders>
            <w:shd w:val="clear" w:color="auto" w:fill="auto"/>
            <w:noWrap/>
            <w:vAlign w:val="bottom"/>
            <w:hideMark/>
          </w:tcPr>
          <w:p w:rsidR="00761D4A" w:rsidRPr="00761D4A" w:rsidRDefault="00761D4A" w:rsidP="00761D4A">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4%</w:t>
            </w:r>
          </w:p>
        </w:tc>
      </w:tr>
    </w:tbl>
    <w:p w:rsidR="00D97A4F" w:rsidRPr="00046867" w:rsidRDefault="00D97A4F" w:rsidP="00D97A4F">
      <w:pPr>
        <w:rPr>
          <w:sz w:val="18"/>
          <w:szCs w:val="18"/>
        </w:rPr>
      </w:pPr>
      <w:r w:rsidRPr="00046867">
        <w:rPr>
          <w:sz w:val="18"/>
          <w:szCs w:val="18"/>
        </w:rPr>
        <w:t>Fonte: ns. elab. su dati Inps</w:t>
      </w:r>
    </w:p>
    <w:p w:rsidR="004A4928" w:rsidRPr="00761D4A" w:rsidRDefault="004A4928" w:rsidP="00761D4A">
      <w:pPr>
        <w:spacing w:after="0" w:line="240" w:lineRule="auto"/>
        <w:jc w:val="both"/>
        <w:rPr>
          <w:rFonts w:ascii="Calibri" w:eastAsia="Times New Roman" w:hAnsi="Calibri" w:cs="Calibri"/>
          <w:color w:val="000000"/>
          <w:lang w:eastAsia="it-IT"/>
        </w:rPr>
      </w:pPr>
    </w:p>
    <w:p w:rsidR="00761D4A" w:rsidRDefault="00761D4A" w:rsidP="008A7107">
      <w:pPr>
        <w:jc w:val="both"/>
      </w:pPr>
      <w:r>
        <w:t>Nell’ambito dell’industria abbiamo il catastrofico crollo dell’occupazione nell’edilizia (-26% fra 2008 e 2013) seguito da un parziale recupero negli ultimi anni (+7%). Nell’industria manifatturiera gli occupati crollano del -13% fra 2008 e 2013, per poi recuperare il 3% nell’ultimo periodo; in termini assoluti abbiamo una caduta di oltre 4mila addetti fra 2008 e 2013, ed un recupero di circa 900 unità negli ultimi due anni.</w:t>
      </w:r>
    </w:p>
    <w:p w:rsidR="00D97A4F" w:rsidRDefault="00D97A4F" w:rsidP="008A7107">
      <w:pPr>
        <w:jc w:val="both"/>
      </w:pPr>
    </w:p>
    <w:p w:rsidR="00D97A4F" w:rsidRPr="00D97A4F" w:rsidRDefault="00D97A4F" w:rsidP="00D97A4F">
      <w:pPr>
        <w:jc w:val="both"/>
        <w:rPr>
          <w:i/>
        </w:rPr>
      </w:pPr>
      <w:r w:rsidRPr="00D97A4F">
        <w:rPr>
          <w:i/>
        </w:rPr>
        <w:t>Tab. 10 – Variazione occupati dipendenti industria 2014-2016</w:t>
      </w:r>
    </w:p>
    <w:tbl>
      <w:tblPr>
        <w:tblW w:w="8222" w:type="dxa"/>
        <w:tblCellMar>
          <w:left w:w="70" w:type="dxa"/>
          <w:right w:w="70" w:type="dxa"/>
        </w:tblCellMar>
        <w:tblLook w:val="04A0" w:firstRow="1" w:lastRow="0" w:firstColumn="1" w:lastColumn="0" w:noHBand="0" w:noVBand="1"/>
      </w:tblPr>
      <w:tblGrid>
        <w:gridCol w:w="2552"/>
        <w:gridCol w:w="754"/>
        <w:gridCol w:w="947"/>
        <w:gridCol w:w="1134"/>
        <w:gridCol w:w="850"/>
        <w:gridCol w:w="851"/>
        <w:gridCol w:w="1134"/>
      </w:tblGrid>
      <w:tr w:rsidR="00761D4A" w:rsidRPr="00761D4A" w:rsidTr="00866E5D">
        <w:trPr>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761D4A" w:rsidRPr="00761D4A" w:rsidRDefault="00761D4A" w:rsidP="00761D4A">
            <w:pPr>
              <w:spacing w:after="0" w:line="240" w:lineRule="auto"/>
              <w:rPr>
                <w:rFonts w:ascii="Times New Roman" w:eastAsia="Times New Roman" w:hAnsi="Times New Roman" w:cs="Times New Roman"/>
                <w:sz w:val="24"/>
                <w:szCs w:val="24"/>
                <w:lang w:eastAsia="it-IT"/>
              </w:rPr>
            </w:pPr>
          </w:p>
        </w:tc>
        <w:tc>
          <w:tcPr>
            <w:tcW w:w="754" w:type="dxa"/>
            <w:tcBorders>
              <w:top w:val="single" w:sz="4" w:space="0" w:color="auto"/>
              <w:left w:val="nil"/>
              <w:bottom w:val="single" w:sz="4" w:space="0" w:color="auto"/>
              <w:right w:val="nil"/>
            </w:tcBorders>
            <w:shd w:val="clear" w:color="auto" w:fill="auto"/>
            <w:noWrap/>
            <w:vAlign w:val="bottom"/>
            <w:hideMark/>
          </w:tcPr>
          <w:p w:rsidR="00761D4A" w:rsidRPr="00761D4A" w:rsidRDefault="00761D4A" w:rsidP="00866E5D">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2016</w:t>
            </w:r>
          </w:p>
        </w:tc>
        <w:tc>
          <w:tcPr>
            <w:tcW w:w="947" w:type="dxa"/>
            <w:tcBorders>
              <w:top w:val="single" w:sz="4" w:space="0" w:color="auto"/>
              <w:left w:val="nil"/>
              <w:bottom w:val="single" w:sz="4" w:space="0" w:color="auto"/>
              <w:right w:val="nil"/>
            </w:tcBorders>
            <w:shd w:val="clear" w:color="auto" w:fill="auto"/>
            <w:noWrap/>
            <w:vAlign w:val="bottom"/>
            <w:hideMark/>
          </w:tcPr>
          <w:p w:rsidR="00761D4A" w:rsidRPr="00761D4A" w:rsidRDefault="00761D4A" w:rsidP="00866E5D">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2014</w:t>
            </w:r>
          </w:p>
        </w:tc>
        <w:tc>
          <w:tcPr>
            <w:tcW w:w="1134" w:type="dxa"/>
            <w:tcBorders>
              <w:top w:val="single" w:sz="4" w:space="0" w:color="auto"/>
              <w:left w:val="nil"/>
              <w:bottom w:val="single" w:sz="4" w:space="0" w:color="auto"/>
              <w:right w:val="nil"/>
            </w:tcBorders>
            <w:shd w:val="clear" w:color="auto" w:fill="auto"/>
            <w:noWrap/>
            <w:vAlign w:val="bottom"/>
            <w:hideMark/>
          </w:tcPr>
          <w:p w:rsidR="00761D4A" w:rsidRPr="00761D4A" w:rsidRDefault="00761D4A" w:rsidP="00866E5D">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v.%'14-'16</w:t>
            </w:r>
          </w:p>
        </w:tc>
        <w:tc>
          <w:tcPr>
            <w:tcW w:w="850" w:type="dxa"/>
            <w:tcBorders>
              <w:top w:val="single" w:sz="4" w:space="0" w:color="auto"/>
              <w:left w:val="nil"/>
              <w:bottom w:val="single" w:sz="4" w:space="0" w:color="auto"/>
              <w:right w:val="nil"/>
            </w:tcBorders>
            <w:shd w:val="clear" w:color="auto" w:fill="auto"/>
            <w:noWrap/>
            <w:vAlign w:val="bottom"/>
            <w:hideMark/>
          </w:tcPr>
          <w:p w:rsidR="00761D4A" w:rsidRPr="00761D4A" w:rsidRDefault="00761D4A" w:rsidP="00866E5D">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2013</w:t>
            </w:r>
          </w:p>
        </w:tc>
        <w:tc>
          <w:tcPr>
            <w:tcW w:w="851" w:type="dxa"/>
            <w:tcBorders>
              <w:top w:val="single" w:sz="4" w:space="0" w:color="auto"/>
              <w:left w:val="nil"/>
              <w:bottom w:val="single" w:sz="4" w:space="0" w:color="auto"/>
              <w:right w:val="nil"/>
            </w:tcBorders>
            <w:shd w:val="clear" w:color="auto" w:fill="auto"/>
            <w:noWrap/>
            <w:vAlign w:val="bottom"/>
            <w:hideMark/>
          </w:tcPr>
          <w:p w:rsidR="00761D4A" w:rsidRPr="00761D4A" w:rsidRDefault="00761D4A" w:rsidP="00866E5D">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2008</w:t>
            </w:r>
          </w:p>
        </w:tc>
        <w:tc>
          <w:tcPr>
            <w:tcW w:w="1134" w:type="dxa"/>
            <w:tcBorders>
              <w:top w:val="single" w:sz="4" w:space="0" w:color="auto"/>
              <w:left w:val="nil"/>
              <w:bottom w:val="single" w:sz="4" w:space="0" w:color="auto"/>
              <w:right w:val="nil"/>
            </w:tcBorders>
            <w:shd w:val="clear" w:color="auto" w:fill="auto"/>
            <w:noWrap/>
            <w:vAlign w:val="bottom"/>
            <w:hideMark/>
          </w:tcPr>
          <w:p w:rsidR="00761D4A" w:rsidRPr="00761D4A" w:rsidRDefault="00761D4A" w:rsidP="00866E5D">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v.%'08-13</w:t>
            </w:r>
          </w:p>
        </w:tc>
      </w:tr>
      <w:tr w:rsidR="00761D4A" w:rsidRPr="00761D4A" w:rsidTr="00866E5D">
        <w:trPr>
          <w:trHeight w:val="300"/>
        </w:trPr>
        <w:tc>
          <w:tcPr>
            <w:tcW w:w="2552" w:type="dxa"/>
            <w:tcBorders>
              <w:top w:val="single" w:sz="4" w:space="0" w:color="auto"/>
              <w:left w:val="nil"/>
              <w:bottom w:val="nil"/>
              <w:right w:val="nil"/>
            </w:tcBorders>
            <w:shd w:val="clear" w:color="auto" w:fill="auto"/>
            <w:noWrap/>
            <w:vAlign w:val="bottom"/>
            <w:hideMark/>
          </w:tcPr>
          <w:p w:rsidR="00761D4A" w:rsidRPr="00761D4A" w:rsidRDefault="00761D4A" w:rsidP="00761D4A">
            <w:pPr>
              <w:spacing w:after="0" w:line="240" w:lineRule="auto"/>
              <w:rPr>
                <w:rFonts w:ascii="Calibri" w:eastAsia="Times New Roman" w:hAnsi="Calibri" w:cs="Calibri"/>
                <w:color w:val="000000"/>
                <w:lang w:eastAsia="it-IT"/>
              </w:rPr>
            </w:pPr>
            <w:r w:rsidRPr="00761D4A">
              <w:rPr>
                <w:rFonts w:ascii="Calibri" w:eastAsia="Times New Roman" w:hAnsi="Calibri" w:cs="Calibri"/>
                <w:color w:val="000000"/>
                <w:lang w:eastAsia="it-IT"/>
              </w:rPr>
              <w:t>industria manifatturiera</w:t>
            </w:r>
          </w:p>
        </w:tc>
        <w:tc>
          <w:tcPr>
            <w:tcW w:w="754" w:type="dxa"/>
            <w:tcBorders>
              <w:top w:val="single" w:sz="4" w:space="0" w:color="auto"/>
              <w:left w:val="nil"/>
              <w:bottom w:val="nil"/>
              <w:right w:val="nil"/>
            </w:tcBorders>
            <w:shd w:val="clear" w:color="auto" w:fill="auto"/>
            <w:noWrap/>
            <w:vAlign w:val="bottom"/>
            <w:hideMark/>
          </w:tcPr>
          <w:p w:rsidR="00761D4A" w:rsidRPr="00761D4A" w:rsidRDefault="00761D4A" w:rsidP="00866E5D">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29.212</w:t>
            </w:r>
          </w:p>
        </w:tc>
        <w:tc>
          <w:tcPr>
            <w:tcW w:w="947" w:type="dxa"/>
            <w:tcBorders>
              <w:top w:val="single" w:sz="4" w:space="0" w:color="auto"/>
              <w:left w:val="nil"/>
              <w:bottom w:val="nil"/>
              <w:right w:val="nil"/>
            </w:tcBorders>
            <w:shd w:val="clear" w:color="auto" w:fill="auto"/>
            <w:noWrap/>
            <w:vAlign w:val="bottom"/>
            <w:hideMark/>
          </w:tcPr>
          <w:p w:rsidR="00761D4A" w:rsidRPr="00761D4A" w:rsidRDefault="00761D4A" w:rsidP="00866E5D">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28.300</w:t>
            </w:r>
          </w:p>
        </w:tc>
        <w:tc>
          <w:tcPr>
            <w:tcW w:w="1134" w:type="dxa"/>
            <w:tcBorders>
              <w:top w:val="single" w:sz="4" w:space="0" w:color="auto"/>
              <w:left w:val="nil"/>
              <w:bottom w:val="nil"/>
              <w:right w:val="nil"/>
            </w:tcBorders>
            <w:shd w:val="clear" w:color="auto" w:fill="auto"/>
            <w:noWrap/>
            <w:vAlign w:val="bottom"/>
            <w:hideMark/>
          </w:tcPr>
          <w:p w:rsidR="00761D4A" w:rsidRPr="00761D4A" w:rsidRDefault="00761D4A" w:rsidP="00866E5D">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3%</w:t>
            </w:r>
          </w:p>
        </w:tc>
        <w:tc>
          <w:tcPr>
            <w:tcW w:w="850" w:type="dxa"/>
            <w:tcBorders>
              <w:top w:val="single" w:sz="4" w:space="0" w:color="auto"/>
              <w:left w:val="nil"/>
              <w:bottom w:val="nil"/>
              <w:right w:val="nil"/>
            </w:tcBorders>
            <w:shd w:val="clear" w:color="auto" w:fill="auto"/>
            <w:noWrap/>
            <w:vAlign w:val="bottom"/>
            <w:hideMark/>
          </w:tcPr>
          <w:p w:rsidR="00761D4A" w:rsidRPr="00761D4A" w:rsidRDefault="00761D4A" w:rsidP="00866E5D">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29.001</w:t>
            </w:r>
          </w:p>
        </w:tc>
        <w:tc>
          <w:tcPr>
            <w:tcW w:w="851" w:type="dxa"/>
            <w:tcBorders>
              <w:top w:val="single" w:sz="4" w:space="0" w:color="auto"/>
              <w:left w:val="nil"/>
              <w:bottom w:val="nil"/>
              <w:right w:val="nil"/>
            </w:tcBorders>
            <w:shd w:val="clear" w:color="auto" w:fill="auto"/>
            <w:noWrap/>
            <w:vAlign w:val="bottom"/>
            <w:hideMark/>
          </w:tcPr>
          <w:p w:rsidR="00761D4A" w:rsidRPr="00761D4A" w:rsidRDefault="00761D4A" w:rsidP="00866E5D">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33.157</w:t>
            </w:r>
          </w:p>
        </w:tc>
        <w:tc>
          <w:tcPr>
            <w:tcW w:w="1134" w:type="dxa"/>
            <w:tcBorders>
              <w:top w:val="single" w:sz="4" w:space="0" w:color="auto"/>
              <w:left w:val="nil"/>
              <w:bottom w:val="nil"/>
              <w:right w:val="nil"/>
            </w:tcBorders>
            <w:shd w:val="clear" w:color="auto" w:fill="auto"/>
            <w:noWrap/>
            <w:vAlign w:val="bottom"/>
            <w:hideMark/>
          </w:tcPr>
          <w:p w:rsidR="00761D4A" w:rsidRPr="00761D4A" w:rsidRDefault="00761D4A" w:rsidP="00866E5D">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-13%</w:t>
            </w:r>
          </w:p>
        </w:tc>
      </w:tr>
      <w:tr w:rsidR="00761D4A" w:rsidRPr="00761D4A" w:rsidTr="00866E5D">
        <w:trPr>
          <w:trHeight w:val="300"/>
        </w:trPr>
        <w:tc>
          <w:tcPr>
            <w:tcW w:w="2552" w:type="dxa"/>
            <w:tcBorders>
              <w:top w:val="nil"/>
              <w:left w:val="nil"/>
              <w:right w:val="nil"/>
            </w:tcBorders>
            <w:shd w:val="clear" w:color="auto" w:fill="auto"/>
            <w:noWrap/>
            <w:vAlign w:val="bottom"/>
            <w:hideMark/>
          </w:tcPr>
          <w:p w:rsidR="00761D4A" w:rsidRPr="00761D4A" w:rsidRDefault="00761D4A" w:rsidP="00761D4A">
            <w:pPr>
              <w:spacing w:after="0" w:line="240" w:lineRule="auto"/>
              <w:rPr>
                <w:rFonts w:ascii="Calibri" w:eastAsia="Times New Roman" w:hAnsi="Calibri" w:cs="Calibri"/>
                <w:color w:val="000000"/>
                <w:lang w:eastAsia="it-IT"/>
              </w:rPr>
            </w:pPr>
            <w:r w:rsidRPr="00761D4A">
              <w:rPr>
                <w:rFonts w:ascii="Calibri" w:eastAsia="Times New Roman" w:hAnsi="Calibri" w:cs="Calibri"/>
                <w:color w:val="000000"/>
                <w:lang w:eastAsia="it-IT"/>
              </w:rPr>
              <w:t>edilizia</w:t>
            </w:r>
          </w:p>
        </w:tc>
        <w:tc>
          <w:tcPr>
            <w:tcW w:w="754" w:type="dxa"/>
            <w:tcBorders>
              <w:top w:val="nil"/>
              <w:left w:val="nil"/>
              <w:right w:val="nil"/>
            </w:tcBorders>
            <w:shd w:val="clear" w:color="auto" w:fill="auto"/>
            <w:noWrap/>
            <w:vAlign w:val="bottom"/>
            <w:hideMark/>
          </w:tcPr>
          <w:p w:rsidR="00761D4A" w:rsidRPr="00761D4A" w:rsidRDefault="00761D4A" w:rsidP="00866E5D">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6.101</w:t>
            </w:r>
          </w:p>
        </w:tc>
        <w:tc>
          <w:tcPr>
            <w:tcW w:w="947" w:type="dxa"/>
            <w:tcBorders>
              <w:top w:val="nil"/>
              <w:left w:val="nil"/>
              <w:right w:val="nil"/>
            </w:tcBorders>
            <w:shd w:val="clear" w:color="auto" w:fill="auto"/>
            <w:noWrap/>
            <w:vAlign w:val="bottom"/>
            <w:hideMark/>
          </w:tcPr>
          <w:p w:rsidR="00761D4A" w:rsidRPr="00761D4A" w:rsidRDefault="00761D4A" w:rsidP="00866E5D">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5.716</w:t>
            </w:r>
          </w:p>
        </w:tc>
        <w:tc>
          <w:tcPr>
            <w:tcW w:w="1134" w:type="dxa"/>
            <w:tcBorders>
              <w:top w:val="nil"/>
              <w:left w:val="nil"/>
              <w:right w:val="nil"/>
            </w:tcBorders>
            <w:shd w:val="clear" w:color="auto" w:fill="auto"/>
            <w:noWrap/>
            <w:vAlign w:val="bottom"/>
            <w:hideMark/>
          </w:tcPr>
          <w:p w:rsidR="00761D4A" w:rsidRPr="00761D4A" w:rsidRDefault="00761D4A" w:rsidP="00866E5D">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7%</w:t>
            </w:r>
          </w:p>
        </w:tc>
        <w:tc>
          <w:tcPr>
            <w:tcW w:w="850" w:type="dxa"/>
            <w:tcBorders>
              <w:top w:val="nil"/>
              <w:left w:val="nil"/>
              <w:right w:val="nil"/>
            </w:tcBorders>
            <w:shd w:val="clear" w:color="auto" w:fill="auto"/>
            <w:noWrap/>
            <w:vAlign w:val="bottom"/>
            <w:hideMark/>
          </w:tcPr>
          <w:p w:rsidR="00761D4A" w:rsidRPr="00761D4A" w:rsidRDefault="00761D4A" w:rsidP="00866E5D">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6.406</w:t>
            </w:r>
          </w:p>
        </w:tc>
        <w:tc>
          <w:tcPr>
            <w:tcW w:w="851" w:type="dxa"/>
            <w:tcBorders>
              <w:top w:val="nil"/>
              <w:left w:val="nil"/>
              <w:right w:val="nil"/>
            </w:tcBorders>
            <w:shd w:val="clear" w:color="auto" w:fill="auto"/>
            <w:noWrap/>
            <w:vAlign w:val="bottom"/>
            <w:hideMark/>
          </w:tcPr>
          <w:p w:rsidR="00761D4A" w:rsidRPr="00761D4A" w:rsidRDefault="00761D4A" w:rsidP="00866E5D">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8.690</w:t>
            </w:r>
          </w:p>
        </w:tc>
        <w:tc>
          <w:tcPr>
            <w:tcW w:w="1134" w:type="dxa"/>
            <w:tcBorders>
              <w:top w:val="nil"/>
              <w:left w:val="nil"/>
              <w:right w:val="nil"/>
            </w:tcBorders>
            <w:shd w:val="clear" w:color="auto" w:fill="auto"/>
            <w:noWrap/>
            <w:vAlign w:val="bottom"/>
            <w:hideMark/>
          </w:tcPr>
          <w:p w:rsidR="00761D4A" w:rsidRPr="00761D4A" w:rsidRDefault="00761D4A" w:rsidP="00866E5D">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-26%</w:t>
            </w:r>
          </w:p>
        </w:tc>
      </w:tr>
      <w:tr w:rsidR="00761D4A" w:rsidRPr="00761D4A" w:rsidTr="00866E5D">
        <w:trPr>
          <w:trHeight w:val="300"/>
        </w:trPr>
        <w:tc>
          <w:tcPr>
            <w:tcW w:w="2552" w:type="dxa"/>
            <w:tcBorders>
              <w:top w:val="nil"/>
              <w:left w:val="nil"/>
              <w:bottom w:val="single" w:sz="4" w:space="0" w:color="auto"/>
              <w:right w:val="nil"/>
            </w:tcBorders>
            <w:shd w:val="clear" w:color="auto" w:fill="auto"/>
            <w:noWrap/>
            <w:vAlign w:val="bottom"/>
            <w:hideMark/>
          </w:tcPr>
          <w:p w:rsidR="00761D4A" w:rsidRPr="00761D4A" w:rsidRDefault="00761D4A" w:rsidP="00761D4A">
            <w:pPr>
              <w:spacing w:after="0" w:line="240" w:lineRule="auto"/>
              <w:rPr>
                <w:rFonts w:ascii="Calibri" w:eastAsia="Times New Roman" w:hAnsi="Calibri" w:cs="Calibri"/>
                <w:color w:val="000000"/>
                <w:lang w:eastAsia="it-IT"/>
              </w:rPr>
            </w:pPr>
            <w:r w:rsidRPr="00761D4A">
              <w:rPr>
                <w:rFonts w:ascii="Calibri" w:eastAsia="Times New Roman" w:hAnsi="Calibri" w:cs="Calibri"/>
                <w:color w:val="000000"/>
                <w:lang w:eastAsia="it-IT"/>
              </w:rPr>
              <w:t>altra industria</w:t>
            </w:r>
            <w:r w:rsidR="00866E5D">
              <w:rPr>
                <w:rFonts w:ascii="Calibri" w:eastAsia="Times New Roman" w:hAnsi="Calibri" w:cs="Calibri"/>
                <w:color w:val="000000"/>
                <w:lang w:eastAsia="it-IT"/>
              </w:rPr>
              <w:t xml:space="preserve"> (estrattiva, energia)</w:t>
            </w:r>
          </w:p>
        </w:tc>
        <w:tc>
          <w:tcPr>
            <w:tcW w:w="754" w:type="dxa"/>
            <w:tcBorders>
              <w:top w:val="nil"/>
              <w:left w:val="nil"/>
              <w:bottom w:val="single" w:sz="4" w:space="0" w:color="auto"/>
              <w:right w:val="nil"/>
            </w:tcBorders>
            <w:shd w:val="clear" w:color="auto" w:fill="auto"/>
            <w:noWrap/>
            <w:vAlign w:val="bottom"/>
            <w:hideMark/>
          </w:tcPr>
          <w:p w:rsidR="00761D4A" w:rsidRPr="00761D4A" w:rsidRDefault="00761D4A" w:rsidP="00866E5D">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2.235</w:t>
            </w:r>
          </w:p>
        </w:tc>
        <w:tc>
          <w:tcPr>
            <w:tcW w:w="947" w:type="dxa"/>
            <w:tcBorders>
              <w:top w:val="nil"/>
              <w:left w:val="nil"/>
              <w:bottom w:val="single" w:sz="4" w:space="0" w:color="auto"/>
              <w:right w:val="nil"/>
            </w:tcBorders>
            <w:shd w:val="clear" w:color="auto" w:fill="auto"/>
            <w:noWrap/>
            <w:vAlign w:val="bottom"/>
            <w:hideMark/>
          </w:tcPr>
          <w:p w:rsidR="00761D4A" w:rsidRPr="00761D4A" w:rsidRDefault="00761D4A" w:rsidP="00866E5D">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2.220</w:t>
            </w:r>
          </w:p>
        </w:tc>
        <w:tc>
          <w:tcPr>
            <w:tcW w:w="1134" w:type="dxa"/>
            <w:tcBorders>
              <w:top w:val="nil"/>
              <w:left w:val="nil"/>
              <w:bottom w:val="single" w:sz="4" w:space="0" w:color="auto"/>
              <w:right w:val="nil"/>
            </w:tcBorders>
            <w:shd w:val="clear" w:color="auto" w:fill="auto"/>
            <w:noWrap/>
            <w:vAlign w:val="bottom"/>
            <w:hideMark/>
          </w:tcPr>
          <w:p w:rsidR="00761D4A" w:rsidRPr="00761D4A" w:rsidRDefault="00761D4A" w:rsidP="00866E5D">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1%</w:t>
            </w:r>
          </w:p>
        </w:tc>
        <w:tc>
          <w:tcPr>
            <w:tcW w:w="850" w:type="dxa"/>
            <w:tcBorders>
              <w:top w:val="nil"/>
              <w:left w:val="nil"/>
              <w:bottom w:val="single" w:sz="4" w:space="0" w:color="auto"/>
              <w:right w:val="nil"/>
            </w:tcBorders>
            <w:shd w:val="clear" w:color="auto" w:fill="auto"/>
            <w:noWrap/>
            <w:vAlign w:val="bottom"/>
            <w:hideMark/>
          </w:tcPr>
          <w:p w:rsidR="00761D4A" w:rsidRPr="00761D4A" w:rsidRDefault="00761D4A" w:rsidP="00866E5D">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1.192</w:t>
            </w:r>
          </w:p>
        </w:tc>
        <w:tc>
          <w:tcPr>
            <w:tcW w:w="851" w:type="dxa"/>
            <w:tcBorders>
              <w:top w:val="nil"/>
              <w:left w:val="nil"/>
              <w:bottom w:val="single" w:sz="4" w:space="0" w:color="auto"/>
              <w:right w:val="nil"/>
            </w:tcBorders>
            <w:shd w:val="clear" w:color="auto" w:fill="auto"/>
            <w:noWrap/>
            <w:vAlign w:val="bottom"/>
            <w:hideMark/>
          </w:tcPr>
          <w:p w:rsidR="00761D4A" w:rsidRPr="00761D4A" w:rsidRDefault="00761D4A" w:rsidP="00866E5D">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1.312</w:t>
            </w:r>
          </w:p>
        </w:tc>
        <w:tc>
          <w:tcPr>
            <w:tcW w:w="1134" w:type="dxa"/>
            <w:tcBorders>
              <w:top w:val="nil"/>
              <w:left w:val="nil"/>
              <w:bottom w:val="single" w:sz="4" w:space="0" w:color="auto"/>
              <w:right w:val="nil"/>
            </w:tcBorders>
            <w:shd w:val="clear" w:color="auto" w:fill="auto"/>
            <w:noWrap/>
            <w:vAlign w:val="bottom"/>
            <w:hideMark/>
          </w:tcPr>
          <w:p w:rsidR="00761D4A" w:rsidRPr="00761D4A" w:rsidRDefault="00761D4A" w:rsidP="00866E5D">
            <w:pPr>
              <w:spacing w:after="0" w:line="240" w:lineRule="auto"/>
              <w:jc w:val="center"/>
              <w:rPr>
                <w:rFonts w:ascii="Calibri" w:eastAsia="Times New Roman" w:hAnsi="Calibri" w:cs="Calibri"/>
                <w:color w:val="000000"/>
                <w:lang w:eastAsia="it-IT"/>
              </w:rPr>
            </w:pPr>
            <w:r w:rsidRPr="00761D4A">
              <w:rPr>
                <w:rFonts w:ascii="Calibri" w:eastAsia="Times New Roman" w:hAnsi="Calibri" w:cs="Calibri"/>
                <w:color w:val="000000"/>
                <w:lang w:eastAsia="it-IT"/>
              </w:rPr>
              <w:t>-9%</w:t>
            </w:r>
          </w:p>
        </w:tc>
      </w:tr>
    </w:tbl>
    <w:p w:rsidR="00D97A4F" w:rsidRPr="00046867" w:rsidRDefault="00D97A4F" w:rsidP="00D97A4F">
      <w:pPr>
        <w:rPr>
          <w:sz w:val="18"/>
          <w:szCs w:val="18"/>
        </w:rPr>
      </w:pPr>
      <w:r w:rsidRPr="00046867">
        <w:rPr>
          <w:sz w:val="18"/>
          <w:szCs w:val="18"/>
        </w:rPr>
        <w:t>Fonte: ns. elab. su dati Inps</w:t>
      </w:r>
    </w:p>
    <w:p w:rsidR="00761D4A" w:rsidRDefault="00761D4A" w:rsidP="008A7107">
      <w:pPr>
        <w:jc w:val="both"/>
      </w:pPr>
    </w:p>
    <w:p w:rsidR="00866E5D" w:rsidRDefault="00866E5D" w:rsidP="008A7107">
      <w:pPr>
        <w:jc w:val="both"/>
      </w:pPr>
      <w:r>
        <w:t>Nel caso dell’industria manifatturiera, tenendo conto del complessivo arretramento del settore, possiamo osservare i mutamenti della sua composizione occupazionale interna, separando gli anni terminai del primo periodo e quelli del secondo (i risultati dei due periodi non sono pienamente comparabili, come abbiamo già osservato).</w:t>
      </w:r>
      <w:r w:rsidR="00800EC0">
        <w:t xml:space="preserve"> Nel complesso sembrerebbe che all’interno dell’industria manifatturiera si accresciuto il peso del cartario (dal 19,8% al 21,7% nel primo periodo, e dal 22,7% al 22,8% nel secondo) e quello della chimica -farmaceutica (dal 4,7% al 5,5% nel primo periodo e dal 6,1% al 6,3% nel secondo). L’industria metalmeccanica nel suo complesso ha perso terreno nel periodo della crisi (dal 38,1% al 35,9% degli occupati </w:t>
      </w:r>
      <w:r w:rsidR="00F65D4E">
        <w:t xml:space="preserve">dipendenti </w:t>
      </w:r>
      <w:r w:rsidR="00800EC0">
        <w:t>manifatturieri) per poi risalire leggermente (dal 35% al 36,4%)</w:t>
      </w:r>
    </w:p>
    <w:p w:rsidR="00866E5D" w:rsidRDefault="00866E5D" w:rsidP="008A7107">
      <w:pPr>
        <w:jc w:val="both"/>
      </w:pPr>
    </w:p>
    <w:p w:rsidR="00D97A4F" w:rsidRPr="00D97A4F" w:rsidRDefault="00D97A4F" w:rsidP="008A7107">
      <w:pPr>
        <w:jc w:val="both"/>
        <w:rPr>
          <w:i/>
        </w:rPr>
      </w:pPr>
      <w:r w:rsidRPr="00D97A4F">
        <w:rPr>
          <w:i/>
        </w:rPr>
        <w:t>Tab.11 – Composizione occupazione manifatturiera per settore 2008-2016</w:t>
      </w:r>
    </w:p>
    <w:tbl>
      <w:tblPr>
        <w:tblW w:w="7180" w:type="dxa"/>
        <w:tblCellMar>
          <w:left w:w="70" w:type="dxa"/>
          <w:right w:w="70" w:type="dxa"/>
        </w:tblCellMar>
        <w:tblLook w:val="04A0" w:firstRow="1" w:lastRow="0" w:firstColumn="1" w:lastColumn="0" w:noHBand="0" w:noVBand="1"/>
      </w:tblPr>
      <w:tblGrid>
        <w:gridCol w:w="3340"/>
        <w:gridCol w:w="960"/>
        <w:gridCol w:w="960"/>
        <w:gridCol w:w="960"/>
        <w:gridCol w:w="960"/>
      </w:tblGrid>
      <w:tr w:rsidR="00866E5D" w:rsidRPr="00866E5D" w:rsidTr="00866E5D">
        <w:trPr>
          <w:trHeight w:val="300"/>
        </w:trPr>
        <w:tc>
          <w:tcPr>
            <w:tcW w:w="3340" w:type="dxa"/>
            <w:tcBorders>
              <w:top w:val="single" w:sz="4" w:space="0" w:color="auto"/>
              <w:left w:val="nil"/>
              <w:bottom w:val="single" w:sz="4" w:space="0" w:color="auto"/>
              <w:right w:val="nil"/>
            </w:tcBorders>
            <w:shd w:val="clear" w:color="auto" w:fill="auto"/>
            <w:noWrap/>
            <w:vAlign w:val="bottom"/>
            <w:hideMark/>
          </w:tcPr>
          <w:p w:rsidR="00866E5D" w:rsidRPr="00866E5D" w:rsidRDefault="00866E5D" w:rsidP="00866E5D">
            <w:pPr>
              <w:spacing w:after="0" w:line="240" w:lineRule="auto"/>
              <w:rPr>
                <w:rFonts w:ascii="Calibri" w:eastAsia="Times New Roman" w:hAnsi="Calibri" w:cs="Calibri"/>
                <w:color w:val="000000"/>
                <w:lang w:eastAsia="it-IT"/>
              </w:rPr>
            </w:pPr>
            <w:r w:rsidRPr="00866E5D">
              <w:rPr>
                <w:rFonts w:ascii="Calibri" w:eastAsia="Times New Roman" w:hAnsi="Calibri" w:cs="Calibri"/>
                <w:color w:val="000000"/>
                <w:lang w:eastAsia="it-IT"/>
              </w:rPr>
              <w:t> </w:t>
            </w:r>
          </w:p>
        </w:tc>
        <w:tc>
          <w:tcPr>
            <w:tcW w:w="960" w:type="dxa"/>
            <w:tcBorders>
              <w:top w:val="single" w:sz="4" w:space="0" w:color="auto"/>
              <w:left w:val="nil"/>
              <w:bottom w:val="single" w:sz="4" w:space="0" w:color="auto"/>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2.016</w:t>
            </w:r>
          </w:p>
        </w:tc>
        <w:tc>
          <w:tcPr>
            <w:tcW w:w="960" w:type="dxa"/>
            <w:tcBorders>
              <w:top w:val="single" w:sz="4" w:space="0" w:color="auto"/>
              <w:left w:val="nil"/>
              <w:bottom w:val="single" w:sz="4" w:space="0" w:color="auto"/>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2.014</w:t>
            </w:r>
          </w:p>
        </w:tc>
        <w:tc>
          <w:tcPr>
            <w:tcW w:w="960" w:type="dxa"/>
            <w:tcBorders>
              <w:top w:val="single" w:sz="4" w:space="0" w:color="auto"/>
              <w:left w:val="nil"/>
              <w:bottom w:val="single" w:sz="4" w:space="0" w:color="auto"/>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2013</w:t>
            </w:r>
          </w:p>
        </w:tc>
        <w:tc>
          <w:tcPr>
            <w:tcW w:w="960" w:type="dxa"/>
            <w:tcBorders>
              <w:top w:val="single" w:sz="4" w:space="0" w:color="auto"/>
              <w:left w:val="nil"/>
              <w:bottom w:val="single" w:sz="4" w:space="0" w:color="auto"/>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sz w:val="18"/>
                <w:szCs w:val="18"/>
                <w:lang w:eastAsia="it-IT"/>
              </w:rPr>
            </w:pPr>
            <w:r w:rsidRPr="00866E5D">
              <w:rPr>
                <w:rFonts w:ascii="Calibri" w:eastAsia="Times New Roman" w:hAnsi="Calibri" w:cs="Calibri"/>
                <w:color w:val="000000"/>
                <w:sz w:val="18"/>
                <w:szCs w:val="18"/>
                <w:lang w:eastAsia="it-IT"/>
              </w:rPr>
              <w:t>2.008</w:t>
            </w:r>
          </w:p>
        </w:tc>
      </w:tr>
      <w:tr w:rsidR="00866E5D" w:rsidRPr="00866E5D" w:rsidTr="00866E5D">
        <w:trPr>
          <w:trHeight w:val="300"/>
        </w:trPr>
        <w:tc>
          <w:tcPr>
            <w:tcW w:w="334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rPr>
                <w:rFonts w:ascii="Calibri" w:eastAsia="Times New Roman" w:hAnsi="Calibri" w:cs="Calibri"/>
                <w:color w:val="000000"/>
                <w:lang w:eastAsia="it-IT"/>
              </w:rPr>
            </w:pPr>
            <w:r w:rsidRPr="00866E5D">
              <w:rPr>
                <w:rFonts w:ascii="Calibri" w:eastAsia="Times New Roman" w:hAnsi="Calibri" w:cs="Calibri"/>
                <w:color w:val="000000"/>
                <w:lang w:eastAsia="it-IT"/>
              </w:rPr>
              <w:t>alimentari, bevande e tabacco</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9,6%</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9,5%</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10,7%</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9,8%</w:t>
            </w:r>
          </w:p>
        </w:tc>
      </w:tr>
      <w:tr w:rsidR="00866E5D" w:rsidRPr="00866E5D" w:rsidTr="00866E5D">
        <w:trPr>
          <w:trHeight w:val="300"/>
        </w:trPr>
        <w:tc>
          <w:tcPr>
            <w:tcW w:w="334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rPr>
                <w:rFonts w:ascii="Calibri" w:eastAsia="Times New Roman" w:hAnsi="Calibri" w:cs="Calibri"/>
                <w:color w:val="000000"/>
                <w:lang w:eastAsia="it-IT"/>
              </w:rPr>
            </w:pPr>
            <w:r w:rsidRPr="00866E5D">
              <w:rPr>
                <w:rFonts w:ascii="Calibri" w:eastAsia="Times New Roman" w:hAnsi="Calibri" w:cs="Calibri"/>
                <w:color w:val="000000"/>
                <w:lang w:eastAsia="it-IT"/>
              </w:rPr>
              <w:t>tessili</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0,8%</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0,9%</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1,2%</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1,4%</w:t>
            </w:r>
          </w:p>
        </w:tc>
      </w:tr>
      <w:tr w:rsidR="00866E5D" w:rsidRPr="00866E5D" w:rsidTr="00866E5D">
        <w:trPr>
          <w:trHeight w:val="300"/>
        </w:trPr>
        <w:tc>
          <w:tcPr>
            <w:tcW w:w="334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rPr>
                <w:rFonts w:ascii="Calibri" w:eastAsia="Times New Roman" w:hAnsi="Calibri" w:cs="Calibri"/>
                <w:color w:val="000000"/>
                <w:lang w:eastAsia="it-IT"/>
              </w:rPr>
            </w:pPr>
            <w:r w:rsidRPr="00866E5D">
              <w:rPr>
                <w:rFonts w:ascii="Calibri" w:eastAsia="Times New Roman" w:hAnsi="Calibri" w:cs="Calibri"/>
                <w:color w:val="000000"/>
                <w:lang w:eastAsia="it-IT"/>
              </w:rPr>
              <w:t>abbigliamento</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1,9%</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2,1%</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1,8%</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1,4%</w:t>
            </w:r>
          </w:p>
        </w:tc>
      </w:tr>
      <w:tr w:rsidR="00866E5D" w:rsidRPr="00866E5D" w:rsidTr="00866E5D">
        <w:trPr>
          <w:trHeight w:val="300"/>
        </w:trPr>
        <w:tc>
          <w:tcPr>
            <w:tcW w:w="334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rPr>
                <w:rFonts w:ascii="Calibri" w:eastAsia="Times New Roman" w:hAnsi="Calibri" w:cs="Calibri"/>
                <w:color w:val="000000"/>
                <w:lang w:eastAsia="it-IT"/>
              </w:rPr>
            </w:pPr>
            <w:r w:rsidRPr="00866E5D">
              <w:rPr>
                <w:rFonts w:ascii="Calibri" w:eastAsia="Times New Roman" w:hAnsi="Calibri" w:cs="Calibri"/>
                <w:color w:val="000000"/>
                <w:lang w:eastAsia="it-IT"/>
              </w:rPr>
              <w:t>filiera delle pelli e cuoio</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6,0%</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6,0%</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7,2%</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6,9%</w:t>
            </w:r>
          </w:p>
        </w:tc>
      </w:tr>
      <w:tr w:rsidR="00866E5D" w:rsidRPr="00866E5D" w:rsidTr="00866E5D">
        <w:trPr>
          <w:trHeight w:val="300"/>
        </w:trPr>
        <w:tc>
          <w:tcPr>
            <w:tcW w:w="334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rPr>
                <w:rFonts w:ascii="Calibri" w:eastAsia="Times New Roman" w:hAnsi="Calibri" w:cs="Calibri"/>
                <w:color w:val="000000"/>
                <w:lang w:eastAsia="it-IT"/>
              </w:rPr>
            </w:pPr>
            <w:r w:rsidRPr="00866E5D">
              <w:rPr>
                <w:rFonts w:ascii="Calibri" w:eastAsia="Times New Roman" w:hAnsi="Calibri" w:cs="Calibri"/>
                <w:color w:val="000000"/>
                <w:lang w:eastAsia="it-IT"/>
              </w:rPr>
              <w:t xml:space="preserve">legno e dei prodotti in legno </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2,1%</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2,5%</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2,2%</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3,2%</w:t>
            </w:r>
          </w:p>
        </w:tc>
      </w:tr>
      <w:tr w:rsidR="00866E5D" w:rsidRPr="00866E5D" w:rsidTr="00866E5D">
        <w:trPr>
          <w:trHeight w:val="300"/>
        </w:trPr>
        <w:tc>
          <w:tcPr>
            <w:tcW w:w="334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rPr>
                <w:rFonts w:ascii="Calibri" w:eastAsia="Times New Roman" w:hAnsi="Calibri" w:cs="Calibri"/>
                <w:color w:val="000000"/>
                <w:lang w:eastAsia="it-IT"/>
              </w:rPr>
            </w:pPr>
            <w:r w:rsidRPr="00866E5D">
              <w:rPr>
                <w:rFonts w:ascii="Calibri" w:eastAsia="Times New Roman" w:hAnsi="Calibri" w:cs="Calibri"/>
                <w:color w:val="000000"/>
                <w:lang w:eastAsia="it-IT"/>
              </w:rPr>
              <w:t>carta</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22,8%</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22,7%</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21,7%</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19,8%</w:t>
            </w:r>
          </w:p>
        </w:tc>
      </w:tr>
      <w:tr w:rsidR="00866E5D" w:rsidRPr="00866E5D" w:rsidTr="00866E5D">
        <w:trPr>
          <w:trHeight w:val="300"/>
        </w:trPr>
        <w:tc>
          <w:tcPr>
            <w:tcW w:w="334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rPr>
                <w:rFonts w:ascii="Calibri" w:eastAsia="Times New Roman" w:hAnsi="Calibri" w:cs="Calibri"/>
                <w:color w:val="000000"/>
                <w:lang w:eastAsia="it-IT"/>
              </w:rPr>
            </w:pPr>
            <w:r w:rsidRPr="00866E5D">
              <w:rPr>
                <w:rFonts w:ascii="Calibri" w:eastAsia="Times New Roman" w:hAnsi="Calibri" w:cs="Calibri"/>
                <w:color w:val="000000"/>
                <w:lang w:eastAsia="it-IT"/>
              </w:rPr>
              <w:t>stampa, editoria</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1,9%</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1,9%</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2,1%</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1,8%</w:t>
            </w:r>
          </w:p>
        </w:tc>
      </w:tr>
      <w:tr w:rsidR="00866E5D" w:rsidRPr="00866E5D" w:rsidTr="00866E5D">
        <w:trPr>
          <w:trHeight w:val="300"/>
        </w:trPr>
        <w:tc>
          <w:tcPr>
            <w:tcW w:w="334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rPr>
                <w:rFonts w:ascii="Calibri" w:eastAsia="Times New Roman" w:hAnsi="Calibri" w:cs="Calibri"/>
                <w:color w:val="000000"/>
                <w:lang w:eastAsia="it-IT"/>
              </w:rPr>
            </w:pPr>
            <w:r w:rsidRPr="00866E5D">
              <w:rPr>
                <w:rFonts w:ascii="Calibri" w:eastAsia="Times New Roman" w:hAnsi="Calibri" w:cs="Calibri"/>
                <w:color w:val="000000"/>
                <w:lang w:eastAsia="it-IT"/>
              </w:rPr>
              <w:t>chimica e farmaceutica</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6,3%</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6,1%</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5,5%</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4,7%</w:t>
            </w:r>
          </w:p>
        </w:tc>
      </w:tr>
      <w:tr w:rsidR="00866E5D" w:rsidRPr="00866E5D" w:rsidTr="00866E5D">
        <w:trPr>
          <w:trHeight w:val="300"/>
        </w:trPr>
        <w:tc>
          <w:tcPr>
            <w:tcW w:w="334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rPr>
                <w:rFonts w:ascii="Calibri" w:eastAsia="Times New Roman" w:hAnsi="Calibri" w:cs="Calibri"/>
                <w:color w:val="000000"/>
                <w:lang w:eastAsia="it-IT"/>
              </w:rPr>
            </w:pPr>
            <w:r w:rsidRPr="00866E5D">
              <w:rPr>
                <w:rFonts w:ascii="Calibri" w:eastAsia="Times New Roman" w:hAnsi="Calibri" w:cs="Calibri"/>
                <w:color w:val="000000"/>
                <w:lang w:eastAsia="it-IT"/>
              </w:rPr>
              <w:t>lavorazioni gomma e plastica</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3,3%</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3,3%</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3,2%</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3,8%</w:t>
            </w:r>
          </w:p>
        </w:tc>
      </w:tr>
      <w:tr w:rsidR="00866E5D" w:rsidRPr="00866E5D" w:rsidTr="00866E5D">
        <w:trPr>
          <w:trHeight w:val="300"/>
        </w:trPr>
        <w:tc>
          <w:tcPr>
            <w:tcW w:w="334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rPr>
                <w:rFonts w:ascii="Calibri" w:eastAsia="Times New Roman" w:hAnsi="Calibri" w:cs="Calibri"/>
                <w:color w:val="000000"/>
                <w:lang w:eastAsia="it-IT"/>
              </w:rPr>
            </w:pPr>
            <w:r w:rsidRPr="00866E5D">
              <w:rPr>
                <w:rFonts w:ascii="Calibri" w:eastAsia="Times New Roman" w:hAnsi="Calibri" w:cs="Calibri"/>
                <w:color w:val="000000"/>
                <w:lang w:eastAsia="it-IT"/>
              </w:rPr>
              <w:t>lavoraz.minerali non met.</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5,9%</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6,5%</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6,6%</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6,6%</w:t>
            </w:r>
          </w:p>
        </w:tc>
      </w:tr>
      <w:tr w:rsidR="00866E5D" w:rsidRPr="00866E5D" w:rsidTr="00866E5D">
        <w:trPr>
          <w:trHeight w:val="300"/>
        </w:trPr>
        <w:tc>
          <w:tcPr>
            <w:tcW w:w="334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rPr>
                <w:rFonts w:ascii="Calibri" w:eastAsia="Times New Roman" w:hAnsi="Calibri" w:cs="Calibri"/>
                <w:color w:val="000000"/>
                <w:lang w:eastAsia="it-IT"/>
              </w:rPr>
            </w:pPr>
            <w:r w:rsidRPr="00866E5D">
              <w:rPr>
                <w:rFonts w:ascii="Calibri" w:eastAsia="Times New Roman" w:hAnsi="Calibri" w:cs="Calibri"/>
                <w:color w:val="000000"/>
                <w:lang w:eastAsia="it-IT"/>
              </w:rPr>
              <w:t>metalmeccanica</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36,4%</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35,0%</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35,9%</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38,1%</w:t>
            </w:r>
          </w:p>
        </w:tc>
      </w:tr>
      <w:tr w:rsidR="00866E5D" w:rsidRPr="00866E5D" w:rsidTr="00866E5D">
        <w:trPr>
          <w:trHeight w:val="300"/>
        </w:trPr>
        <w:tc>
          <w:tcPr>
            <w:tcW w:w="334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rPr>
                <w:rFonts w:ascii="Calibri" w:eastAsia="Times New Roman" w:hAnsi="Calibri" w:cs="Calibri"/>
                <w:color w:val="000000"/>
                <w:sz w:val="18"/>
                <w:szCs w:val="18"/>
                <w:lang w:eastAsia="it-IT"/>
              </w:rPr>
            </w:pPr>
            <w:r w:rsidRPr="00866E5D">
              <w:rPr>
                <w:rFonts w:ascii="Calibri" w:eastAsia="Times New Roman" w:hAnsi="Calibri" w:cs="Calibri"/>
                <w:color w:val="000000"/>
                <w:sz w:val="18"/>
                <w:szCs w:val="18"/>
                <w:lang w:eastAsia="it-IT"/>
              </w:rPr>
              <w:t xml:space="preserve">      DI CUI costruzione macchine</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sz w:val="18"/>
                <w:szCs w:val="18"/>
                <w:lang w:eastAsia="it-IT"/>
              </w:rPr>
            </w:pPr>
            <w:r w:rsidRPr="00866E5D">
              <w:rPr>
                <w:rFonts w:ascii="Calibri" w:eastAsia="Times New Roman" w:hAnsi="Calibri" w:cs="Calibri"/>
                <w:color w:val="000000"/>
                <w:sz w:val="18"/>
                <w:szCs w:val="18"/>
                <w:lang w:eastAsia="it-IT"/>
              </w:rPr>
              <w:t>7,0%</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sz w:val="18"/>
                <w:szCs w:val="18"/>
                <w:lang w:eastAsia="it-IT"/>
              </w:rPr>
            </w:pPr>
            <w:r w:rsidRPr="00866E5D">
              <w:rPr>
                <w:rFonts w:ascii="Calibri" w:eastAsia="Times New Roman" w:hAnsi="Calibri" w:cs="Calibri"/>
                <w:color w:val="000000"/>
                <w:sz w:val="18"/>
                <w:szCs w:val="18"/>
                <w:lang w:eastAsia="it-IT"/>
              </w:rPr>
              <w:t>7,1%</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sz w:val="18"/>
                <w:szCs w:val="18"/>
                <w:lang w:eastAsia="it-IT"/>
              </w:rPr>
            </w:pPr>
            <w:r w:rsidRPr="00866E5D">
              <w:rPr>
                <w:rFonts w:ascii="Calibri" w:eastAsia="Times New Roman" w:hAnsi="Calibri" w:cs="Calibri"/>
                <w:color w:val="000000"/>
                <w:sz w:val="18"/>
                <w:szCs w:val="18"/>
                <w:lang w:eastAsia="it-IT"/>
              </w:rPr>
              <w:t>8,7%</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sz w:val="18"/>
                <w:szCs w:val="18"/>
                <w:lang w:eastAsia="it-IT"/>
              </w:rPr>
            </w:pPr>
            <w:r w:rsidRPr="00866E5D">
              <w:rPr>
                <w:rFonts w:ascii="Calibri" w:eastAsia="Times New Roman" w:hAnsi="Calibri" w:cs="Calibri"/>
                <w:color w:val="000000"/>
                <w:sz w:val="18"/>
                <w:szCs w:val="18"/>
                <w:lang w:eastAsia="it-IT"/>
              </w:rPr>
              <w:t>7,6%</w:t>
            </w:r>
          </w:p>
        </w:tc>
      </w:tr>
      <w:tr w:rsidR="00866E5D" w:rsidRPr="00866E5D" w:rsidTr="00866E5D">
        <w:trPr>
          <w:trHeight w:val="300"/>
        </w:trPr>
        <w:tc>
          <w:tcPr>
            <w:tcW w:w="334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rPr>
                <w:rFonts w:ascii="Calibri" w:eastAsia="Times New Roman" w:hAnsi="Calibri" w:cs="Calibri"/>
                <w:color w:val="000000"/>
                <w:sz w:val="18"/>
                <w:szCs w:val="18"/>
                <w:lang w:eastAsia="it-IT"/>
              </w:rPr>
            </w:pPr>
            <w:r w:rsidRPr="00866E5D">
              <w:rPr>
                <w:rFonts w:ascii="Calibri" w:eastAsia="Times New Roman" w:hAnsi="Calibri" w:cs="Calibri"/>
                <w:color w:val="000000"/>
                <w:sz w:val="18"/>
                <w:szCs w:val="18"/>
                <w:lang w:eastAsia="it-IT"/>
              </w:rPr>
              <w:t xml:space="preserve">      DI CUI nautica</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sz w:val="18"/>
                <w:szCs w:val="18"/>
                <w:lang w:eastAsia="it-IT"/>
              </w:rPr>
            </w:pPr>
            <w:r w:rsidRPr="00866E5D">
              <w:rPr>
                <w:rFonts w:ascii="Calibri" w:eastAsia="Times New Roman" w:hAnsi="Calibri" w:cs="Calibri"/>
                <w:color w:val="000000"/>
                <w:sz w:val="18"/>
                <w:szCs w:val="18"/>
                <w:lang w:eastAsia="it-IT"/>
              </w:rPr>
              <w:t>3,7%</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sz w:val="18"/>
                <w:szCs w:val="18"/>
                <w:lang w:eastAsia="it-IT"/>
              </w:rPr>
            </w:pPr>
            <w:r w:rsidRPr="00866E5D">
              <w:rPr>
                <w:rFonts w:ascii="Calibri" w:eastAsia="Times New Roman" w:hAnsi="Calibri" w:cs="Calibri"/>
                <w:color w:val="000000"/>
                <w:sz w:val="18"/>
                <w:szCs w:val="18"/>
                <w:lang w:eastAsia="it-IT"/>
              </w:rPr>
              <w:t>4,0%</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sz w:val="18"/>
                <w:szCs w:val="18"/>
                <w:lang w:eastAsia="it-IT"/>
              </w:rPr>
            </w:pPr>
            <w:r w:rsidRPr="00866E5D">
              <w:rPr>
                <w:rFonts w:ascii="Calibri" w:eastAsia="Times New Roman" w:hAnsi="Calibri" w:cs="Calibri"/>
                <w:color w:val="000000"/>
                <w:sz w:val="18"/>
                <w:szCs w:val="18"/>
                <w:lang w:eastAsia="it-IT"/>
              </w:rPr>
              <w:t>8,4%</w:t>
            </w:r>
          </w:p>
        </w:tc>
        <w:tc>
          <w:tcPr>
            <w:tcW w:w="960" w:type="dxa"/>
            <w:tcBorders>
              <w:top w:val="nil"/>
              <w:left w:val="nil"/>
              <w:bottom w:val="nil"/>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sz w:val="18"/>
                <w:szCs w:val="18"/>
                <w:lang w:eastAsia="it-IT"/>
              </w:rPr>
            </w:pPr>
            <w:r w:rsidRPr="00866E5D">
              <w:rPr>
                <w:rFonts w:ascii="Calibri" w:eastAsia="Times New Roman" w:hAnsi="Calibri" w:cs="Calibri"/>
                <w:color w:val="000000"/>
                <w:sz w:val="18"/>
                <w:szCs w:val="18"/>
                <w:lang w:eastAsia="it-IT"/>
              </w:rPr>
              <w:t>11,0%</w:t>
            </w:r>
          </w:p>
        </w:tc>
      </w:tr>
      <w:tr w:rsidR="00866E5D" w:rsidRPr="00866E5D" w:rsidTr="00866E5D">
        <w:trPr>
          <w:trHeight w:val="300"/>
        </w:trPr>
        <w:tc>
          <w:tcPr>
            <w:tcW w:w="3340" w:type="dxa"/>
            <w:tcBorders>
              <w:top w:val="nil"/>
              <w:left w:val="nil"/>
              <w:bottom w:val="single" w:sz="4" w:space="0" w:color="auto"/>
              <w:right w:val="nil"/>
            </w:tcBorders>
            <w:shd w:val="clear" w:color="auto" w:fill="auto"/>
            <w:noWrap/>
            <w:vAlign w:val="bottom"/>
            <w:hideMark/>
          </w:tcPr>
          <w:p w:rsidR="00866E5D" w:rsidRPr="00866E5D" w:rsidRDefault="00800EC0" w:rsidP="00866E5D">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mobili e altre manifattu</w:t>
            </w:r>
            <w:r w:rsidR="00866E5D" w:rsidRPr="00866E5D">
              <w:rPr>
                <w:rFonts w:ascii="Calibri" w:eastAsia="Times New Roman" w:hAnsi="Calibri" w:cs="Calibri"/>
                <w:color w:val="000000"/>
                <w:lang w:eastAsia="it-IT"/>
              </w:rPr>
              <w:t>riere</w:t>
            </w:r>
          </w:p>
        </w:tc>
        <w:tc>
          <w:tcPr>
            <w:tcW w:w="960" w:type="dxa"/>
            <w:tcBorders>
              <w:top w:val="nil"/>
              <w:left w:val="nil"/>
              <w:bottom w:val="single" w:sz="4" w:space="0" w:color="auto"/>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3,1%</w:t>
            </w:r>
          </w:p>
        </w:tc>
        <w:tc>
          <w:tcPr>
            <w:tcW w:w="960" w:type="dxa"/>
            <w:tcBorders>
              <w:top w:val="nil"/>
              <w:left w:val="nil"/>
              <w:bottom w:val="single" w:sz="4" w:space="0" w:color="auto"/>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3,6%</w:t>
            </w:r>
          </w:p>
        </w:tc>
        <w:tc>
          <w:tcPr>
            <w:tcW w:w="960" w:type="dxa"/>
            <w:tcBorders>
              <w:top w:val="nil"/>
              <w:left w:val="nil"/>
              <w:bottom w:val="single" w:sz="4" w:space="0" w:color="auto"/>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3,2%</w:t>
            </w:r>
          </w:p>
        </w:tc>
        <w:tc>
          <w:tcPr>
            <w:tcW w:w="960" w:type="dxa"/>
            <w:tcBorders>
              <w:top w:val="nil"/>
              <w:left w:val="nil"/>
              <w:bottom w:val="single" w:sz="4" w:space="0" w:color="auto"/>
              <w:right w:val="nil"/>
            </w:tcBorders>
            <w:shd w:val="clear" w:color="auto" w:fill="auto"/>
            <w:noWrap/>
            <w:vAlign w:val="bottom"/>
            <w:hideMark/>
          </w:tcPr>
          <w:p w:rsidR="00866E5D" w:rsidRPr="00866E5D" w:rsidRDefault="00866E5D" w:rsidP="00866E5D">
            <w:pPr>
              <w:spacing w:after="0" w:line="240" w:lineRule="auto"/>
              <w:jc w:val="right"/>
              <w:rPr>
                <w:rFonts w:ascii="Calibri" w:eastAsia="Times New Roman" w:hAnsi="Calibri" w:cs="Calibri"/>
                <w:color w:val="000000"/>
                <w:lang w:eastAsia="it-IT"/>
              </w:rPr>
            </w:pPr>
            <w:r w:rsidRPr="00866E5D">
              <w:rPr>
                <w:rFonts w:ascii="Calibri" w:eastAsia="Times New Roman" w:hAnsi="Calibri" w:cs="Calibri"/>
                <w:color w:val="000000"/>
                <w:lang w:eastAsia="it-IT"/>
              </w:rPr>
              <w:t>3,9%</w:t>
            </w:r>
          </w:p>
        </w:tc>
      </w:tr>
    </w:tbl>
    <w:p w:rsidR="00D97A4F" w:rsidRPr="00046867" w:rsidRDefault="00D97A4F" w:rsidP="00D97A4F">
      <w:pPr>
        <w:rPr>
          <w:sz w:val="18"/>
          <w:szCs w:val="18"/>
        </w:rPr>
      </w:pPr>
      <w:r w:rsidRPr="00046867">
        <w:rPr>
          <w:sz w:val="18"/>
          <w:szCs w:val="18"/>
        </w:rPr>
        <w:t>Fonte: ns. elab. su dati Inps</w:t>
      </w:r>
    </w:p>
    <w:p w:rsidR="00866E5D" w:rsidRDefault="00866E5D" w:rsidP="008A7107">
      <w:pPr>
        <w:jc w:val="both"/>
      </w:pPr>
    </w:p>
    <w:p w:rsidR="00D97A4F" w:rsidRDefault="00D97A4F">
      <w:r>
        <w:br w:type="page"/>
      </w:r>
    </w:p>
    <w:p w:rsidR="00D97A4F" w:rsidRPr="00D97A4F" w:rsidRDefault="00D97A4F" w:rsidP="00D97A4F">
      <w:pPr>
        <w:rPr>
          <w:b/>
        </w:rPr>
      </w:pPr>
      <w:r w:rsidRPr="00D97A4F">
        <w:rPr>
          <w:b/>
        </w:rPr>
        <w:t>3. LE ESPORTAZIONI DELLA PROVINCIA DI LUCCA</w:t>
      </w:r>
    </w:p>
    <w:p w:rsidR="00D97A4F" w:rsidRDefault="00D97A4F" w:rsidP="00D97A4F"/>
    <w:p w:rsidR="00D97A4F" w:rsidRDefault="00D97A4F" w:rsidP="00563DAE">
      <w:pPr>
        <w:jc w:val="both"/>
      </w:pPr>
      <w:r>
        <w:t>Le esportazioni della provincia di Lucca si posizionano, negli ultimi anni, poco al di sotto dei 4 miliardi di euro, con una tendenza non molto dinamica (anche se i primi dati relativi al 2018 mostrano una prospettiva migliore).</w:t>
      </w:r>
    </w:p>
    <w:p w:rsidR="00563DAE" w:rsidRDefault="00563DAE" w:rsidP="00D97A4F"/>
    <w:p w:rsidR="00563DAE" w:rsidRPr="00563DAE" w:rsidRDefault="00563DAE" w:rsidP="00D97A4F">
      <w:pPr>
        <w:rPr>
          <w:i/>
        </w:rPr>
      </w:pPr>
      <w:r w:rsidRPr="00563DAE">
        <w:rPr>
          <w:i/>
        </w:rPr>
        <w:t>Tab. 12 – Import ed export provinciale 2015-2017</w:t>
      </w:r>
    </w:p>
    <w:tbl>
      <w:tblPr>
        <w:tblW w:w="9920" w:type="dxa"/>
        <w:tblCellMar>
          <w:left w:w="70" w:type="dxa"/>
          <w:right w:w="70" w:type="dxa"/>
        </w:tblCellMar>
        <w:tblLook w:val="04A0" w:firstRow="1" w:lastRow="0" w:firstColumn="1" w:lastColumn="0" w:noHBand="0" w:noVBand="1"/>
      </w:tblPr>
      <w:tblGrid>
        <w:gridCol w:w="2372"/>
        <w:gridCol w:w="1258"/>
        <w:gridCol w:w="1258"/>
        <w:gridCol w:w="1258"/>
        <w:gridCol w:w="1258"/>
        <w:gridCol w:w="1258"/>
        <w:gridCol w:w="1258"/>
      </w:tblGrid>
      <w:tr w:rsidR="00D97A4F" w:rsidRPr="009B45C5" w:rsidTr="00D97A4F">
        <w:trPr>
          <w:trHeight w:val="405"/>
        </w:trPr>
        <w:tc>
          <w:tcPr>
            <w:tcW w:w="3091" w:type="dxa"/>
            <w:tcBorders>
              <w:top w:val="single" w:sz="8" w:space="0" w:color="000000"/>
              <w:left w:val="nil"/>
              <w:bottom w:val="single" w:sz="8" w:space="0" w:color="000000"/>
              <w:right w:val="nil"/>
            </w:tcBorders>
            <w:shd w:val="clear" w:color="auto" w:fill="auto"/>
            <w:vAlign w:val="center"/>
            <w:hideMark/>
          </w:tcPr>
          <w:p w:rsidR="00D97A4F" w:rsidRPr="009B45C5" w:rsidRDefault="00D97A4F" w:rsidP="00D97A4F">
            <w:pPr>
              <w:spacing w:after="0" w:line="240" w:lineRule="auto"/>
              <w:rPr>
                <w:rFonts w:ascii="Verdana" w:eastAsia="Times New Roman" w:hAnsi="Verdana" w:cs="Calibri"/>
                <w:b/>
                <w:bCs/>
                <w:color w:val="000000"/>
                <w:sz w:val="15"/>
                <w:szCs w:val="15"/>
                <w:lang w:eastAsia="it-IT"/>
              </w:rPr>
            </w:pPr>
            <w:r w:rsidRPr="009B45C5">
              <w:rPr>
                <w:rFonts w:ascii="Verdana" w:eastAsia="Times New Roman" w:hAnsi="Verdana" w:cs="Calibri"/>
                <w:b/>
                <w:bCs/>
                <w:color w:val="000000"/>
                <w:sz w:val="15"/>
                <w:szCs w:val="15"/>
                <w:lang w:eastAsia="it-IT"/>
              </w:rPr>
              <w:t>Pseudo-sottosezioni</w:t>
            </w:r>
          </w:p>
        </w:tc>
        <w:tc>
          <w:tcPr>
            <w:tcW w:w="1120" w:type="dxa"/>
            <w:tcBorders>
              <w:top w:val="single" w:sz="8" w:space="0" w:color="000000"/>
              <w:left w:val="nil"/>
              <w:bottom w:val="single" w:sz="8" w:space="0" w:color="000000"/>
              <w:right w:val="nil"/>
            </w:tcBorders>
            <w:shd w:val="clear" w:color="auto" w:fill="auto"/>
            <w:vAlign w:val="center"/>
            <w:hideMark/>
          </w:tcPr>
          <w:p w:rsidR="00D97A4F" w:rsidRPr="009B45C5" w:rsidRDefault="00D97A4F" w:rsidP="00D97A4F">
            <w:pPr>
              <w:spacing w:after="0" w:line="240" w:lineRule="auto"/>
              <w:jc w:val="right"/>
              <w:rPr>
                <w:rFonts w:ascii="Verdana" w:eastAsia="Times New Roman" w:hAnsi="Verdana" w:cs="Calibri"/>
                <w:b/>
                <w:bCs/>
                <w:color w:val="000000"/>
                <w:sz w:val="15"/>
                <w:szCs w:val="15"/>
                <w:lang w:eastAsia="it-IT"/>
              </w:rPr>
            </w:pPr>
            <w:r w:rsidRPr="009B45C5">
              <w:rPr>
                <w:rFonts w:ascii="Verdana" w:eastAsia="Times New Roman" w:hAnsi="Verdana" w:cs="Calibri"/>
                <w:b/>
                <w:bCs/>
                <w:color w:val="000000"/>
                <w:sz w:val="15"/>
                <w:szCs w:val="15"/>
                <w:lang w:eastAsia="it-IT"/>
              </w:rPr>
              <w:t>IMP2015</w:t>
            </w:r>
          </w:p>
        </w:tc>
        <w:tc>
          <w:tcPr>
            <w:tcW w:w="1118" w:type="dxa"/>
            <w:tcBorders>
              <w:top w:val="single" w:sz="8" w:space="0" w:color="000000"/>
              <w:left w:val="nil"/>
              <w:bottom w:val="single" w:sz="8" w:space="0" w:color="000000"/>
              <w:right w:val="nil"/>
            </w:tcBorders>
            <w:shd w:val="clear" w:color="auto" w:fill="auto"/>
            <w:vAlign w:val="center"/>
            <w:hideMark/>
          </w:tcPr>
          <w:p w:rsidR="00D97A4F" w:rsidRPr="009B45C5" w:rsidRDefault="00D97A4F" w:rsidP="00D97A4F">
            <w:pPr>
              <w:spacing w:after="0" w:line="240" w:lineRule="auto"/>
              <w:jc w:val="right"/>
              <w:rPr>
                <w:rFonts w:ascii="Verdana" w:eastAsia="Times New Roman" w:hAnsi="Verdana" w:cs="Calibri"/>
                <w:b/>
                <w:bCs/>
                <w:color w:val="000000"/>
                <w:sz w:val="15"/>
                <w:szCs w:val="15"/>
                <w:lang w:eastAsia="it-IT"/>
              </w:rPr>
            </w:pPr>
            <w:r w:rsidRPr="009B45C5">
              <w:rPr>
                <w:rFonts w:ascii="Verdana" w:eastAsia="Times New Roman" w:hAnsi="Verdana" w:cs="Calibri"/>
                <w:b/>
                <w:bCs/>
                <w:color w:val="000000"/>
                <w:sz w:val="15"/>
                <w:szCs w:val="15"/>
                <w:lang w:eastAsia="it-IT"/>
              </w:rPr>
              <w:t>IMP2016</w:t>
            </w:r>
          </w:p>
        </w:tc>
        <w:tc>
          <w:tcPr>
            <w:tcW w:w="1195" w:type="dxa"/>
            <w:tcBorders>
              <w:top w:val="single" w:sz="8" w:space="0" w:color="000000"/>
              <w:left w:val="nil"/>
              <w:bottom w:val="single" w:sz="8" w:space="0" w:color="000000"/>
              <w:right w:val="nil"/>
            </w:tcBorders>
            <w:shd w:val="clear" w:color="auto" w:fill="auto"/>
            <w:vAlign w:val="center"/>
            <w:hideMark/>
          </w:tcPr>
          <w:p w:rsidR="00D97A4F" w:rsidRPr="009B45C5" w:rsidRDefault="00D97A4F" w:rsidP="00D97A4F">
            <w:pPr>
              <w:spacing w:after="0" w:line="240" w:lineRule="auto"/>
              <w:jc w:val="right"/>
              <w:rPr>
                <w:rFonts w:ascii="Verdana" w:eastAsia="Times New Roman" w:hAnsi="Verdana" w:cs="Calibri"/>
                <w:b/>
                <w:bCs/>
                <w:color w:val="000000"/>
                <w:sz w:val="15"/>
                <w:szCs w:val="15"/>
                <w:lang w:eastAsia="it-IT"/>
              </w:rPr>
            </w:pPr>
            <w:r w:rsidRPr="009B45C5">
              <w:rPr>
                <w:rFonts w:ascii="Verdana" w:eastAsia="Times New Roman" w:hAnsi="Verdana" w:cs="Calibri"/>
                <w:b/>
                <w:bCs/>
                <w:color w:val="000000"/>
                <w:sz w:val="15"/>
                <w:szCs w:val="15"/>
                <w:lang w:eastAsia="it-IT"/>
              </w:rPr>
              <w:t>IMP2017</w:t>
            </w:r>
          </w:p>
        </w:tc>
        <w:tc>
          <w:tcPr>
            <w:tcW w:w="1139" w:type="dxa"/>
            <w:tcBorders>
              <w:top w:val="single" w:sz="8" w:space="0" w:color="000000"/>
              <w:left w:val="nil"/>
              <w:bottom w:val="single" w:sz="8" w:space="0" w:color="000000"/>
              <w:right w:val="nil"/>
            </w:tcBorders>
            <w:shd w:val="clear" w:color="auto" w:fill="auto"/>
            <w:vAlign w:val="center"/>
            <w:hideMark/>
          </w:tcPr>
          <w:p w:rsidR="00D97A4F" w:rsidRPr="009B45C5" w:rsidRDefault="00D97A4F" w:rsidP="00D97A4F">
            <w:pPr>
              <w:spacing w:after="0" w:line="240" w:lineRule="auto"/>
              <w:jc w:val="right"/>
              <w:rPr>
                <w:rFonts w:ascii="Verdana" w:eastAsia="Times New Roman" w:hAnsi="Verdana" w:cs="Calibri"/>
                <w:b/>
                <w:bCs/>
                <w:color w:val="000000"/>
                <w:sz w:val="15"/>
                <w:szCs w:val="15"/>
                <w:lang w:eastAsia="it-IT"/>
              </w:rPr>
            </w:pPr>
            <w:r w:rsidRPr="009B45C5">
              <w:rPr>
                <w:rFonts w:ascii="Verdana" w:eastAsia="Times New Roman" w:hAnsi="Verdana" w:cs="Calibri"/>
                <w:b/>
                <w:bCs/>
                <w:color w:val="000000"/>
                <w:sz w:val="15"/>
                <w:szCs w:val="15"/>
                <w:lang w:eastAsia="it-IT"/>
              </w:rPr>
              <w:t>EXP2015</w:t>
            </w:r>
          </w:p>
        </w:tc>
        <w:tc>
          <w:tcPr>
            <w:tcW w:w="1139" w:type="dxa"/>
            <w:tcBorders>
              <w:top w:val="single" w:sz="8" w:space="0" w:color="000000"/>
              <w:left w:val="nil"/>
              <w:bottom w:val="single" w:sz="8" w:space="0" w:color="000000"/>
              <w:right w:val="nil"/>
            </w:tcBorders>
            <w:shd w:val="clear" w:color="auto" w:fill="auto"/>
            <w:vAlign w:val="center"/>
            <w:hideMark/>
          </w:tcPr>
          <w:p w:rsidR="00D97A4F" w:rsidRPr="009B45C5" w:rsidRDefault="00D97A4F" w:rsidP="00D97A4F">
            <w:pPr>
              <w:spacing w:after="0" w:line="240" w:lineRule="auto"/>
              <w:jc w:val="right"/>
              <w:rPr>
                <w:rFonts w:ascii="Verdana" w:eastAsia="Times New Roman" w:hAnsi="Verdana" w:cs="Calibri"/>
                <w:b/>
                <w:bCs/>
                <w:color w:val="000000"/>
                <w:sz w:val="15"/>
                <w:szCs w:val="15"/>
                <w:lang w:eastAsia="it-IT"/>
              </w:rPr>
            </w:pPr>
            <w:r w:rsidRPr="009B45C5">
              <w:rPr>
                <w:rFonts w:ascii="Verdana" w:eastAsia="Times New Roman" w:hAnsi="Verdana" w:cs="Calibri"/>
                <w:b/>
                <w:bCs/>
                <w:color w:val="000000"/>
                <w:sz w:val="15"/>
                <w:szCs w:val="15"/>
                <w:lang w:eastAsia="it-IT"/>
              </w:rPr>
              <w:t>EXP2016</w:t>
            </w:r>
          </w:p>
        </w:tc>
        <w:tc>
          <w:tcPr>
            <w:tcW w:w="1118" w:type="dxa"/>
            <w:tcBorders>
              <w:top w:val="single" w:sz="8" w:space="0" w:color="000000"/>
              <w:left w:val="nil"/>
              <w:bottom w:val="single" w:sz="8" w:space="0" w:color="000000"/>
              <w:right w:val="nil"/>
            </w:tcBorders>
            <w:shd w:val="clear" w:color="auto" w:fill="auto"/>
            <w:vAlign w:val="center"/>
            <w:hideMark/>
          </w:tcPr>
          <w:p w:rsidR="00D97A4F" w:rsidRPr="009B45C5" w:rsidRDefault="00D97A4F" w:rsidP="00D97A4F">
            <w:pPr>
              <w:spacing w:after="0" w:line="240" w:lineRule="auto"/>
              <w:jc w:val="right"/>
              <w:rPr>
                <w:rFonts w:ascii="Verdana" w:eastAsia="Times New Roman" w:hAnsi="Verdana" w:cs="Calibri"/>
                <w:b/>
                <w:bCs/>
                <w:color w:val="000000"/>
                <w:sz w:val="15"/>
                <w:szCs w:val="15"/>
                <w:lang w:eastAsia="it-IT"/>
              </w:rPr>
            </w:pPr>
            <w:r w:rsidRPr="009B45C5">
              <w:rPr>
                <w:rFonts w:ascii="Verdana" w:eastAsia="Times New Roman" w:hAnsi="Verdana" w:cs="Calibri"/>
                <w:b/>
                <w:bCs/>
                <w:color w:val="000000"/>
                <w:sz w:val="15"/>
                <w:szCs w:val="15"/>
                <w:lang w:eastAsia="it-IT"/>
              </w:rPr>
              <w:t>EXP2017</w:t>
            </w:r>
          </w:p>
        </w:tc>
      </w:tr>
      <w:tr w:rsidR="00D97A4F" w:rsidRPr="009B45C5" w:rsidTr="00D97A4F">
        <w:trPr>
          <w:trHeight w:val="300"/>
        </w:trPr>
        <w:tc>
          <w:tcPr>
            <w:tcW w:w="3091"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AA-Prodotti dell'agricoltura</w:t>
            </w:r>
          </w:p>
        </w:tc>
        <w:tc>
          <w:tcPr>
            <w:tcW w:w="11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27.220.837</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31.145.243</w:t>
            </w:r>
          </w:p>
        </w:tc>
        <w:tc>
          <w:tcPr>
            <w:tcW w:w="1195"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35.069.007</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10.794.560</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9.719.028</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7.592.579</w:t>
            </w:r>
          </w:p>
        </w:tc>
      </w:tr>
      <w:tr w:rsidR="00D97A4F" w:rsidRPr="009B45C5" w:rsidTr="00D97A4F">
        <w:trPr>
          <w:trHeight w:val="300"/>
        </w:trPr>
        <w:tc>
          <w:tcPr>
            <w:tcW w:w="3091"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 xml:space="preserve">BB-Prodotti dell'estrazione di minerali </w:t>
            </w:r>
          </w:p>
        </w:tc>
        <w:tc>
          <w:tcPr>
            <w:tcW w:w="11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22.336.855</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17.537.387</w:t>
            </w:r>
          </w:p>
        </w:tc>
        <w:tc>
          <w:tcPr>
            <w:tcW w:w="1195"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17.401.374</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26.015.730</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28.178.645</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35.491.872</w:t>
            </w:r>
          </w:p>
        </w:tc>
      </w:tr>
      <w:tr w:rsidR="00D97A4F" w:rsidRPr="009B45C5" w:rsidTr="00D97A4F">
        <w:trPr>
          <w:trHeight w:val="300"/>
        </w:trPr>
        <w:tc>
          <w:tcPr>
            <w:tcW w:w="3091"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CA-alimentari, bevande e tabacco</w:t>
            </w:r>
          </w:p>
        </w:tc>
        <w:tc>
          <w:tcPr>
            <w:tcW w:w="11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300.317.847</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236.501.201</w:t>
            </w:r>
          </w:p>
        </w:tc>
        <w:tc>
          <w:tcPr>
            <w:tcW w:w="1195"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275.566.006</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307.122.040</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298.024.421</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298.923.167</w:t>
            </w:r>
          </w:p>
        </w:tc>
      </w:tr>
      <w:tr w:rsidR="00D97A4F" w:rsidRPr="009B45C5" w:rsidTr="00D97A4F">
        <w:trPr>
          <w:trHeight w:val="300"/>
        </w:trPr>
        <w:tc>
          <w:tcPr>
            <w:tcW w:w="3091"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 xml:space="preserve">CB-Prodotti tessili, abbigliamento, pelli </w:t>
            </w:r>
          </w:p>
        </w:tc>
        <w:tc>
          <w:tcPr>
            <w:tcW w:w="11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173.069.051</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164.577.584</w:t>
            </w:r>
          </w:p>
        </w:tc>
        <w:tc>
          <w:tcPr>
            <w:tcW w:w="1195"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139.093.483</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393.482.095</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353.845.171</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319.702.673</w:t>
            </w:r>
          </w:p>
        </w:tc>
      </w:tr>
      <w:tr w:rsidR="00D97A4F" w:rsidRPr="009B45C5" w:rsidTr="00D97A4F">
        <w:trPr>
          <w:trHeight w:val="300"/>
        </w:trPr>
        <w:tc>
          <w:tcPr>
            <w:tcW w:w="3091"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CC-Legno e prodotti in legno; carta e stampa</w:t>
            </w:r>
          </w:p>
        </w:tc>
        <w:tc>
          <w:tcPr>
            <w:tcW w:w="11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695.717.802</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631.325.159</w:t>
            </w:r>
          </w:p>
        </w:tc>
        <w:tc>
          <w:tcPr>
            <w:tcW w:w="1195"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691.085.003</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949.209.155</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942.332.592</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968.433.548</w:t>
            </w:r>
          </w:p>
        </w:tc>
      </w:tr>
      <w:tr w:rsidR="00D97A4F" w:rsidRPr="009B45C5" w:rsidTr="00D97A4F">
        <w:trPr>
          <w:trHeight w:val="300"/>
        </w:trPr>
        <w:tc>
          <w:tcPr>
            <w:tcW w:w="3091"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CD-Coke e prodotti petroliferi raffinati</w:t>
            </w:r>
          </w:p>
        </w:tc>
        <w:tc>
          <w:tcPr>
            <w:tcW w:w="11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880.890</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923.658</w:t>
            </w:r>
          </w:p>
        </w:tc>
        <w:tc>
          <w:tcPr>
            <w:tcW w:w="1195"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837.904</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614.568</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560.997</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596.315</w:t>
            </w:r>
          </w:p>
        </w:tc>
      </w:tr>
      <w:tr w:rsidR="00D97A4F" w:rsidRPr="009B45C5" w:rsidTr="00D97A4F">
        <w:trPr>
          <w:trHeight w:val="300"/>
        </w:trPr>
        <w:tc>
          <w:tcPr>
            <w:tcW w:w="3091"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CE-Sostanze e prodotti chimici</w:t>
            </w:r>
          </w:p>
        </w:tc>
        <w:tc>
          <w:tcPr>
            <w:tcW w:w="11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134.771.761</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131.235.543</w:t>
            </w:r>
          </w:p>
        </w:tc>
        <w:tc>
          <w:tcPr>
            <w:tcW w:w="1195"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150.296.357</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29.985.142</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34.638.059</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36.726.105</w:t>
            </w:r>
          </w:p>
        </w:tc>
      </w:tr>
      <w:tr w:rsidR="00D97A4F" w:rsidRPr="009B45C5" w:rsidTr="00D97A4F">
        <w:trPr>
          <w:trHeight w:val="300"/>
        </w:trPr>
        <w:tc>
          <w:tcPr>
            <w:tcW w:w="3091"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CF-Articoli farmaceutici</w:t>
            </w:r>
          </w:p>
        </w:tc>
        <w:tc>
          <w:tcPr>
            <w:tcW w:w="11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121.288.301</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116.708.955</w:t>
            </w:r>
          </w:p>
        </w:tc>
        <w:tc>
          <w:tcPr>
            <w:tcW w:w="1195"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99.020.871</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113.120.996</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111.814.806</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132.089.952</w:t>
            </w:r>
          </w:p>
        </w:tc>
      </w:tr>
      <w:tr w:rsidR="00D97A4F" w:rsidRPr="009B45C5" w:rsidTr="00D97A4F">
        <w:trPr>
          <w:trHeight w:val="300"/>
        </w:trPr>
        <w:tc>
          <w:tcPr>
            <w:tcW w:w="3091"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CG-Articoli in plastica e min.non metalliferi</w:t>
            </w:r>
          </w:p>
        </w:tc>
        <w:tc>
          <w:tcPr>
            <w:tcW w:w="11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53.442.744</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55.132.396</w:t>
            </w:r>
          </w:p>
        </w:tc>
        <w:tc>
          <w:tcPr>
            <w:tcW w:w="1195"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53.768.379</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238.506.263</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239.243.045</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234.920.233</w:t>
            </w:r>
          </w:p>
        </w:tc>
      </w:tr>
      <w:tr w:rsidR="00D97A4F" w:rsidRPr="009B45C5" w:rsidTr="00D97A4F">
        <w:trPr>
          <w:trHeight w:val="300"/>
        </w:trPr>
        <w:tc>
          <w:tcPr>
            <w:tcW w:w="3091"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CH-Metalli di base e prodotti in metallo</w:t>
            </w:r>
          </w:p>
        </w:tc>
        <w:tc>
          <w:tcPr>
            <w:tcW w:w="11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121.300.891</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179.696.924</w:t>
            </w:r>
          </w:p>
        </w:tc>
        <w:tc>
          <w:tcPr>
            <w:tcW w:w="1195"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126.527.344</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221.112.019</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167.569.689</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229.347.225</w:t>
            </w:r>
          </w:p>
        </w:tc>
      </w:tr>
      <w:tr w:rsidR="00D97A4F" w:rsidRPr="009B45C5" w:rsidTr="00D97A4F">
        <w:trPr>
          <w:trHeight w:val="300"/>
        </w:trPr>
        <w:tc>
          <w:tcPr>
            <w:tcW w:w="3091"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CI-Computer, app. elettronici e ottici</w:t>
            </w:r>
          </w:p>
        </w:tc>
        <w:tc>
          <w:tcPr>
            <w:tcW w:w="11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37.637.863</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39.998.066</w:t>
            </w:r>
          </w:p>
        </w:tc>
        <w:tc>
          <w:tcPr>
            <w:tcW w:w="1195"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39.636.214</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34.005.154</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38.855.866</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33.655.482</w:t>
            </w:r>
          </w:p>
        </w:tc>
      </w:tr>
      <w:tr w:rsidR="00D97A4F" w:rsidRPr="009B45C5" w:rsidTr="00D97A4F">
        <w:trPr>
          <w:trHeight w:val="300"/>
        </w:trPr>
        <w:tc>
          <w:tcPr>
            <w:tcW w:w="3091"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CJ-Apparecchi elettrici</w:t>
            </w:r>
          </w:p>
        </w:tc>
        <w:tc>
          <w:tcPr>
            <w:tcW w:w="11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22.004.882</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23.248.894</w:t>
            </w:r>
          </w:p>
        </w:tc>
        <w:tc>
          <w:tcPr>
            <w:tcW w:w="1195"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23.594.547</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185.892.051</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193.210.113</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208.270.732</w:t>
            </w:r>
          </w:p>
        </w:tc>
      </w:tr>
      <w:tr w:rsidR="00D97A4F" w:rsidRPr="009B45C5" w:rsidTr="00D97A4F">
        <w:trPr>
          <w:trHeight w:val="300"/>
        </w:trPr>
        <w:tc>
          <w:tcPr>
            <w:tcW w:w="3091"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CK-Macchinari e apparecchi</w:t>
            </w:r>
          </w:p>
        </w:tc>
        <w:tc>
          <w:tcPr>
            <w:tcW w:w="11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133.771.459</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128.709.451</w:t>
            </w:r>
          </w:p>
        </w:tc>
        <w:tc>
          <w:tcPr>
            <w:tcW w:w="1195"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144.295.139</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685.650.103</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746.873.809</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705.906.354</w:t>
            </w:r>
          </w:p>
        </w:tc>
      </w:tr>
      <w:tr w:rsidR="00D97A4F" w:rsidRPr="009B45C5" w:rsidTr="00D97A4F">
        <w:trPr>
          <w:trHeight w:val="300"/>
        </w:trPr>
        <w:tc>
          <w:tcPr>
            <w:tcW w:w="3091"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CL-Mezzi di trasporto</w:t>
            </w:r>
          </w:p>
        </w:tc>
        <w:tc>
          <w:tcPr>
            <w:tcW w:w="11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56.631.774</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59.368.984</w:t>
            </w:r>
          </w:p>
        </w:tc>
        <w:tc>
          <w:tcPr>
            <w:tcW w:w="1195"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27.454.177</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651.930.323</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478.664.181</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584.517.880</w:t>
            </w:r>
          </w:p>
        </w:tc>
      </w:tr>
      <w:tr w:rsidR="00D97A4F" w:rsidRPr="009B45C5" w:rsidTr="00D97A4F">
        <w:trPr>
          <w:trHeight w:val="300"/>
        </w:trPr>
        <w:tc>
          <w:tcPr>
            <w:tcW w:w="3091"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CM-Prodotti delle altre attività manifatturiere</w:t>
            </w:r>
          </w:p>
        </w:tc>
        <w:tc>
          <w:tcPr>
            <w:tcW w:w="11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25.306.966</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25.583.497</w:t>
            </w:r>
          </w:p>
        </w:tc>
        <w:tc>
          <w:tcPr>
            <w:tcW w:w="1195"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25.289.307</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34.721.771</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34.730.370</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31.539.186</w:t>
            </w:r>
          </w:p>
        </w:tc>
      </w:tr>
      <w:tr w:rsidR="00D97A4F" w:rsidRPr="009B45C5" w:rsidTr="00D97A4F">
        <w:trPr>
          <w:trHeight w:val="300"/>
        </w:trPr>
        <w:tc>
          <w:tcPr>
            <w:tcW w:w="3091"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EE-Trattamento dei rifiuti e risanamento</w:t>
            </w:r>
          </w:p>
        </w:tc>
        <w:tc>
          <w:tcPr>
            <w:tcW w:w="11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57.412.769</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43.600.502</w:t>
            </w:r>
          </w:p>
        </w:tc>
        <w:tc>
          <w:tcPr>
            <w:tcW w:w="1195"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44.457.487</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47.749.351</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57.005.504</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39.005.624</w:t>
            </w:r>
          </w:p>
        </w:tc>
      </w:tr>
      <w:tr w:rsidR="00D97A4F" w:rsidRPr="009B45C5" w:rsidTr="00D97A4F">
        <w:trPr>
          <w:trHeight w:val="300"/>
        </w:trPr>
        <w:tc>
          <w:tcPr>
            <w:tcW w:w="3091"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JA-Editoria e audiovisivi;</w:t>
            </w:r>
          </w:p>
        </w:tc>
        <w:tc>
          <w:tcPr>
            <w:tcW w:w="11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1.094.303</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1.318.209</w:t>
            </w:r>
          </w:p>
        </w:tc>
        <w:tc>
          <w:tcPr>
            <w:tcW w:w="1195"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929.039</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7.641.096</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7.635.495</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6.949.703</w:t>
            </w:r>
          </w:p>
        </w:tc>
      </w:tr>
      <w:tr w:rsidR="00D97A4F" w:rsidRPr="009B45C5" w:rsidTr="00D97A4F">
        <w:trPr>
          <w:trHeight w:val="300"/>
        </w:trPr>
        <w:tc>
          <w:tcPr>
            <w:tcW w:w="3091"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MC-Altre attività profess. scientifiche e tecn.</w:t>
            </w:r>
          </w:p>
        </w:tc>
        <w:tc>
          <w:tcPr>
            <w:tcW w:w="11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39.599</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52.392</w:t>
            </w:r>
          </w:p>
        </w:tc>
        <w:tc>
          <w:tcPr>
            <w:tcW w:w="1195"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0</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0</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0</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0</w:t>
            </w:r>
          </w:p>
        </w:tc>
      </w:tr>
      <w:tr w:rsidR="00D97A4F" w:rsidRPr="009B45C5" w:rsidTr="00D97A4F">
        <w:trPr>
          <w:trHeight w:val="300"/>
        </w:trPr>
        <w:tc>
          <w:tcPr>
            <w:tcW w:w="3091"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 xml:space="preserve">RR-Attività artistiche, di intrattenimento </w:t>
            </w:r>
          </w:p>
        </w:tc>
        <w:tc>
          <w:tcPr>
            <w:tcW w:w="11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2.372.527</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989.237</w:t>
            </w:r>
          </w:p>
        </w:tc>
        <w:tc>
          <w:tcPr>
            <w:tcW w:w="1195"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870.146</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9.702.690</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14.067.387</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12.718.778</w:t>
            </w:r>
          </w:p>
        </w:tc>
      </w:tr>
      <w:tr w:rsidR="00D97A4F" w:rsidRPr="009B45C5" w:rsidTr="00D97A4F">
        <w:trPr>
          <w:trHeight w:val="300"/>
        </w:trPr>
        <w:tc>
          <w:tcPr>
            <w:tcW w:w="3091"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VV-Provviste di bordo, merci varie</w:t>
            </w:r>
          </w:p>
        </w:tc>
        <w:tc>
          <w:tcPr>
            <w:tcW w:w="11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449.636</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452.839</w:t>
            </w:r>
          </w:p>
        </w:tc>
        <w:tc>
          <w:tcPr>
            <w:tcW w:w="1195"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833.036</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15.843.602</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11.451.611</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12.463.907</w:t>
            </w:r>
          </w:p>
        </w:tc>
      </w:tr>
      <w:tr w:rsidR="00D97A4F" w:rsidRPr="009B45C5" w:rsidTr="00D97A4F">
        <w:trPr>
          <w:trHeight w:val="315"/>
        </w:trPr>
        <w:tc>
          <w:tcPr>
            <w:tcW w:w="3091"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b/>
                <w:bCs/>
                <w:color w:val="000000"/>
                <w:sz w:val="15"/>
                <w:szCs w:val="15"/>
                <w:lang w:eastAsia="it-IT"/>
              </w:rPr>
            </w:pPr>
            <w:r w:rsidRPr="009B45C5">
              <w:rPr>
                <w:rFonts w:ascii="Verdana" w:eastAsia="Times New Roman" w:hAnsi="Verdana" w:cs="Calibri"/>
                <w:b/>
                <w:bCs/>
                <w:color w:val="000000"/>
                <w:sz w:val="15"/>
                <w:szCs w:val="15"/>
                <w:lang w:eastAsia="it-IT"/>
              </w:rPr>
              <w:t>Totale</w:t>
            </w:r>
          </w:p>
        </w:tc>
        <w:tc>
          <w:tcPr>
            <w:tcW w:w="11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1.987.068.757</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1.888.106.121</w:t>
            </w:r>
          </w:p>
        </w:tc>
        <w:tc>
          <w:tcPr>
            <w:tcW w:w="1195"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1.896.024.820</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3.963.098.709</w:t>
            </w:r>
          </w:p>
        </w:tc>
        <w:tc>
          <w:tcPr>
            <w:tcW w:w="1139"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3.768.420.789</w:t>
            </w:r>
          </w:p>
        </w:tc>
        <w:tc>
          <w:tcPr>
            <w:tcW w:w="1118" w:type="dxa"/>
            <w:tcBorders>
              <w:top w:val="nil"/>
              <w:left w:val="nil"/>
              <w:bottom w:val="nil"/>
              <w:right w:val="nil"/>
            </w:tcBorders>
            <w:shd w:val="clear" w:color="auto" w:fill="auto"/>
            <w:vAlign w:val="bottom"/>
            <w:hideMark/>
          </w:tcPr>
          <w:p w:rsidR="00D97A4F" w:rsidRPr="009B45C5" w:rsidRDefault="00D97A4F" w:rsidP="00D97A4F">
            <w:pPr>
              <w:spacing w:after="0" w:line="240" w:lineRule="auto"/>
              <w:jc w:val="right"/>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3.898.851.315</w:t>
            </w:r>
          </w:p>
        </w:tc>
      </w:tr>
    </w:tbl>
    <w:p w:rsidR="00D97A4F" w:rsidRPr="00563DAE" w:rsidRDefault="00563DAE" w:rsidP="00D97A4F">
      <w:pPr>
        <w:rPr>
          <w:sz w:val="18"/>
          <w:szCs w:val="18"/>
        </w:rPr>
      </w:pPr>
      <w:r w:rsidRPr="00563DAE">
        <w:rPr>
          <w:sz w:val="18"/>
          <w:szCs w:val="18"/>
        </w:rPr>
        <w:t>Fonte: banca dati COEWEB ISTAT</w:t>
      </w:r>
    </w:p>
    <w:p w:rsidR="00563DAE" w:rsidRDefault="00563DAE" w:rsidP="00D97A4F"/>
    <w:p w:rsidR="00D97A4F" w:rsidRDefault="00D97A4F" w:rsidP="00D97A4F">
      <w:pPr>
        <w:jc w:val="both"/>
      </w:pPr>
      <w:r>
        <w:t>Il dato complessivo segna un forte saldo attivo (anche se il dato dell’import tende ad essere sottovalutato, essendo spesso assegnato alla prima provincia di importazione, ad es. al porto di Livorno). E’ comunque chiaro che i settori portanti dell’export netto sono i mezzi di trasporto (inclusa la nautica da diporto), con un saldo di 557 milioni nel 2017, i macchinari (saldo di 562 milioni), il cartario (incluso legno, mo</w:t>
      </w:r>
      <w:r w:rsidR="00563DAE">
        <w:t xml:space="preserve">bilio </w:t>
      </w:r>
      <w:r>
        <w:t>e stampa), con un saldo di 277 milioni, le apparecchiature elettriche (184 milioni) e i prodotti in gomma e plastica (181 milioni) e il “sistema moda” (circa 180 milioni di export al netto dell’import). L’export del settore metalmeccanico incide sul totale per il 45%, seguito dal cartario-mobiliero )25%), dal sistema moda (8%), dall’alimentare (8%) e dai prodotti in plastica e minerali non metalliferi (6%)</w:t>
      </w:r>
      <w:r w:rsidR="00563DAE">
        <w:t>.</w:t>
      </w:r>
    </w:p>
    <w:p w:rsidR="00D97A4F" w:rsidRDefault="00563DAE" w:rsidP="00563DAE">
      <w:pPr>
        <w:jc w:val="both"/>
      </w:pPr>
      <w:r>
        <w:t xml:space="preserve">Alimentare, calzaturiero, cartario, nautica da diporto, costruzioni meccaniche, metallurgia, prodotti in plastica e lavorazioni del marmo costituiscono dunque la “base di esportazioni” dell’economia lucchese, ovvero i settori che danno un ruolo all’economia del territorio, essendo capaci di esportare merci su scala mondiale o almeno europea. </w:t>
      </w:r>
    </w:p>
    <w:p w:rsidR="00563DAE" w:rsidRDefault="00563DAE" w:rsidP="00D97A4F"/>
    <w:p w:rsidR="00563DAE" w:rsidRPr="00563DAE" w:rsidRDefault="00563DAE" w:rsidP="00D97A4F">
      <w:pPr>
        <w:rPr>
          <w:i/>
        </w:rPr>
      </w:pPr>
      <w:r w:rsidRPr="00563DAE">
        <w:rPr>
          <w:i/>
        </w:rPr>
        <w:t>Tab. 13 – saldo della bilancia commerciale, composizione delle esportazioni e variazione export import.</w:t>
      </w:r>
    </w:p>
    <w:tbl>
      <w:tblPr>
        <w:tblW w:w="7940" w:type="dxa"/>
        <w:tblCellMar>
          <w:left w:w="70" w:type="dxa"/>
          <w:right w:w="70" w:type="dxa"/>
        </w:tblCellMar>
        <w:tblLook w:val="04A0" w:firstRow="1" w:lastRow="0" w:firstColumn="1" w:lastColumn="0" w:noHBand="0" w:noVBand="1"/>
      </w:tblPr>
      <w:tblGrid>
        <w:gridCol w:w="3220"/>
        <w:gridCol w:w="1360"/>
        <w:gridCol w:w="1020"/>
        <w:gridCol w:w="1200"/>
        <w:gridCol w:w="1140"/>
      </w:tblGrid>
      <w:tr w:rsidR="00D97A4F" w:rsidRPr="009B45C5" w:rsidTr="00D97A4F">
        <w:trPr>
          <w:trHeight w:val="405"/>
        </w:trPr>
        <w:tc>
          <w:tcPr>
            <w:tcW w:w="3220" w:type="dxa"/>
            <w:tcBorders>
              <w:top w:val="single" w:sz="8" w:space="0" w:color="000000"/>
              <w:left w:val="nil"/>
              <w:bottom w:val="single" w:sz="8" w:space="0" w:color="000000"/>
              <w:right w:val="nil"/>
            </w:tcBorders>
            <w:shd w:val="clear" w:color="auto" w:fill="auto"/>
            <w:vAlign w:val="center"/>
            <w:hideMark/>
          </w:tcPr>
          <w:p w:rsidR="00D97A4F" w:rsidRPr="009B45C5" w:rsidRDefault="00D97A4F" w:rsidP="00D97A4F">
            <w:pPr>
              <w:spacing w:after="0" w:line="240" w:lineRule="auto"/>
              <w:rPr>
                <w:rFonts w:ascii="Verdana" w:eastAsia="Times New Roman" w:hAnsi="Verdana" w:cs="Calibri"/>
                <w:b/>
                <w:bCs/>
                <w:color w:val="000000"/>
                <w:sz w:val="15"/>
                <w:szCs w:val="15"/>
                <w:lang w:eastAsia="it-IT"/>
              </w:rPr>
            </w:pPr>
            <w:r w:rsidRPr="009B45C5">
              <w:rPr>
                <w:rFonts w:ascii="Verdana" w:eastAsia="Times New Roman" w:hAnsi="Verdana" w:cs="Calibri"/>
                <w:b/>
                <w:bCs/>
                <w:color w:val="000000"/>
                <w:sz w:val="15"/>
                <w:szCs w:val="15"/>
                <w:lang w:eastAsia="it-IT"/>
              </w:rPr>
              <w:t>Pseudo-sottosezioni</w:t>
            </w:r>
          </w:p>
        </w:tc>
        <w:tc>
          <w:tcPr>
            <w:tcW w:w="1360" w:type="dxa"/>
            <w:tcBorders>
              <w:top w:val="single" w:sz="8" w:space="0" w:color="000000"/>
              <w:left w:val="nil"/>
              <w:bottom w:val="single" w:sz="8" w:space="0" w:color="000000"/>
              <w:right w:val="nil"/>
            </w:tcBorders>
            <w:shd w:val="clear" w:color="auto" w:fill="auto"/>
            <w:vAlign w:val="center"/>
            <w:hideMark/>
          </w:tcPr>
          <w:p w:rsidR="00D97A4F" w:rsidRPr="009B45C5" w:rsidRDefault="00D97A4F" w:rsidP="00D97A4F">
            <w:pPr>
              <w:spacing w:after="0" w:line="240" w:lineRule="auto"/>
              <w:rPr>
                <w:rFonts w:ascii="Verdana" w:eastAsia="Times New Roman" w:hAnsi="Verdana" w:cs="Calibri"/>
                <w:b/>
                <w:bCs/>
                <w:color w:val="000000"/>
                <w:sz w:val="15"/>
                <w:szCs w:val="15"/>
                <w:lang w:eastAsia="it-IT"/>
              </w:rPr>
            </w:pPr>
            <w:r w:rsidRPr="009B45C5">
              <w:rPr>
                <w:rFonts w:ascii="Verdana" w:eastAsia="Times New Roman" w:hAnsi="Verdana" w:cs="Calibri"/>
                <w:b/>
                <w:bCs/>
                <w:color w:val="000000"/>
                <w:sz w:val="15"/>
                <w:szCs w:val="15"/>
                <w:lang w:eastAsia="it-IT"/>
              </w:rPr>
              <w:t>saldo 2017</w:t>
            </w:r>
          </w:p>
        </w:tc>
        <w:tc>
          <w:tcPr>
            <w:tcW w:w="1020" w:type="dxa"/>
            <w:tcBorders>
              <w:top w:val="single" w:sz="8" w:space="0" w:color="000000"/>
              <w:left w:val="nil"/>
              <w:bottom w:val="single" w:sz="8" w:space="0" w:color="000000"/>
              <w:right w:val="nil"/>
            </w:tcBorders>
            <w:shd w:val="clear" w:color="auto" w:fill="auto"/>
            <w:vAlign w:val="center"/>
            <w:hideMark/>
          </w:tcPr>
          <w:p w:rsidR="00D97A4F" w:rsidRPr="009B45C5" w:rsidRDefault="00D97A4F" w:rsidP="00D97A4F">
            <w:pPr>
              <w:spacing w:after="0" w:line="240" w:lineRule="auto"/>
              <w:rPr>
                <w:rFonts w:ascii="Verdana" w:eastAsia="Times New Roman" w:hAnsi="Verdana" w:cs="Calibri"/>
                <w:b/>
                <w:bCs/>
                <w:color w:val="000000"/>
                <w:sz w:val="15"/>
                <w:szCs w:val="15"/>
                <w:lang w:eastAsia="it-IT"/>
              </w:rPr>
            </w:pPr>
            <w:r w:rsidRPr="009B45C5">
              <w:rPr>
                <w:rFonts w:ascii="Verdana" w:eastAsia="Times New Roman" w:hAnsi="Verdana" w:cs="Calibri"/>
                <w:b/>
                <w:bCs/>
                <w:color w:val="000000"/>
                <w:sz w:val="15"/>
                <w:szCs w:val="15"/>
                <w:lang w:eastAsia="it-IT"/>
              </w:rPr>
              <w:t>comp.% 2017</w:t>
            </w:r>
          </w:p>
        </w:tc>
        <w:tc>
          <w:tcPr>
            <w:tcW w:w="1200" w:type="dxa"/>
            <w:tcBorders>
              <w:top w:val="single" w:sz="8" w:space="0" w:color="000000"/>
              <w:left w:val="nil"/>
              <w:bottom w:val="single" w:sz="8" w:space="0" w:color="000000"/>
              <w:right w:val="nil"/>
            </w:tcBorders>
            <w:shd w:val="clear" w:color="auto" w:fill="auto"/>
            <w:vAlign w:val="center"/>
            <w:hideMark/>
          </w:tcPr>
          <w:p w:rsidR="00D97A4F" w:rsidRPr="009B45C5" w:rsidRDefault="00D97A4F" w:rsidP="00D97A4F">
            <w:pPr>
              <w:spacing w:after="0" w:line="240" w:lineRule="auto"/>
              <w:rPr>
                <w:rFonts w:ascii="Verdana" w:eastAsia="Times New Roman" w:hAnsi="Verdana" w:cs="Calibri"/>
                <w:b/>
                <w:bCs/>
                <w:color w:val="000000"/>
                <w:sz w:val="15"/>
                <w:szCs w:val="15"/>
                <w:lang w:eastAsia="it-IT"/>
              </w:rPr>
            </w:pPr>
            <w:r w:rsidRPr="009B45C5">
              <w:rPr>
                <w:rFonts w:ascii="Verdana" w:eastAsia="Times New Roman" w:hAnsi="Verdana" w:cs="Calibri"/>
                <w:b/>
                <w:bCs/>
                <w:color w:val="000000"/>
                <w:sz w:val="15"/>
                <w:szCs w:val="15"/>
                <w:lang w:eastAsia="it-IT"/>
              </w:rPr>
              <w:t>var. 2015-2017</w:t>
            </w:r>
          </w:p>
        </w:tc>
        <w:tc>
          <w:tcPr>
            <w:tcW w:w="1140" w:type="dxa"/>
            <w:tcBorders>
              <w:top w:val="single" w:sz="8" w:space="0" w:color="000000"/>
              <w:left w:val="nil"/>
              <w:bottom w:val="single" w:sz="8" w:space="0" w:color="000000"/>
              <w:right w:val="nil"/>
            </w:tcBorders>
            <w:shd w:val="clear" w:color="auto" w:fill="auto"/>
            <w:vAlign w:val="center"/>
            <w:hideMark/>
          </w:tcPr>
          <w:p w:rsidR="00D97A4F" w:rsidRPr="009B45C5" w:rsidRDefault="00D97A4F" w:rsidP="00D97A4F">
            <w:pPr>
              <w:spacing w:after="0" w:line="240" w:lineRule="auto"/>
              <w:rPr>
                <w:rFonts w:ascii="Verdana" w:eastAsia="Times New Roman" w:hAnsi="Verdana" w:cs="Calibri"/>
                <w:b/>
                <w:bCs/>
                <w:color w:val="000000"/>
                <w:sz w:val="15"/>
                <w:szCs w:val="15"/>
                <w:lang w:eastAsia="it-IT"/>
              </w:rPr>
            </w:pPr>
            <w:r w:rsidRPr="009B45C5">
              <w:rPr>
                <w:rFonts w:ascii="Verdana" w:eastAsia="Times New Roman" w:hAnsi="Verdana" w:cs="Calibri"/>
                <w:b/>
                <w:bCs/>
                <w:color w:val="000000"/>
                <w:sz w:val="15"/>
                <w:szCs w:val="15"/>
                <w:lang w:eastAsia="it-IT"/>
              </w:rPr>
              <w:t>var. 2016-2017</w:t>
            </w:r>
          </w:p>
        </w:tc>
      </w:tr>
      <w:tr w:rsidR="00D97A4F" w:rsidRPr="009B45C5" w:rsidTr="00D97A4F">
        <w:trPr>
          <w:trHeight w:val="420"/>
        </w:trPr>
        <w:tc>
          <w:tcPr>
            <w:tcW w:w="32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AA-Prodotti dell'agricoltura, della silvicoltura e della pesca</w:t>
            </w:r>
          </w:p>
        </w:tc>
        <w:tc>
          <w:tcPr>
            <w:tcW w:w="136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-27.476.428</w:t>
            </w:r>
          </w:p>
        </w:tc>
        <w:tc>
          <w:tcPr>
            <w:tcW w:w="102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0,2%</w:t>
            </w:r>
          </w:p>
        </w:tc>
        <w:tc>
          <w:tcPr>
            <w:tcW w:w="120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-30%</w:t>
            </w:r>
          </w:p>
        </w:tc>
        <w:tc>
          <w:tcPr>
            <w:tcW w:w="114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-22%</w:t>
            </w:r>
          </w:p>
        </w:tc>
      </w:tr>
      <w:tr w:rsidR="00D97A4F" w:rsidRPr="009B45C5" w:rsidTr="00D97A4F">
        <w:trPr>
          <w:trHeight w:val="420"/>
        </w:trPr>
        <w:tc>
          <w:tcPr>
            <w:tcW w:w="32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BB-Prodotti dell'estrazione di minerali da cave e miniere</w:t>
            </w:r>
          </w:p>
        </w:tc>
        <w:tc>
          <w:tcPr>
            <w:tcW w:w="136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18.090.498</w:t>
            </w:r>
          </w:p>
        </w:tc>
        <w:tc>
          <w:tcPr>
            <w:tcW w:w="102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0,9%</w:t>
            </w:r>
          </w:p>
        </w:tc>
        <w:tc>
          <w:tcPr>
            <w:tcW w:w="120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36%</w:t>
            </w:r>
          </w:p>
        </w:tc>
        <w:tc>
          <w:tcPr>
            <w:tcW w:w="114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26%</w:t>
            </w:r>
          </w:p>
        </w:tc>
      </w:tr>
      <w:tr w:rsidR="00D97A4F" w:rsidRPr="009B45C5" w:rsidTr="00D97A4F">
        <w:trPr>
          <w:trHeight w:val="300"/>
        </w:trPr>
        <w:tc>
          <w:tcPr>
            <w:tcW w:w="32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CA-Prodotti alimentari, bevande e tabacco</w:t>
            </w:r>
          </w:p>
        </w:tc>
        <w:tc>
          <w:tcPr>
            <w:tcW w:w="136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23.357.161</w:t>
            </w:r>
          </w:p>
        </w:tc>
        <w:tc>
          <w:tcPr>
            <w:tcW w:w="102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7,7%</w:t>
            </w:r>
          </w:p>
        </w:tc>
        <w:tc>
          <w:tcPr>
            <w:tcW w:w="120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-3%</w:t>
            </w:r>
          </w:p>
        </w:tc>
        <w:tc>
          <w:tcPr>
            <w:tcW w:w="114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0%</w:t>
            </w:r>
          </w:p>
        </w:tc>
      </w:tr>
      <w:tr w:rsidR="00D97A4F" w:rsidRPr="009B45C5" w:rsidTr="00D97A4F">
        <w:trPr>
          <w:trHeight w:val="300"/>
        </w:trPr>
        <w:tc>
          <w:tcPr>
            <w:tcW w:w="32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CB-Prodotti tessili, abbigliamento, pelli e accessori</w:t>
            </w:r>
          </w:p>
        </w:tc>
        <w:tc>
          <w:tcPr>
            <w:tcW w:w="136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180.609.190</w:t>
            </w:r>
          </w:p>
        </w:tc>
        <w:tc>
          <w:tcPr>
            <w:tcW w:w="102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8,2%</w:t>
            </w:r>
          </w:p>
        </w:tc>
        <w:tc>
          <w:tcPr>
            <w:tcW w:w="120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-19%</w:t>
            </w:r>
          </w:p>
        </w:tc>
        <w:tc>
          <w:tcPr>
            <w:tcW w:w="114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-10%</w:t>
            </w:r>
          </w:p>
        </w:tc>
      </w:tr>
      <w:tr w:rsidR="00D97A4F" w:rsidRPr="009B45C5" w:rsidTr="00D97A4F">
        <w:trPr>
          <w:trHeight w:val="300"/>
        </w:trPr>
        <w:tc>
          <w:tcPr>
            <w:tcW w:w="32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CC-Legno e prodotti in legno; carta e stampa</w:t>
            </w:r>
          </w:p>
        </w:tc>
        <w:tc>
          <w:tcPr>
            <w:tcW w:w="136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277.348.545</w:t>
            </w:r>
          </w:p>
        </w:tc>
        <w:tc>
          <w:tcPr>
            <w:tcW w:w="102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24,8%</w:t>
            </w:r>
          </w:p>
        </w:tc>
        <w:tc>
          <w:tcPr>
            <w:tcW w:w="120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2%</w:t>
            </w:r>
          </w:p>
        </w:tc>
        <w:tc>
          <w:tcPr>
            <w:tcW w:w="114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3%</w:t>
            </w:r>
          </w:p>
        </w:tc>
      </w:tr>
      <w:tr w:rsidR="00D97A4F" w:rsidRPr="009B45C5" w:rsidTr="00D97A4F">
        <w:trPr>
          <w:trHeight w:val="300"/>
        </w:trPr>
        <w:tc>
          <w:tcPr>
            <w:tcW w:w="32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CD-Coke e prodotti petroliferi raffinati</w:t>
            </w:r>
          </w:p>
        </w:tc>
        <w:tc>
          <w:tcPr>
            <w:tcW w:w="136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-241.589</w:t>
            </w:r>
          </w:p>
        </w:tc>
        <w:tc>
          <w:tcPr>
            <w:tcW w:w="102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0,0%</w:t>
            </w:r>
          </w:p>
        </w:tc>
        <w:tc>
          <w:tcPr>
            <w:tcW w:w="120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-3%</w:t>
            </w:r>
          </w:p>
        </w:tc>
        <w:tc>
          <w:tcPr>
            <w:tcW w:w="114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6%</w:t>
            </w:r>
          </w:p>
        </w:tc>
      </w:tr>
      <w:tr w:rsidR="00D97A4F" w:rsidRPr="009B45C5" w:rsidTr="00D97A4F">
        <w:trPr>
          <w:trHeight w:val="300"/>
        </w:trPr>
        <w:tc>
          <w:tcPr>
            <w:tcW w:w="32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CE-Sostanze e prodotti chimici</w:t>
            </w:r>
          </w:p>
        </w:tc>
        <w:tc>
          <w:tcPr>
            <w:tcW w:w="136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-113.570.252</w:t>
            </w:r>
          </w:p>
        </w:tc>
        <w:tc>
          <w:tcPr>
            <w:tcW w:w="102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0,9%</w:t>
            </w:r>
          </w:p>
        </w:tc>
        <w:tc>
          <w:tcPr>
            <w:tcW w:w="120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22%</w:t>
            </w:r>
          </w:p>
        </w:tc>
        <w:tc>
          <w:tcPr>
            <w:tcW w:w="114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6%</w:t>
            </w:r>
          </w:p>
        </w:tc>
      </w:tr>
      <w:tr w:rsidR="00D97A4F" w:rsidRPr="009B45C5" w:rsidTr="00D97A4F">
        <w:trPr>
          <w:trHeight w:val="420"/>
        </w:trPr>
        <w:tc>
          <w:tcPr>
            <w:tcW w:w="32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CF-Articoli farmaceutici, chimico-medicinali e botanici</w:t>
            </w:r>
          </w:p>
        </w:tc>
        <w:tc>
          <w:tcPr>
            <w:tcW w:w="136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33.069.081</w:t>
            </w:r>
          </w:p>
        </w:tc>
        <w:tc>
          <w:tcPr>
            <w:tcW w:w="102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3,4%</w:t>
            </w:r>
          </w:p>
        </w:tc>
        <w:tc>
          <w:tcPr>
            <w:tcW w:w="120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17%</w:t>
            </w:r>
          </w:p>
        </w:tc>
        <w:tc>
          <w:tcPr>
            <w:tcW w:w="114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18%</w:t>
            </w:r>
          </w:p>
        </w:tc>
      </w:tr>
      <w:tr w:rsidR="00D97A4F" w:rsidRPr="009B45C5" w:rsidTr="00D97A4F">
        <w:trPr>
          <w:trHeight w:val="420"/>
        </w:trPr>
        <w:tc>
          <w:tcPr>
            <w:tcW w:w="32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CG-Articoli in gomma e materie plastiche, altri prodotti della lavorazione di minerali non metalliferi</w:t>
            </w:r>
          </w:p>
        </w:tc>
        <w:tc>
          <w:tcPr>
            <w:tcW w:w="136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181.151.854</w:t>
            </w:r>
          </w:p>
        </w:tc>
        <w:tc>
          <w:tcPr>
            <w:tcW w:w="102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6,0%</w:t>
            </w:r>
          </w:p>
        </w:tc>
        <w:tc>
          <w:tcPr>
            <w:tcW w:w="120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-2%</w:t>
            </w:r>
          </w:p>
        </w:tc>
        <w:tc>
          <w:tcPr>
            <w:tcW w:w="114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-2%</w:t>
            </w:r>
          </w:p>
        </w:tc>
      </w:tr>
      <w:tr w:rsidR="00D97A4F" w:rsidRPr="009B45C5" w:rsidTr="00D97A4F">
        <w:trPr>
          <w:trHeight w:val="420"/>
        </w:trPr>
        <w:tc>
          <w:tcPr>
            <w:tcW w:w="32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CH-Metalli di base e prodotti in metallo, esclusi macchine e impianti</w:t>
            </w:r>
          </w:p>
        </w:tc>
        <w:tc>
          <w:tcPr>
            <w:tcW w:w="136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102.819.881</w:t>
            </w:r>
          </w:p>
        </w:tc>
        <w:tc>
          <w:tcPr>
            <w:tcW w:w="102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5,9%</w:t>
            </w:r>
          </w:p>
        </w:tc>
        <w:tc>
          <w:tcPr>
            <w:tcW w:w="120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4%</w:t>
            </w:r>
          </w:p>
        </w:tc>
        <w:tc>
          <w:tcPr>
            <w:tcW w:w="114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37%</w:t>
            </w:r>
          </w:p>
        </w:tc>
      </w:tr>
      <w:tr w:rsidR="00D97A4F" w:rsidRPr="009B45C5" w:rsidTr="00D97A4F">
        <w:trPr>
          <w:trHeight w:val="300"/>
        </w:trPr>
        <w:tc>
          <w:tcPr>
            <w:tcW w:w="32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CI-Computer, apparecchi elettronici e ottici</w:t>
            </w:r>
          </w:p>
        </w:tc>
        <w:tc>
          <w:tcPr>
            <w:tcW w:w="136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-5.980.732</w:t>
            </w:r>
          </w:p>
        </w:tc>
        <w:tc>
          <w:tcPr>
            <w:tcW w:w="102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0,9%</w:t>
            </w:r>
          </w:p>
        </w:tc>
        <w:tc>
          <w:tcPr>
            <w:tcW w:w="120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-1%</w:t>
            </w:r>
          </w:p>
        </w:tc>
        <w:tc>
          <w:tcPr>
            <w:tcW w:w="114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-13%</w:t>
            </w:r>
          </w:p>
        </w:tc>
      </w:tr>
      <w:tr w:rsidR="00D97A4F" w:rsidRPr="009B45C5" w:rsidTr="00D97A4F">
        <w:trPr>
          <w:trHeight w:val="300"/>
        </w:trPr>
        <w:tc>
          <w:tcPr>
            <w:tcW w:w="32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CJ-Apparecchi elettrici</w:t>
            </w:r>
          </w:p>
        </w:tc>
        <w:tc>
          <w:tcPr>
            <w:tcW w:w="136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184.676.185</w:t>
            </w:r>
          </w:p>
        </w:tc>
        <w:tc>
          <w:tcPr>
            <w:tcW w:w="102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5,3%</w:t>
            </w:r>
          </w:p>
        </w:tc>
        <w:tc>
          <w:tcPr>
            <w:tcW w:w="120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12%</w:t>
            </w:r>
          </w:p>
        </w:tc>
        <w:tc>
          <w:tcPr>
            <w:tcW w:w="114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8%</w:t>
            </w:r>
          </w:p>
        </w:tc>
      </w:tr>
      <w:tr w:rsidR="00D97A4F" w:rsidRPr="009B45C5" w:rsidTr="00D97A4F">
        <w:trPr>
          <w:trHeight w:val="300"/>
        </w:trPr>
        <w:tc>
          <w:tcPr>
            <w:tcW w:w="32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CK-Macchinari e apparecchi n.c.a.</w:t>
            </w:r>
          </w:p>
        </w:tc>
        <w:tc>
          <w:tcPr>
            <w:tcW w:w="136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561.611.215</w:t>
            </w:r>
          </w:p>
        </w:tc>
        <w:tc>
          <w:tcPr>
            <w:tcW w:w="102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18,1%</w:t>
            </w:r>
          </w:p>
        </w:tc>
        <w:tc>
          <w:tcPr>
            <w:tcW w:w="120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3%</w:t>
            </w:r>
          </w:p>
        </w:tc>
        <w:tc>
          <w:tcPr>
            <w:tcW w:w="114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-5%</w:t>
            </w:r>
          </w:p>
        </w:tc>
      </w:tr>
      <w:tr w:rsidR="00D97A4F" w:rsidRPr="009B45C5" w:rsidTr="00D97A4F">
        <w:trPr>
          <w:trHeight w:val="300"/>
        </w:trPr>
        <w:tc>
          <w:tcPr>
            <w:tcW w:w="32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CL-Mezzi di trasporto</w:t>
            </w:r>
          </w:p>
        </w:tc>
        <w:tc>
          <w:tcPr>
            <w:tcW w:w="136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557.063.703</w:t>
            </w:r>
          </w:p>
        </w:tc>
        <w:tc>
          <w:tcPr>
            <w:tcW w:w="102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15,0%</w:t>
            </w:r>
          </w:p>
        </w:tc>
        <w:tc>
          <w:tcPr>
            <w:tcW w:w="120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-10%</w:t>
            </w:r>
          </w:p>
        </w:tc>
        <w:tc>
          <w:tcPr>
            <w:tcW w:w="114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22%</w:t>
            </w:r>
          </w:p>
        </w:tc>
      </w:tr>
      <w:tr w:rsidR="00D97A4F" w:rsidRPr="009B45C5" w:rsidTr="00D97A4F">
        <w:trPr>
          <w:trHeight w:val="300"/>
        </w:trPr>
        <w:tc>
          <w:tcPr>
            <w:tcW w:w="32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CM-Prodotti delle altre attività manifatturiere</w:t>
            </w:r>
          </w:p>
        </w:tc>
        <w:tc>
          <w:tcPr>
            <w:tcW w:w="136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6.249.879</w:t>
            </w:r>
          </w:p>
        </w:tc>
        <w:tc>
          <w:tcPr>
            <w:tcW w:w="102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0,8%</w:t>
            </w:r>
          </w:p>
        </w:tc>
        <w:tc>
          <w:tcPr>
            <w:tcW w:w="120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-9%</w:t>
            </w:r>
          </w:p>
        </w:tc>
        <w:tc>
          <w:tcPr>
            <w:tcW w:w="114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-9%</w:t>
            </w:r>
          </w:p>
        </w:tc>
      </w:tr>
      <w:tr w:rsidR="00D97A4F" w:rsidRPr="009B45C5" w:rsidTr="00D97A4F">
        <w:trPr>
          <w:trHeight w:val="420"/>
        </w:trPr>
        <w:tc>
          <w:tcPr>
            <w:tcW w:w="32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EE-Prodotti delle attività di trattamento dei rifiuti e risanamento</w:t>
            </w:r>
          </w:p>
        </w:tc>
        <w:tc>
          <w:tcPr>
            <w:tcW w:w="136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-5.451.863</w:t>
            </w:r>
          </w:p>
        </w:tc>
        <w:tc>
          <w:tcPr>
            <w:tcW w:w="102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1,0%</w:t>
            </w:r>
          </w:p>
        </w:tc>
        <w:tc>
          <w:tcPr>
            <w:tcW w:w="120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-18%</w:t>
            </w:r>
          </w:p>
        </w:tc>
        <w:tc>
          <w:tcPr>
            <w:tcW w:w="114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-32%</w:t>
            </w:r>
          </w:p>
        </w:tc>
      </w:tr>
      <w:tr w:rsidR="00D97A4F" w:rsidRPr="009B45C5" w:rsidTr="00D97A4F">
        <w:trPr>
          <w:trHeight w:val="420"/>
        </w:trPr>
        <w:tc>
          <w:tcPr>
            <w:tcW w:w="32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JA-Prodotti dell'editoria e audiovisivi; prodotti delle attività radiotelevisive</w:t>
            </w:r>
          </w:p>
        </w:tc>
        <w:tc>
          <w:tcPr>
            <w:tcW w:w="136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6.020.664</w:t>
            </w:r>
          </w:p>
        </w:tc>
        <w:tc>
          <w:tcPr>
            <w:tcW w:w="102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0,2%</w:t>
            </w:r>
          </w:p>
        </w:tc>
        <w:tc>
          <w:tcPr>
            <w:tcW w:w="120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-9%</w:t>
            </w:r>
          </w:p>
        </w:tc>
        <w:tc>
          <w:tcPr>
            <w:tcW w:w="114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-9%</w:t>
            </w:r>
          </w:p>
        </w:tc>
      </w:tr>
      <w:tr w:rsidR="00D97A4F" w:rsidRPr="009B45C5" w:rsidTr="00D97A4F">
        <w:trPr>
          <w:trHeight w:val="420"/>
        </w:trPr>
        <w:tc>
          <w:tcPr>
            <w:tcW w:w="32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RR-Prodotti delle attività artistiche, di intrattenimento e divertimento</w:t>
            </w:r>
          </w:p>
        </w:tc>
        <w:tc>
          <w:tcPr>
            <w:tcW w:w="136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11.848.632</w:t>
            </w:r>
          </w:p>
        </w:tc>
        <w:tc>
          <w:tcPr>
            <w:tcW w:w="102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0,3%</w:t>
            </w:r>
          </w:p>
        </w:tc>
        <w:tc>
          <w:tcPr>
            <w:tcW w:w="120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31%</w:t>
            </w:r>
          </w:p>
        </w:tc>
        <w:tc>
          <w:tcPr>
            <w:tcW w:w="114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-10%</w:t>
            </w:r>
          </w:p>
        </w:tc>
      </w:tr>
      <w:tr w:rsidR="00D97A4F" w:rsidRPr="009B45C5" w:rsidTr="00D97A4F">
        <w:trPr>
          <w:trHeight w:val="420"/>
        </w:trPr>
        <w:tc>
          <w:tcPr>
            <w:tcW w:w="32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color w:val="000000"/>
                <w:sz w:val="15"/>
                <w:szCs w:val="15"/>
                <w:lang w:eastAsia="it-IT"/>
              </w:rPr>
            </w:pPr>
            <w:r w:rsidRPr="009B45C5">
              <w:rPr>
                <w:rFonts w:ascii="Verdana" w:eastAsia="Times New Roman" w:hAnsi="Verdana" w:cs="Calibri"/>
                <w:color w:val="000000"/>
                <w:sz w:val="15"/>
                <w:szCs w:val="15"/>
                <w:lang w:eastAsia="it-IT"/>
              </w:rPr>
              <w:t>VV-Merci dichiarate come provviste di bordo, merci nazionali di ritorno e respinte, merci varie</w:t>
            </w:r>
          </w:p>
        </w:tc>
        <w:tc>
          <w:tcPr>
            <w:tcW w:w="136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11.630.871</w:t>
            </w:r>
          </w:p>
        </w:tc>
        <w:tc>
          <w:tcPr>
            <w:tcW w:w="102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0,3%</w:t>
            </w:r>
          </w:p>
        </w:tc>
        <w:tc>
          <w:tcPr>
            <w:tcW w:w="120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-21%</w:t>
            </w:r>
          </w:p>
        </w:tc>
        <w:tc>
          <w:tcPr>
            <w:tcW w:w="114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9%</w:t>
            </w:r>
          </w:p>
        </w:tc>
      </w:tr>
      <w:tr w:rsidR="00D97A4F" w:rsidRPr="009B45C5" w:rsidTr="00D97A4F">
        <w:trPr>
          <w:trHeight w:val="300"/>
        </w:trPr>
        <w:tc>
          <w:tcPr>
            <w:tcW w:w="3220" w:type="dxa"/>
            <w:tcBorders>
              <w:top w:val="nil"/>
              <w:left w:val="nil"/>
              <w:bottom w:val="nil"/>
              <w:right w:val="nil"/>
            </w:tcBorders>
            <w:shd w:val="clear" w:color="auto" w:fill="auto"/>
            <w:vAlign w:val="bottom"/>
            <w:hideMark/>
          </w:tcPr>
          <w:p w:rsidR="00D97A4F" w:rsidRPr="009B45C5" w:rsidRDefault="00D97A4F" w:rsidP="00D97A4F">
            <w:pPr>
              <w:spacing w:after="0" w:line="240" w:lineRule="auto"/>
              <w:rPr>
                <w:rFonts w:ascii="Verdana" w:eastAsia="Times New Roman" w:hAnsi="Verdana" w:cs="Calibri"/>
                <w:b/>
                <w:bCs/>
                <w:color w:val="000000"/>
                <w:sz w:val="15"/>
                <w:szCs w:val="15"/>
                <w:lang w:eastAsia="it-IT"/>
              </w:rPr>
            </w:pPr>
            <w:r w:rsidRPr="009B45C5">
              <w:rPr>
                <w:rFonts w:ascii="Verdana" w:eastAsia="Times New Roman" w:hAnsi="Verdana" w:cs="Calibri"/>
                <w:b/>
                <w:bCs/>
                <w:color w:val="000000"/>
                <w:sz w:val="15"/>
                <w:szCs w:val="15"/>
                <w:lang w:eastAsia="it-IT"/>
              </w:rPr>
              <w:t>Totale</w:t>
            </w:r>
          </w:p>
        </w:tc>
        <w:tc>
          <w:tcPr>
            <w:tcW w:w="136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2.002.826.495</w:t>
            </w:r>
          </w:p>
        </w:tc>
        <w:tc>
          <w:tcPr>
            <w:tcW w:w="102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Verdana" w:eastAsia="Times New Roman" w:hAnsi="Verdana" w:cs="Calibri"/>
                <w:color w:val="000000"/>
                <w:sz w:val="16"/>
                <w:szCs w:val="16"/>
                <w:lang w:eastAsia="it-IT"/>
              </w:rPr>
            </w:pPr>
            <w:r w:rsidRPr="009B45C5">
              <w:rPr>
                <w:rFonts w:ascii="Verdana" w:eastAsia="Times New Roman" w:hAnsi="Verdana" w:cs="Calibri"/>
                <w:color w:val="000000"/>
                <w:sz w:val="16"/>
                <w:szCs w:val="16"/>
                <w:lang w:eastAsia="it-IT"/>
              </w:rPr>
              <w:t>100,0%</w:t>
            </w:r>
          </w:p>
        </w:tc>
        <w:tc>
          <w:tcPr>
            <w:tcW w:w="120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-2%</w:t>
            </w:r>
          </w:p>
        </w:tc>
        <w:tc>
          <w:tcPr>
            <w:tcW w:w="1140" w:type="dxa"/>
            <w:tcBorders>
              <w:top w:val="nil"/>
              <w:left w:val="nil"/>
              <w:bottom w:val="nil"/>
              <w:right w:val="nil"/>
            </w:tcBorders>
            <w:shd w:val="clear" w:color="auto" w:fill="auto"/>
            <w:noWrap/>
            <w:vAlign w:val="bottom"/>
            <w:hideMark/>
          </w:tcPr>
          <w:p w:rsidR="00D97A4F" w:rsidRPr="009B45C5" w:rsidRDefault="00D97A4F" w:rsidP="00D97A4F">
            <w:pPr>
              <w:spacing w:after="0" w:line="240" w:lineRule="auto"/>
              <w:jc w:val="right"/>
              <w:rPr>
                <w:rFonts w:ascii="Calibri" w:eastAsia="Times New Roman" w:hAnsi="Calibri" w:cs="Calibri"/>
                <w:color w:val="000000"/>
                <w:lang w:eastAsia="it-IT"/>
              </w:rPr>
            </w:pPr>
            <w:r w:rsidRPr="009B45C5">
              <w:rPr>
                <w:rFonts w:ascii="Calibri" w:eastAsia="Times New Roman" w:hAnsi="Calibri" w:cs="Calibri"/>
                <w:color w:val="000000"/>
                <w:lang w:eastAsia="it-IT"/>
              </w:rPr>
              <w:t>3%</w:t>
            </w:r>
          </w:p>
        </w:tc>
      </w:tr>
    </w:tbl>
    <w:p w:rsidR="00563DAE" w:rsidRPr="00563DAE" w:rsidRDefault="00563DAE" w:rsidP="00563DAE">
      <w:pPr>
        <w:rPr>
          <w:sz w:val="18"/>
          <w:szCs w:val="18"/>
        </w:rPr>
      </w:pPr>
      <w:r w:rsidRPr="00563DAE">
        <w:rPr>
          <w:sz w:val="18"/>
          <w:szCs w:val="18"/>
        </w:rPr>
        <w:t xml:space="preserve">Fonte: </w:t>
      </w:r>
      <w:r>
        <w:rPr>
          <w:sz w:val="18"/>
          <w:szCs w:val="18"/>
        </w:rPr>
        <w:t xml:space="preserve">ns. elaborazioni su </w:t>
      </w:r>
      <w:r w:rsidRPr="00563DAE">
        <w:rPr>
          <w:sz w:val="18"/>
          <w:szCs w:val="18"/>
        </w:rPr>
        <w:t>banca dati COEWEB ISTAT</w:t>
      </w:r>
    </w:p>
    <w:p w:rsidR="00D97A4F" w:rsidRDefault="00D97A4F" w:rsidP="00D97A4F"/>
    <w:p w:rsidR="00D97A4F" w:rsidRDefault="00D97A4F" w:rsidP="00D97A4F">
      <w:pPr>
        <w:jc w:val="both"/>
      </w:pPr>
      <w:r>
        <w:t>Una schematica analisi prodotto-mercato (limitata ai paesi/settori in cui negli ultimi anni si è verificato un volume di esportazioni in almeno un anno superiore a 50 milioni di euro) segnala la Gran Bretagna e gli Usa come mercati di sbocco prevalenti nel settore alimentare (ambedue con un certo ripiegamento), la Francia nel sistema moda (in forte diminuzione), un gruppo di quattro paesi europei nel cartario (Francia, Germania, Regno Unito e Spagna, insieme oltre il 50% dell’export del settore, con la Spagna in forte espansione e il Regno Unito in contrazione). Gli Stati Uniti sono mercato di riferimento nelle produzioni di materie plastiche e in minerali non metalliferi ma la loro quota di export è diminuita di quasi il 20% in un biennio. La Francia (non la Germania, e questa è una difformità rispetto alla media nazionale) è il mercato di riferimento delle produzioni meccaniche meno complesse (incluse le apparecchiature elettriche, con una certa tendenza espansiva). La produzione di macchine (in buona parte macchine per lavorazioni cartarie) si è divisa, negli ultimi anni, fra mercati declinanti (Francia e Stati Unti) e mercati emergenti (Cina e Messico), anche se singole grandi commesse alterano la rilevanza dei dati annuali. Anche più variabili sono infine le commesse nelle produzioni di lusso (i megayacht, che formano il grosso dell’ultimo gruppo analizzato, la produzione di imbarcazioni e altri mezzi di trasporto. I paesi che ospitano bandiere di comodo (le isole caraibiche, la Grecia, Malta, Panama, formano i mercati principali, accanto ai quali si collocano gli Usa</w:t>
      </w:r>
    </w:p>
    <w:p w:rsidR="00D97A4F" w:rsidRDefault="00D97A4F" w:rsidP="00D97A4F"/>
    <w:p w:rsidR="00D97A4F" w:rsidRPr="00275178" w:rsidRDefault="00563DAE" w:rsidP="00D97A4F">
      <w:pPr>
        <w:rPr>
          <w:i/>
        </w:rPr>
      </w:pPr>
      <w:r>
        <w:rPr>
          <w:i/>
        </w:rPr>
        <w:t xml:space="preserve">Tab. 14  - </w:t>
      </w:r>
      <w:r w:rsidR="00D97A4F" w:rsidRPr="00275178">
        <w:rPr>
          <w:i/>
        </w:rPr>
        <w:t>Principali prodotti e mercati esportati</w:t>
      </w:r>
    </w:p>
    <w:tbl>
      <w:tblPr>
        <w:tblStyle w:val="Grigliatabella"/>
        <w:tblW w:w="0" w:type="auto"/>
        <w:tblLook w:val="04A0" w:firstRow="1" w:lastRow="0" w:firstColumn="1" w:lastColumn="0" w:noHBand="0" w:noVBand="1"/>
      </w:tblPr>
      <w:tblGrid>
        <w:gridCol w:w="1375"/>
        <w:gridCol w:w="1375"/>
        <w:gridCol w:w="1375"/>
        <w:gridCol w:w="1375"/>
        <w:gridCol w:w="1376"/>
        <w:gridCol w:w="1376"/>
        <w:gridCol w:w="1376"/>
      </w:tblGrid>
      <w:tr w:rsidR="00D97A4F" w:rsidTr="00D97A4F">
        <w:tc>
          <w:tcPr>
            <w:tcW w:w="1375" w:type="dxa"/>
          </w:tcPr>
          <w:p w:rsidR="00D97A4F" w:rsidRDefault="00D97A4F" w:rsidP="00D97A4F">
            <w:r>
              <w:t>Paese</w:t>
            </w:r>
          </w:p>
        </w:tc>
        <w:tc>
          <w:tcPr>
            <w:tcW w:w="1375" w:type="dxa"/>
          </w:tcPr>
          <w:p w:rsidR="00D97A4F" w:rsidRDefault="00D97A4F" w:rsidP="00D97A4F">
            <w:r>
              <w:t>settore</w:t>
            </w:r>
          </w:p>
        </w:tc>
        <w:tc>
          <w:tcPr>
            <w:tcW w:w="1375" w:type="dxa"/>
          </w:tcPr>
          <w:p w:rsidR="00D97A4F" w:rsidRDefault="00D97A4F" w:rsidP="00D97A4F">
            <w:pPr>
              <w:jc w:val="right"/>
            </w:pPr>
            <w:r>
              <w:t>Export 2015</w:t>
            </w:r>
          </w:p>
        </w:tc>
        <w:tc>
          <w:tcPr>
            <w:tcW w:w="1375" w:type="dxa"/>
          </w:tcPr>
          <w:p w:rsidR="00D97A4F" w:rsidRDefault="00D97A4F" w:rsidP="00D97A4F">
            <w:pPr>
              <w:jc w:val="right"/>
            </w:pPr>
            <w:r>
              <w:t>Export 2016</w:t>
            </w:r>
          </w:p>
        </w:tc>
        <w:tc>
          <w:tcPr>
            <w:tcW w:w="1376" w:type="dxa"/>
          </w:tcPr>
          <w:p w:rsidR="00D97A4F" w:rsidRDefault="00D97A4F" w:rsidP="00D97A4F">
            <w:pPr>
              <w:jc w:val="right"/>
            </w:pPr>
            <w:r>
              <w:t>Export 2017</w:t>
            </w:r>
          </w:p>
        </w:tc>
        <w:tc>
          <w:tcPr>
            <w:tcW w:w="1376" w:type="dxa"/>
          </w:tcPr>
          <w:p w:rsidR="00D97A4F" w:rsidRDefault="00D97A4F" w:rsidP="00D97A4F">
            <w:r>
              <w:t>% su export settore 2017</w:t>
            </w:r>
          </w:p>
        </w:tc>
        <w:tc>
          <w:tcPr>
            <w:tcW w:w="1376" w:type="dxa"/>
          </w:tcPr>
          <w:p w:rsidR="00D97A4F" w:rsidRDefault="00D97A4F" w:rsidP="00D97A4F">
            <w:r>
              <w:t>Var. % 2015-2017</w:t>
            </w:r>
          </w:p>
        </w:tc>
      </w:tr>
      <w:tr w:rsidR="00D97A4F" w:rsidTr="00D97A4F">
        <w:tc>
          <w:tcPr>
            <w:tcW w:w="1375" w:type="dxa"/>
          </w:tcPr>
          <w:p w:rsidR="00D97A4F" w:rsidRDefault="00D97A4F" w:rsidP="00D97A4F">
            <w:r>
              <w:t>Regno Unito</w:t>
            </w:r>
          </w:p>
        </w:tc>
        <w:tc>
          <w:tcPr>
            <w:tcW w:w="1375" w:type="dxa"/>
          </w:tcPr>
          <w:p w:rsidR="00D97A4F" w:rsidRDefault="00D97A4F" w:rsidP="00D97A4F">
            <w:r>
              <w:t>Alimentare</w:t>
            </w:r>
          </w:p>
        </w:tc>
        <w:tc>
          <w:tcPr>
            <w:tcW w:w="1375" w:type="dxa"/>
          </w:tcPr>
          <w:p w:rsidR="00D97A4F" w:rsidRDefault="00D97A4F" w:rsidP="00D97A4F">
            <w:pPr>
              <w:jc w:val="right"/>
            </w:pPr>
            <w:r>
              <w:t>52</w:t>
            </w:r>
          </w:p>
        </w:tc>
        <w:tc>
          <w:tcPr>
            <w:tcW w:w="1375" w:type="dxa"/>
          </w:tcPr>
          <w:p w:rsidR="00D97A4F" w:rsidRDefault="00D97A4F" w:rsidP="00D97A4F">
            <w:pPr>
              <w:jc w:val="right"/>
            </w:pPr>
            <w:r>
              <w:t>52</w:t>
            </w:r>
          </w:p>
        </w:tc>
        <w:tc>
          <w:tcPr>
            <w:tcW w:w="1376" w:type="dxa"/>
          </w:tcPr>
          <w:p w:rsidR="00D97A4F" w:rsidRDefault="00D97A4F" w:rsidP="00D97A4F">
            <w:pPr>
              <w:jc w:val="right"/>
            </w:pPr>
            <w:r>
              <w:t>49</w:t>
            </w:r>
          </w:p>
        </w:tc>
        <w:tc>
          <w:tcPr>
            <w:tcW w:w="1376" w:type="dxa"/>
            <w:vAlign w:val="bottom"/>
          </w:tcPr>
          <w:p w:rsidR="00D97A4F" w:rsidRDefault="00D97A4F" w:rsidP="00D97A4F">
            <w:pPr>
              <w:jc w:val="right"/>
              <w:rPr>
                <w:rFonts w:ascii="Calibri" w:hAnsi="Calibri" w:cs="Calibri"/>
                <w:color w:val="000000"/>
              </w:rPr>
            </w:pPr>
            <w:r>
              <w:rPr>
                <w:rFonts w:ascii="Calibri" w:hAnsi="Calibri" w:cs="Calibri"/>
                <w:color w:val="000000"/>
              </w:rPr>
              <w:t>16,5%</w:t>
            </w:r>
          </w:p>
        </w:tc>
        <w:tc>
          <w:tcPr>
            <w:tcW w:w="1376" w:type="dxa"/>
            <w:vAlign w:val="bottom"/>
          </w:tcPr>
          <w:p w:rsidR="00D97A4F" w:rsidRDefault="00D97A4F" w:rsidP="00D97A4F">
            <w:pPr>
              <w:jc w:val="right"/>
              <w:rPr>
                <w:rFonts w:ascii="Calibri" w:hAnsi="Calibri" w:cs="Calibri"/>
                <w:color w:val="000000"/>
              </w:rPr>
            </w:pPr>
            <w:r>
              <w:rPr>
                <w:rFonts w:ascii="Calibri" w:hAnsi="Calibri" w:cs="Calibri"/>
                <w:color w:val="000000"/>
              </w:rPr>
              <w:t>-4,8%</w:t>
            </w:r>
          </w:p>
        </w:tc>
      </w:tr>
      <w:tr w:rsidR="00D97A4F" w:rsidTr="00D97A4F">
        <w:tc>
          <w:tcPr>
            <w:tcW w:w="1375" w:type="dxa"/>
          </w:tcPr>
          <w:p w:rsidR="00D97A4F" w:rsidRDefault="00D97A4F" w:rsidP="00D97A4F">
            <w:r>
              <w:t>Stati Uniti</w:t>
            </w:r>
          </w:p>
        </w:tc>
        <w:tc>
          <w:tcPr>
            <w:tcW w:w="1375" w:type="dxa"/>
          </w:tcPr>
          <w:p w:rsidR="00D97A4F" w:rsidRDefault="00D97A4F" w:rsidP="00D97A4F">
            <w:r>
              <w:t>Alimentare</w:t>
            </w:r>
          </w:p>
        </w:tc>
        <w:tc>
          <w:tcPr>
            <w:tcW w:w="1375" w:type="dxa"/>
          </w:tcPr>
          <w:p w:rsidR="00D97A4F" w:rsidRDefault="00D97A4F" w:rsidP="00D97A4F">
            <w:pPr>
              <w:jc w:val="right"/>
            </w:pPr>
            <w:r>
              <w:t>100</w:t>
            </w:r>
          </w:p>
        </w:tc>
        <w:tc>
          <w:tcPr>
            <w:tcW w:w="1375" w:type="dxa"/>
          </w:tcPr>
          <w:p w:rsidR="00D97A4F" w:rsidRDefault="00D97A4F" w:rsidP="00D97A4F">
            <w:pPr>
              <w:jc w:val="right"/>
            </w:pPr>
            <w:r>
              <w:t>97</w:t>
            </w:r>
          </w:p>
        </w:tc>
        <w:tc>
          <w:tcPr>
            <w:tcW w:w="1376" w:type="dxa"/>
          </w:tcPr>
          <w:p w:rsidR="00D97A4F" w:rsidRDefault="00D97A4F" w:rsidP="00D97A4F">
            <w:pPr>
              <w:jc w:val="right"/>
            </w:pPr>
            <w:r>
              <w:t>99</w:t>
            </w:r>
          </w:p>
        </w:tc>
        <w:tc>
          <w:tcPr>
            <w:tcW w:w="1376" w:type="dxa"/>
            <w:vAlign w:val="bottom"/>
          </w:tcPr>
          <w:p w:rsidR="00D97A4F" w:rsidRDefault="00D97A4F" w:rsidP="00D97A4F">
            <w:pPr>
              <w:jc w:val="right"/>
              <w:rPr>
                <w:rFonts w:ascii="Calibri" w:hAnsi="Calibri" w:cs="Calibri"/>
                <w:color w:val="000000"/>
              </w:rPr>
            </w:pPr>
            <w:r>
              <w:rPr>
                <w:rFonts w:ascii="Calibri" w:hAnsi="Calibri" w:cs="Calibri"/>
                <w:color w:val="000000"/>
              </w:rPr>
              <w:t>33,0%</w:t>
            </w:r>
          </w:p>
        </w:tc>
        <w:tc>
          <w:tcPr>
            <w:tcW w:w="1376" w:type="dxa"/>
            <w:vAlign w:val="bottom"/>
          </w:tcPr>
          <w:p w:rsidR="00D97A4F" w:rsidRDefault="00D97A4F" w:rsidP="00D97A4F">
            <w:pPr>
              <w:jc w:val="right"/>
              <w:rPr>
                <w:rFonts w:ascii="Calibri" w:hAnsi="Calibri" w:cs="Calibri"/>
                <w:color w:val="000000"/>
              </w:rPr>
            </w:pPr>
            <w:r>
              <w:rPr>
                <w:rFonts w:ascii="Calibri" w:hAnsi="Calibri" w:cs="Calibri"/>
                <w:color w:val="000000"/>
              </w:rPr>
              <w:t>-1,7%</w:t>
            </w:r>
          </w:p>
        </w:tc>
      </w:tr>
      <w:tr w:rsidR="00D97A4F" w:rsidTr="00D97A4F">
        <w:tc>
          <w:tcPr>
            <w:tcW w:w="1375" w:type="dxa"/>
          </w:tcPr>
          <w:p w:rsidR="00D97A4F" w:rsidRDefault="00D97A4F" w:rsidP="00D97A4F">
            <w:r>
              <w:t>Francia</w:t>
            </w:r>
          </w:p>
        </w:tc>
        <w:tc>
          <w:tcPr>
            <w:tcW w:w="1375" w:type="dxa"/>
          </w:tcPr>
          <w:p w:rsidR="00D97A4F" w:rsidRDefault="00D97A4F" w:rsidP="00D97A4F">
            <w:r>
              <w:t>Sistema moda</w:t>
            </w:r>
          </w:p>
        </w:tc>
        <w:tc>
          <w:tcPr>
            <w:tcW w:w="1375" w:type="dxa"/>
          </w:tcPr>
          <w:p w:rsidR="00D97A4F" w:rsidRDefault="00D97A4F" w:rsidP="00D97A4F">
            <w:pPr>
              <w:jc w:val="right"/>
            </w:pPr>
            <w:r>
              <w:t>72</w:t>
            </w:r>
          </w:p>
        </w:tc>
        <w:tc>
          <w:tcPr>
            <w:tcW w:w="1375" w:type="dxa"/>
          </w:tcPr>
          <w:p w:rsidR="00D97A4F" w:rsidRDefault="00D97A4F" w:rsidP="00D97A4F">
            <w:pPr>
              <w:jc w:val="right"/>
            </w:pPr>
            <w:r>
              <w:t>53</w:t>
            </w:r>
          </w:p>
        </w:tc>
        <w:tc>
          <w:tcPr>
            <w:tcW w:w="1376" w:type="dxa"/>
          </w:tcPr>
          <w:p w:rsidR="00D97A4F" w:rsidRDefault="00D97A4F" w:rsidP="00D97A4F">
            <w:pPr>
              <w:jc w:val="right"/>
            </w:pPr>
            <w:r>
              <w:t>44</w:t>
            </w:r>
          </w:p>
        </w:tc>
        <w:tc>
          <w:tcPr>
            <w:tcW w:w="1376" w:type="dxa"/>
            <w:vAlign w:val="bottom"/>
          </w:tcPr>
          <w:p w:rsidR="00D97A4F" w:rsidRDefault="00D97A4F" w:rsidP="00D97A4F">
            <w:pPr>
              <w:jc w:val="right"/>
              <w:rPr>
                <w:rFonts w:ascii="Calibri" w:hAnsi="Calibri" w:cs="Calibri"/>
                <w:color w:val="000000"/>
              </w:rPr>
            </w:pPr>
            <w:r>
              <w:rPr>
                <w:rFonts w:ascii="Calibri" w:hAnsi="Calibri" w:cs="Calibri"/>
                <w:color w:val="000000"/>
              </w:rPr>
              <w:t>13,8%</w:t>
            </w:r>
          </w:p>
        </w:tc>
        <w:tc>
          <w:tcPr>
            <w:tcW w:w="1376" w:type="dxa"/>
            <w:vAlign w:val="bottom"/>
          </w:tcPr>
          <w:p w:rsidR="00D97A4F" w:rsidRDefault="00D97A4F" w:rsidP="00D97A4F">
            <w:pPr>
              <w:jc w:val="right"/>
              <w:rPr>
                <w:rFonts w:ascii="Calibri" w:hAnsi="Calibri" w:cs="Calibri"/>
                <w:color w:val="000000"/>
              </w:rPr>
            </w:pPr>
            <w:r>
              <w:rPr>
                <w:rFonts w:ascii="Calibri" w:hAnsi="Calibri" w:cs="Calibri"/>
                <w:color w:val="000000"/>
              </w:rPr>
              <w:t>-38,7%</w:t>
            </w:r>
          </w:p>
        </w:tc>
      </w:tr>
      <w:tr w:rsidR="00D97A4F" w:rsidTr="00D97A4F">
        <w:tc>
          <w:tcPr>
            <w:tcW w:w="1375" w:type="dxa"/>
          </w:tcPr>
          <w:p w:rsidR="00D97A4F" w:rsidRDefault="00D97A4F" w:rsidP="00D97A4F">
            <w:r>
              <w:t xml:space="preserve">Francia </w:t>
            </w:r>
          </w:p>
        </w:tc>
        <w:tc>
          <w:tcPr>
            <w:tcW w:w="1375" w:type="dxa"/>
          </w:tcPr>
          <w:p w:rsidR="00D97A4F" w:rsidRDefault="00D97A4F" w:rsidP="00D97A4F">
            <w:r>
              <w:t>Carta e legno</w:t>
            </w:r>
          </w:p>
        </w:tc>
        <w:tc>
          <w:tcPr>
            <w:tcW w:w="1375" w:type="dxa"/>
          </w:tcPr>
          <w:p w:rsidR="00D97A4F" w:rsidRDefault="00D97A4F" w:rsidP="00D97A4F">
            <w:pPr>
              <w:jc w:val="right"/>
            </w:pPr>
            <w:r>
              <w:t>194</w:t>
            </w:r>
          </w:p>
        </w:tc>
        <w:tc>
          <w:tcPr>
            <w:tcW w:w="1375" w:type="dxa"/>
          </w:tcPr>
          <w:p w:rsidR="00D97A4F" w:rsidRDefault="00D97A4F" w:rsidP="00D97A4F">
            <w:pPr>
              <w:jc w:val="right"/>
            </w:pPr>
            <w:r>
              <w:t>298</w:t>
            </w:r>
          </w:p>
        </w:tc>
        <w:tc>
          <w:tcPr>
            <w:tcW w:w="1376" w:type="dxa"/>
          </w:tcPr>
          <w:p w:rsidR="00D97A4F" w:rsidRDefault="00D97A4F" w:rsidP="00D97A4F">
            <w:pPr>
              <w:jc w:val="right"/>
            </w:pPr>
            <w:r>
              <w:t>205</w:t>
            </w:r>
          </w:p>
        </w:tc>
        <w:tc>
          <w:tcPr>
            <w:tcW w:w="1376" w:type="dxa"/>
            <w:vAlign w:val="bottom"/>
          </w:tcPr>
          <w:p w:rsidR="00D97A4F" w:rsidRDefault="00D97A4F" w:rsidP="00D97A4F">
            <w:pPr>
              <w:jc w:val="right"/>
              <w:rPr>
                <w:rFonts w:ascii="Calibri" w:hAnsi="Calibri" w:cs="Calibri"/>
                <w:color w:val="000000"/>
              </w:rPr>
            </w:pPr>
            <w:r>
              <w:rPr>
                <w:rFonts w:ascii="Calibri" w:hAnsi="Calibri" w:cs="Calibri"/>
                <w:color w:val="000000"/>
              </w:rPr>
              <w:t>21,1%</w:t>
            </w:r>
          </w:p>
        </w:tc>
        <w:tc>
          <w:tcPr>
            <w:tcW w:w="1376" w:type="dxa"/>
            <w:vAlign w:val="bottom"/>
          </w:tcPr>
          <w:p w:rsidR="00D97A4F" w:rsidRDefault="00D97A4F" w:rsidP="00D97A4F">
            <w:pPr>
              <w:jc w:val="right"/>
              <w:rPr>
                <w:rFonts w:ascii="Calibri" w:hAnsi="Calibri" w:cs="Calibri"/>
                <w:color w:val="000000"/>
              </w:rPr>
            </w:pPr>
            <w:r>
              <w:rPr>
                <w:rFonts w:ascii="Calibri" w:hAnsi="Calibri" w:cs="Calibri"/>
                <w:color w:val="000000"/>
              </w:rPr>
              <w:t>5,6%</w:t>
            </w:r>
          </w:p>
        </w:tc>
      </w:tr>
      <w:tr w:rsidR="00D97A4F" w:rsidTr="00D97A4F">
        <w:tc>
          <w:tcPr>
            <w:tcW w:w="1375" w:type="dxa"/>
          </w:tcPr>
          <w:p w:rsidR="00D97A4F" w:rsidRDefault="00D97A4F" w:rsidP="00D97A4F">
            <w:r>
              <w:t>Germania</w:t>
            </w:r>
          </w:p>
        </w:tc>
        <w:tc>
          <w:tcPr>
            <w:tcW w:w="1375" w:type="dxa"/>
          </w:tcPr>
          <w:p w:rsidR="00D97A4F" w:rsidRDefault="00D97A4F" w:rsidP="00D97A4F">
            <w:r>
              <w:t>Carta e legno</w:t>
            </w:r>
          </w:p>
        </w:tc>
        <w:tc>
          <w:tcPr>
            <w:tcW w:w="1375" w:type="dxa"/>
          </w:tcPr>
          <w:p w:rsidR="00D97A4F" w:rsidRDefault="00D97A4F" w:rsidP="00D97A4F">
            <w:pPr>
              <w:jc w:val="right"/>
            </w:pPr>
            <w:r>
              <w:t>146</w:t>
            </w:r>
          </w:p>
        </w:tc>
        <w:tc>
          <w:tcPr>
            <w:tcW w:w="1375" w:type="dxa"/>
          </w:tcPr>
          <w:p w:rsidR="00D97A4F" w:rsidRDefault="00D97A4F" w:rsidP="00D97A4F">
            <w:pPr>
              <w:jc w:val="right"/>
            </w:pPr>
            <w:r>
              <w:t>145</w:t>
            </w:r>
          </w:p>
        </w:tc>
        <w:tc>
          <w:tcPr>
            <w:tcW w:w="1376" w:type="dxa"/>
          </w:tcPr>
          <w:p w:rsidR="00D97A4F" w:rsidRDefault="00D97A4F" w:rsidP="00D97A4F">
            <w:pPr>
              <w:jc w:val="right"/>
            </w:pPr>
            <w:r>
              <w:t>158</w:t>
            </w:r>
          </w:p>
        </w:tc>
        <w:tc>
          <w:tcPr>
            <w:tcW w:w="1376" w:type="dxa"/>
            <w:vAlign w:val="bottom"/>
          </w:tcPr>
          <w:p w:rsidR="00D97A4F" w:rsidRDefault="00D97A4F" w:rsidP="00D97A4F">
            <w:pPr>
              <w:jc w:val="right"/>
              <w:rPr>
                <w:rFonts w:ascii="Calibri" w:hAnsi="Calibri" w:cs="Calibri"/>
                <w:color w:val="000000"/>
              </w:rPr>
            </w:pPr>
            <w:r>
              <w:rPr>
                <w:rFonts w:ascii="Calibri" w:hAnsi="Calibri" w:cs="Calibri"/>
                <w:color w:val="000000"/>
              </w:rPr>
              <w:t>15,3%</w:t>
            </w:r>
          </w:p>
        </w:tc>
        <w:tc>
          <w:tcPr>
            <w:tcW w:w="1376" w:type="dxa"/>
            <w:vAlign w:val="bottom"/>
          </w:tcPr>
          <w:p w:rsidR="00D97A4F" w:rsidRDefault="00D97A4F" w:rsidP="00D97A4F">
            <w:pPr>
              <w:jc w:val="right"/>
              <w:rPr>
                <w:rFonts w:ascii="Calibri" w:hAnsi="Calibri" w:cs="Calibri"/>
                <w:color w:val="000000"/>
              </w:rPr>
            </w:pPr>
            <w:r>
              <w:rPr>
                <w:rFonts w:ascii="Calibri" w:hAnsi="Calibri" w:cs="Calibri"/>
                <w:color w:val="000000"/>
              </w:rPr>
              <w:t>1,2%</w:t>
            </w:r>
          </w:p>
        </w:tc>
      </w:tr>
      <w:tr w:rsidR="00D97A4F" w:rsidTr="00D97A4F">
        <w:tc>
          <w:tcPr>
            <w:tcW w:w="1375" w:type="dxa"/>
          </w:tcPr>
          <w:p w:rsidR="00D97A4F" w:rsidRDefault="00D97A4F" w:rsidP="00D97A4F">
            <w:r>
              <w:t>Regno Unito</w:t>
            </w:r>
          </w:p>
        </w:tc>
        <w:tc>
          <w:tcPr>
            <w:tcW w:w="1375" w:type="dxa"/>
          </w:tcPr>
          <w:p w:rsidR="00D97A4F" w:rsidRDefault="00D97A4F" w:rsidP="00D97A4F">
            <w:r>
              <w:t>Carta e legno</w:t>
            </w:r>
          </w:p>
        </w:tc>
        <w:tc>
          <w:tcPr>
            <w:tcW w:w="1375" w:type="dxa"/>
          </w:tcPr>
          <w:p w:rsidR="00D97A4F" w:rsidRDefault="00D97A4F" w:rsidP="00D97A4F">
            <w:pPr>
              <w:jc w:val="right"/>
            </w:pPr>
            <w:r>
              <w:t>64</w:t>
            </w:r>
          </w:p>
        </w:tc>
        <w:tc>
          <w:tcPr>
            <w:tcW w:w="1375" w:type="dxa"/>
          </w:tcPr>
          <w:p w:rsidR="00D97A4F" w:rsidRDefault="00D97A4F" w:rsidP="00D97A4F">
            <w:pPr>
              <w:jc w:val="right"/>
            </w:pPr>
            <w:r>
              <w:t>72</w:t>
            </w:r>
          </w:p>
        </w:tc>
        <w:tc>
          <w:tcPr>
            <w:tcW w:w="1376" w:type="dxa"/>
          </w:tcPr>
          <w:p w:rsidR="00D97A4F" w:rsidRDefault="00D97A4F" w:rsidP="00D97A4F">
            <w:pPr>
              <w:jc w:val="right"/>
            </w:pPr>
            <w:r>
              <w:t>60</w:t>
            </w:r>
          </w:p>
        </w:tc>
        <w:tc>
          <w:tcPr>
            <w:tcW w:w="1376" w:type="dxa"/>
            <w:vAlign w:val="bottom"/>
          </w:tcPr>
          <w:p w:rsidR="00D97A4F" w:rsidRDefault="00D97A4F" w:rsidP="00D97A4F">
            <w:pPr>
              <w:jc w:val="right"/>
              <w:rPr>
                <w:rFonts w:ascii="Calibri" w:hAnsi="Calibri" w:cs="Calibri"/>
                <w:color w:val="000000"/>
              </w:rPr>
            </w:pPr>
            <w:r>
              <w:rPr>
                <w:rFonts w:ascii="Calibri" w:hAnsi="Calibri" w:cs="Calibri"/>
                <w:color w:val="000000"/>
              </w:rPr>
              <w:t>6,2%</w:t>
            </w:r>
          </w:p>
        </w:tc>
        <w:tc>
          <w:tcPr>
            <w:tcW w:w="1376" w:type="dxa"/>
            <w:vAlign w:val="bottom"/>
          </w:tcPr>
          <w:p w:rsidR="00D97A4F" w:rsidRDefault="00D97A4F" w:rsidP="00D97A4F">
            <w:pPr>
              <w:jc w:val="right"/>
              <w:rPr>
                <w:rFonts w:ascii="Calibri" w:hAnsi="Calibri" w:cs="Calibri"/>
                <w:color w:val="000000"/>
              </w:rPr>
            </w:pPr>
            <w:r>
              <w:rPr>
                <w:rFonts w:ascii="Calibri" w:hAnsi="Calibri" w:cs="Calibri"/>
                <w:color w:val="000000"/>
              </w:rPr>
              <w:t>-5,9%</w:t>
            </w:r>
          </w:p>
        </w:tc>
      </w:tr>
      <w:tr w:rsidR="00D97A4F" w:rsidTr="00D97A4F">
        <w:tc>
          <w:tcPr>
            <w:tcW w:w="1375" w:type="dxa"/>
          </w:tcPr>
          <w:p w:rsidR="00D97A4F" w:rsidRDefault="00D97A4F" w:rsidP="00D97A4F">
            <w:r>
              <w:t>Spagna</w:t>
            </w:r>
          </w:p>
        </w:tc>
        <w:tc>
          <w:tcPr>
            <w:tcW w:w="1375" w:type="dxa"/>
          </w:tcPr>
          <w:p w:rsidR="00D97A4F" w:rsidRDefault="00D97A4F" w:rsidP="00D97A4F">
            <w:r>
              <w:t>Carta e legno</w:t>
            </w:r>
          </w:p>
        </w:tc>
        <w:tc>
          <w:tcPr>
            <w:tcW w:w="1375" w:type="dxa"/>
          </w:tcPr>
          <w:p w:rsidR="00D97A4F" w:rsidRDefault="00D97A4F" w:rsidP="00D97A4F">
            <w:pPr>
              <w:jc w:val="right"/>
            </w:pPr>
            <w:r>
              <w:t>69</w:t>
            </w:r>
          </w:p>
        </w:tc>
        <w:tc>
          <w:tcPr>
            <w:tcW w:w="1375" w:type="dxa"/>
          </w:tcPr>
          <w:p w:rsidR="00D97A4F" w:rsidRDefault="00D97A4F" w:rsidP="00D97A4F">
            <w:pPr>
              <w:jc w:val="right"/>
            </w:pPr>
            <w:r>
              <w:t>75</w:t>
            </w:r>
          </w:p>
        </w:tc>
        <w:tc>
          <w:tcPr>
            <w:tcW w:w="1376" w:type="dxa"/>
          </w:tcPr>
          <w:p w:rsidR="00D97A4F" w:rsidRDefault="00D97A4F" w:rsidP="00D97A4F">
            <w:pPr>
              <w:jc w:val="right"/>
            </w:pPr>
            <w:r>
              <w:t>84</w:t>
            </w:r>
          </w:p>
        </w:tc>
        <w:tc>
          <w:tcPr>
            <w:tcW w:w="1376" w:type="dxa"/>
            <w:vAlign w:val="bottom"/>
          </w:tcPr>
          <w:p w:rsidR="00D97A4F" w:rsidRDefault="00D97A4F" w:rsidP="00D97A4F">
            <w:pPr>
              <w:jc w:val="right"/>
              <w:rPr>
                <w:rFonts w:ascii="Calibri" w:hAnsi="Calibri" w:cs="Calibri"/>
                <w:color w:val="000000"/>
              </w:rPr>
            </w:pPr>
            <w:r>
              <w:rPr>
                <w:rFonts w:ascii="Calibri" w:hAnsi="Calibri" w:cs="Calibri"/>
                <w:color w:val="000000"/>
              </w:rPr>
              <w:t>8,7%</w:t>
            </w:r>
          </w:p>
        </w:tc>
        <w:tc>
          <w:tcPr>
            <w:tcW w:w="1376" w:type="dxa"/>
            <w:vAlign w:val="bottom"/>
          </w:tcPr>
          <w:p w:rsidR="00D97A4F" w:rsidRDefault="00D97A4F" w:rsidP="00D97A4F">
            <w:pPr>
              <w:jc w:val="right"/>
              <w:rPr>
                <w:rFonts w:ascii="Calibri" w:hAnsi="Calibri" w:cs="Calibri"/>
                <w:color w:val="000000"/>
              </w:rPr>
            </w:pPr>
            <w:r>
              <w:rPr>
                <w:rFonts w:ascii="Calibri" w:hAnsi="Calibri" w:cs="Calibri"/>
                <w:color w:val="000000"/>
              </w:rPr>
              <w:t>22,2%</w:t>
            </w:r>
          </w:p>
        </w:tc>
      </w:tr>
      <w:tr w:rsidR="00D97A4F" w:rsidTr="00D97A4F">
        <w:tc>
          <w:tcPr>
            <w:tcW w:w="1375" w:type="dxa"/>
          </w:tcPr>
          <w:p w:rsidR="00D97A4F" w:rsidRDefault="00D97A4F" w:rsidP="00D97A4F">
            <w:r>
              <w:t>Stati Uniti</w:t>
            </w:r>
          </w:p>
        </w:tc>
        <w:tc>
          <w:tcPr>
            <w:tcW w:w="1375" w:type="dxa"/>
          </w:tcPr>
          <w:p w:rsidR="00D97A4F" w:rsidRDefault="00D97A4F" w:rsidP="00D97A4F">
            <w:r>
              <w:t>Plastica e minerali</w:t>
            </w:r>
          </w:p>
        </w:tc>
        <w:tc>
          <w:tcPr>
            <w:tcW w:w="1375" w:type="dxa"/>
          </w:tcPr>
          <w:p w:rsidR="00D97A4F" w:rsidRDefault="00D97A4F" w:rsidP="00D97A4F">
            <w:pPr>
              <w:jc w:val="right"/>
            </w:pPr>
            <w:r>
              <w:t>50</w:t>
            </w:r>
          </w:p>
        </w:tc>
        <w:tc>
          <w:tcPr>
            <w:tcW w:w="1375" w:type="dxa"/>
          </w:tcPr>
          <w:p w:rsidR="00D97A4F" w:rsidRDefault="00D97A4F" w:rsidP="00D97A4F">
            <w:pPr>
              <w:jc w:val="right"/>
            </w:pPr>
            <w:r>
              <w:t>46</w:t>
            </w:r>
          </w:p>
        </w:tc>
        <w:tc>
          <w:tcPr>
            <w:tcW w:w="1376" w:type="dxa"/>
          </w:tcPr>
          <w:p w:rsidR="00D97A4F" w:rsidRDefault="00D97A4F" w:rsidP="00D97A4F">
            <w:pPr>
              <w:jc w:val="right"/>
            </w:pPr>
            <w:r>
              <w:t>41</w:t>
            </w:r>
          </w:p>
        </w:tc>
        <w:tc>
          <w:tcPr>
            <w:tcW w:w="1376" w:type="dxa"/>
            <w:vAlign w:val="bottom"/>
          </w:tcPr>
          <w:p w:rsidR="00D97A4F" w:rsidRDefault="00D97A4F" w:rsidP="00D97A4F">
            <w:pPr>
              <w:jc w:val="right"/>
              <w:rPr>
                <w:rFonts w:ascii="Calibri" w:hAnsi="Calibri" w:cs="Calibri"/>
                <w:color w:val="000000"/>
              </w:rPr>
            </w:pPr>
            <w:r>
              <w:rPr>
                <w:rFonts w:ascii="Calibri" w:hAnsi="Calibri" w:cs="Calibri"/>
                <w:color w:val="000000"/>
              </w:rPr>
              <w:t>17,3%</w:t>
            </w:r>
          </w:p>
        </w:tc>
        <w:tc>
          <w:tcPr>
            <w:tcW w:w="1376" w:type="dxa"/>
            <w:vAlign w:val="bottom"/>
          </w:tcPr>
          <w:p w:rsidR="00D97A4F" w:rsidRDefault="00D97A4F" w:rsidP="00D97A4F">
            <w:pPr>
              <w:jc w:val="right"/>
              <w:rPr>
                <w:rFonts w:ascii="Calibri" w:hAnsi="Calibri" w:cs="Calibri"/>
                <w:color w:val="000000"/>
              </w:rPr>
            </w:pPr>
            <w:r>
              <w:rPr>
                <w:rFonts w:ascii="Calibri" w:hAnsi="Calibri" w:cs="Calibri"/>
                <w:color w:val="000000"/>
              </w:rPr>
              <w:t>-19,0%</w:t>
            </w:r>
          </w:p>
        </w:tc>
      </w:tr>
      <w:tr w:rsidR="00D97A4F" w:rsidTr="00D97A4F">
        <w:tc>
          <w:tcPr>
            <w:tcW w:w="1375" w:type="dxa"/>
          </w:tcPr>
          <w:p w:rsidR="00D97A4F" w:rsidRDefault="00D97A4F" w:rsidP="00D97A4F">
            <w:r>
              <w:t>Francia</w:t>
            </w:r>
          </w:p>
        </w:tc>
        <w:tc>
          <w:tcPr>
            <w:tcW w:w="1375" w:type="dxa"/>
          </w:tcPr>
          <w:p w:rsidR="00D97A4F" w:rsidRDefault="00D97A4F" w:rsidP="00D97A4F">
            <w:r>
              <w:t>Prod.metallo</w:t>
            </w:r>
          </w:p>
        </w:tc>
        <w:tc>
          <w:tcPr>
            <w:tcW w:w="1375" w:type="dxa"/>
          </w:tcPr>
          <w:p w:rsidR="00D97A4F" w:rsidRDefault="00D97A4F" w:rsidP="00D97A4F">
            <w:pPr>
              <w:jc w:val="right"/>
            </w:pPr>
            <w:r>
              <w:t>50</w:t>
            </w:r>
          </w:p>
        </w:tc>
        <w:tc>
          <w:tcPr>
            <w:tcW w:w="1375" w:type="dxa"/>
          </w:tcPr>
          <w:p w:rsidR="00D97A4F" w:rsidRDefault="00D97A4F" w:rsidP="00D97A4F">
            <w:pPr>
              <w:jc w:val="right"/>
            </w:pPr>
            <w:r>
              <w:t>34</w:t>
            </w:r>
          </w:p>
        </w:tc>
        <w:tc>
          <w:tcPr>
            <w:tcW w:w="1376" w:type="dxa"/>
          </w:tcPr>
          <w:p w:rsidR="00D97A4F" w:rsidRDefault="00D97A4F" w:rsidP="00D97A4F">
            <w:pPr>
              <w:jc w:val="right"/>
            </w:pPr>
            <w:r>
              <w:t>54</w:t>
            </w:r>
          </w:p>
        </w:tc>
        <w:tc>
          <w:tcPr>
            <w:tcW w:w="1376" w:type="dxa"/>
            <w:vAlign w:val="bottom"/>
          </w:tcPr>
          <w:p w:rsidR="00D97A4F" w:rsidRDefault="00D97A4F" w:rsidP="00D97A4F">
            <w:pPr>
              <w:jc w:val="right"/>
              <w:rPr>
                <w:rFonts w:ascii="Calibri" w:hAnsi="Calibri" w:cs="Calibri"/>
                <w:color w:val="000000"/>
              </w:rPr>
            </w:pPr>
            <w:r>
              <w:rPr>
                <w:rFonts w:ascii="Calibri" w:hAnsi="Calibri" w:cs="Calibri"/>
                <w:color w:val="000000"/>
              </w:rPr>
              <w:t>23,3%</w:t>
            </w:r>
          </w:p>
        </w:tc>
        <w:tc>
          <w:tcPr>
            <w:tcW w:w="1376" w:type="dxa"/>
            <w:vAlign w:val="bottom"/>
          </w:tcPr>
          <w:p w:rsidR="00D97A4F" w:rsidRDefault="00D97A4F" w:rsidP="00D97A4F">
            <w:pPr>
              <w:jc w:val="right"/>
              <w:rPr>
                <w:rFonts w:ascii="Calibri" w:hAnsi="Calibri" w:cs="Calibri"/>
                <w:color w:val="000000"/>
              </w:rPr>
            </w:pPr>
            <w:r>
              <w:rPr>
                <w:rFonts w:ascii="Calibri" w:hAnsi="Calibri" w:cs="Calibri"/>
                <w:color w:val="000000"/>
              </w:rPr>
              <w:t>8,1%</w:t>
            </w:r>
          </w:p>
        </w:tc>
      </w:tr>
      <w:tr w:rsidR="00D97A4F" w:rsidTr="00D97A4F">
        <w:tc>
          <w:tcPr>
            <w:tcW w:w="1375" w:type="dxa"/>
          </w:tcPr>
          <w:p w:rsidR="00D97A4F" w:rsidRDefault="00D97A4F" w:rsidP="00D97A4F">
            <w:r>
              <w:t>Francia</w:t>
            </w:r>
          </w:p>
        </w:tc>
        <w:tc>
          <w:tcPr>
            <w:tcW w:w="1375" w:type="dxa"/>
          </w:tcPr>
          <w:p w:rsidR="00D97A4F" w:rsidRDefault="00D97A4F" w:rsidP="00D97A4F">
            <w:r>
              <w:t>App. elettriche</w:t>
            </w:r>
          </w:p>
        </w:tc>
        <w:tc>
          <w:tcPr>
            <w:tcW w:w="1375" w:type="dxa"/>
          </w:tcPr>
          <w:p w:rsidR="00D97A4F" w:rsidRDefault="00D97A4F" w:rsidP="00D97A4F">
            <w:pPr>
              <w:jc w:val="right"/>
            </w:pPr>
            <w:r>
              <w:t>69</w:t>
            </w:r>
          </w:p>
        </w:tc>
        <w:tc>
          <w:tcPr>
            <w:tcW w:w="1375" w:type="dxa"/>
          </w:tcPr>
          <w:p w:rsidR="00D97A4F" w:rsidRDefault="00D97A4F" w:rsidP="00D97A4F">
            <w:pPr>
              <w:jc w:val="right"/>
            </w:pPr>
            <w:r>
              <w:t>76</w:t>
            </w:r>
          </w:p>
        </w:tc>
        <w:tc>
          <w:tcPr>
            <w:tcW w:w="1376" w:type="dxa"/>
          </w:tcPr>
          <w:p w:rsidR="00D97A4F" w:rsidRDefault="00D97A4F" w:rsidP="00D97A4F">
            <w:pPr>
              <w:jc w:val="right"/>
            </w:pPr>
            <w:r>
              <w:t>85</w:t>
            </w:r>
          </w:p>
        </w:tc>
        <w:tc>
          <w:tcPr>
            <w:tcW w:w="1376" w:type="dxa"/>
          </w:tcPr>
          <w:p w:rsidR="00D97A4F" w:rsidRDefault="00D97A4F" w:rsidP="00D97A4F">
            <w:pPr>
              <w:jc w:val="right"/>
            </w:pPr>
            <w:r>
              <w:t>40,8%</w:t>
            </w:r>
          </w:p>
        </w:tc>
        <w:tc>
          <w:tcPr>
            <w:tcW w:w="1376" w:type="dxa"/>
          </w:tcPr>
          <w:p w:rsidR="00D97A4F" w:rsidRDefault="00D97A4F" w:rsidP="00D97A4F">
            <w:pPr>
              <w:jc w:val="right"/>
            </w:pPr>
            <w:r>
              <w:t>23,9%</w:t>
            </w:r>
          </w:p>
        </w:tc>
      </w:tr>
      <w:tr w:rsidR="00D97A4F" w:rsidTr="00D97A4F">
        <w:tc>
          <w:tcPr>
            <w:tcW w:w="1375" w:type="dxa"/>
          </w:tcPr>
          <w:p w:rsidR="00D97A4F" w:rsidRDefault="00D97A4F" w:rsidP="00D97A4F">
            <w:r>
              <w:t>Cina</w:t>
            </w:r>
          </w:p>
        </w:tc>
        <w:tc>
          <w:tcPr>
            <w:tcW w:w="1375" w:type="dxa"/>
          </w:tcPr>
          <w:p w:rsidR="00D97A4F" w:rsidRDefault="00D97A4F" w:rsidP="00D97A4F">
            <w:r>
              <w:t>Macchine</w:t>
            </w:r>
          </w:p>
        </w:tc>
        <w:tc>
          <w:tcPr>
            <w:tcW w:w="1375" w:type="dxa"/>
          </w:tcPr>
          <w:p w:rsidR="00D97A4F" w:rsidRDefault="00D97A4F" w:rsidP="00D97A4F">
            <w:pPr>
              <w:jc w:val="right"/>
            </w:pPr>
            <w:r>
              <w:t>40</w:t>
            </w:r>
          </w:p>
        </w:tc>
        <w:tc>
          <w:tcPr>
            <w:tcW w:w="1375" w:type="dxa"/>
          </w:tcPr>
          <w:p w:rsidR="00D97A4F" w:rsidRDefault="00D97A4F" w:rsidP="00D97A4F">
            <w:pPr>
              <w:jc w:val="right"/>
            </w:pPr>
            <w:r>
              <w:t>37</w:t>
            </w:r>
          </w:p>
        </w:tc>
        <w:tc>
          <w:tcPr>
            <w:tcW w:w="1376" w:type="dxa"/>
          </w:tcPr>
          <w:p w:rsidR="00D97A4F" w:rsidRDefault="00D97A4F" w:rsidP="00D97A4F">
            <w:pPr>
              <w:jc w:val="right"/>
            </w:pPr>
            <w:r>
              <w:t>50</w:t>
            </w:r>
          </w:p>
        </w:tc>
        <w:tc>
          <w:tcPr>
            <w:tcW w:w="1376" w:type="dxa"/>
          </w:tcPr>
          <w:p w:rsidR="00D97A4F" w:rsidRDefault="00D97A4F" w:rsidP="00D97A4F">
            <w:r>
              <w:t>7,1%</w:t>
            </w:r>
          </w:p>
        </w:tc>
        <w:tc>
          <w:tcPr>
            <w:tcW w:w="1376" w:type="dxa"/>
          </w:tcPr>
          <w:p w:rsidR="00D97A4F" w:rsidRDefault="00D97A4F" w:rsidP="00D97A4F">
            <w:r>
              <w:t>25,1%</w:t>
            </w:r>
          </w:p>
        </w:tc>
      </w:tr>
      <w:tr w:rsidR="00D97A4F" w:rsidTr="00D97A4F">
        <w:tc>
          <w:tcPr>
            <w:tcW w:w="1375" w:type="dxa"/>
          </w:tcPr>
          <w:p w:rsidR="00D97A4F" w:rsidRDefault="00D97A4F" w:rsidP="00D97A4F">
            <w:r>
              <w:t>Francia</w:t>
            </w:r>
          </w:p>
        </w:tc>
        <w:tc>
          <w:tcPr>
            <w:tcW w:w="1375" w:type="dxa"/>
          </w:tcPr>
          <w:p w:rsidR="00D97A4F" w:rsidRDefault="00D97A4F" w:rsidP="00D97A4F">
            <w:r>
              <w:t>Macchine</w:t>
            </w:r>
          </w:p>
        </w:tc>
        <w:tc>
          <w:tcPr>
            <w:tcW w:w="1375" w:type="dxa"/>
          </w:tcPr>
          <w:p w:rsidR="00D97A4F" w:rsidRDefault="00D97A4F" w:rsidP="00D97A4F">
            <w:pPr>
              <w:jc w:val="right"/>
            </w:pPr>
            <w:r>
              <w:t>58</w:t>
            </w:r>
          </w:p>
        </w:tc>
        <w:tc>
          <w:tcPr>
            <w:tcW w:w="1375" w:type="dxa"/>
          </w:tcPr>
          <w:p w:rsidR="00D97A4F" w:rsidRDefault="00D97A4F" w:rsidP="00D97A4F">
            <w:pPr>
              <w:jc w:val="right"/>
            </w:pPr>
            <w:r>
              <w:t>56</w:t>
            </w:r>
          </w:p>
        </w:tc>
        <w:tc>
          <w:tcPr>
            <w:tcW w:w="1376" w:type="dxa"/>
          </w:tcPr>
          <w:p w:rsidR="00D97A4F" w:rsidRDefault="00D97A4F" w:rsidP="00D97A4F">
            <w:pPr>
              <w:jc w:val="right"/>
            </w:pPr>
            <w:r>
              <w:t>40</w:t>
            </w:r>
          </w:p>
        </w:tc>
        <w:tc>
          <w:tcPr>
            <w:tcW w:w="1376" w:type="dxa"/>
          </w:tcPr>
          <w:p w:rsidR="00D97A4F" w:rsidRDefault="00D97A4F" w:rsidP="00D97A4F">
            <w:r>
              <w:t>5,6%</w:t>
            </w:r>
          </w:p>
        </w:tc>
        <w:tc>
          <w:tcPr>
            <w:tcW w:w="1376" w:type="dxa"/>
          </w:tcPr>
          <w:p w:rsidR="00D97A4F" w:rsidRDefault="00D97A4F" w:rsidP="00D97A4F">
            <w:r>
              <w:t>-31,1%</w:t>
            </w:r>
          </w:p>
        </w:tc>
      </w:tr>
      <w:tr w:rsidR="00D97A4F" w:rsidTr="00D97A4F">
        <w:tc>
          <w:tcPr>
            <w:tcW w:w="1375" w:type="dxa"/>
          </w:tcPr>
          <w:p w:rsidR="00D97A4F" w:rsidRDefault="00D97A4F" w:rsidP="00D97A4F">
            <w:r>
              <w:t>Messico</w:t>
            </w:r>
          </w:p>
        </w:tc>
        <w:tc>
          <w:tcPr>
            <w:tcW w:w="1375" w:type="dxa"/>
          </w:tcPr>
          <w:p w:rsidR="00D97A4F" w:rsidRDefault="00D97A4F" w:rsidP="00D97A4F">
            <w:r>
              <w:t>Macchine</w:t>
            </w:r>
          </w:p>
        </w:tc>
        <w:tc>
          <w:tcPr>
            <w:tcW w:w="1375" w:type="dxa"/>
          </w:tcPr>
          <w:p w:rsidR="00D97A4F" w:rsidRDefault="00D97A4F" w:rsidP="00D97A4F">
            <w:pPr>
              <w:jc w:val="right"/>
            </w:pPr>
            <w:r>
              <w:t>32</w:t>
            </w:r>
          </w:p>
        </w:tc>
        <w:tc>
          <w:tcPr>
            <w:tcW w:w="1375" w:type="dxa"/>
          </w:tcPr>
          <w:p w:rsidR="00D97A4F" w:rsidRDefault="00D97A4F" w:rsidP="00D97A4F">
            <w:pPr>
              <w:jc w:val="right"/>
            </w:pPr>
            <w:r>
              <w:t>50</w:t>
            </w:r>
          </w:p>
        </w:tc>
        <w:tc>
          <w:tcPr>
            <w:tcW w:w="1376" w:type="dxa"/>
          </w:tcPr>
          <w:p w:rsidR="00D97A4F" w:rsidRDefault="00D97A4F" w:rsidP="00D97A4F">
            <w:pPr>
              <w:jc w:val="right"/>
            </w:pPr>
            <w:r>
              <w:t>49</w:t>
            </w:r>
          </w:p>
        </w:tc>
        <w:tc>
          <w:tcPr>
            <w:tcW w:w="1376" w:type="dxa"/>
          </w:tcPr>
          <w:p w:rsidR="00D97A4F" w:rsidRDefault="00D97A4F" w:rsidP="00D97A4F">
            <w:r>
              <w:t>6,9%</w:t>
            </w:r>
          </w:p>
        </w:tc>
        <w:tc>
          <w:tcPr>
            <w:tcW w:w="1376" w:type="dxa"/>
          </w:tcPr>
          <w:p w:rsidR="00D97A4F" w:rsidRDefault="00D97A4F" w:rsidP="00D97A4F">
            <w:r>
              <w:t>51,6%</w:t>
            </w:r>
          </w:p>
        </w:tc>
      </w:tr>
      <w:tr w:rsidR="00D97A4F" w:rsidTr="00D97A4F">
        <w:tc>
          <w:tcPr>
            <w:tcW w:w="1375" w:type="dxa"/>
          </w:tcPr>
          <w:p w:rsidR="00D97A4F" w:rsidRDefault="00D97A4F" w:rsidP="00D97A4F">
            <w:r>
              <w:t>Stati Uniti</w:t>
            </w:r>
          </w:p>
        </w:tc>
        <w:tc>
          <w:tcPr>
            <w:tcW w:w="1375" w:type="dxa"/>
          </w:tcPr>
          <w:p w:rsidR="00D97A4F" w:rsidRDefault="00D97A4F" w:rsidP="00D97A4F">
            <w:r>
              <w:t>Macchine</w:t>
            </w:r>
          </w:p>
        </w:tc>
        <w:tc>
          <w:tcPr>
            <w:tcW w:w="1375" w:type="dxa"/>
          </w:tcPr>
          <w:p w:rsidR="00D97A4F" w:rsidRDefault="00D97A4F" w:rsidP="00D97A4F">
            <w:pPr>
              <w:jc w:val="right"/>
            </w:pPr>
            <w:r>
              <w:t>97</w:t>
            </w:r>
          </w:p>
        </w:tc>
        <w:tc>
          <w:tcPr>
            <w:tcW w:w="1375" w:type="dxa"/>
          </w:tcPr>
          <w:p w:rsidR="00D97A4F" w:rsidRDefault="00D97A4F" w:rsidP="00D97A4F">
            <w:pPr>
              <w:jc w:val="right"/>
            </w:pPr>
            <w:r>
              <w:t>131</w:t>
            </w:r>
          </w:p>
        </w:tc>
        <w:tc>
          <w:tcPr>
            <w:tcW w:w="1376" w:type="dxa"/>
          </w:tcPr>
          <w:p w:rsidR="00D97A4F" w:rsidRDefault="00D97A4F" w:rsidP="00D97A4F">
            <w:pPr>
              <w:jc w:val="right"/>
            </w:pPr>
            <w:r>
              <w:t>93</w:t>
            </w:r>
          </w:p>
        </w:tc>
        <w:tc>
          <w:tcPr>
            <w:tcW w:w="1376" w:type="dxa"/>
          </w:tcPr>
          <w:p w:rsidR="00D97A4F" w:rsidRDefault="00D97A4F" w:rsidP="00D97A4F">
            <w:r>
              <w:t>13,2%</w:t>
            </w:r>
          </w:p>
        </w:tc>
        <w:tc>
          <w:tcPr>
            <w:tcW w:w="1376" w:type="dxa"/>
          </w:tcPr>
          <w:p w:rsidR="00D97A4F" w:rsidRDefault="00D97A4F" w:rsidP="00D97A4F">
            <w:r>
              <w:t>-4,4%</w:t>
            </w:r>
          </w:p>
        </w:tc>
      </w:tr>
      <w:tr w:rsidR="00D97A4F" w:rsidTr="00D97A4F">
        <w:tc>
          <w:tcPr>
            <w:tcW w:w="1375" w:type="dxa"/>
          </w:tcPr>
          <w:p w:rsidR="00D97A4F" w:rsidRDefault="00D97A4F" w:rsidP="00D97A4F">
            <w:r>
              <w:t>Is.Cayman</w:t>
            </w:r>
          </w:p>
        </w:tc>
        <w:tc>
          <w:tcPr>
            <w:tcW w:w="1375" w:type="dxa"/>
          </w:tcPr>
          <w:p w:rsidR="00D97A4F" w:rsidRDefault="00D97A4F" w:rsidP="00D97A4F">
            <w:r>
              <w:t>Imbarcazioni</w:t>
            </w:r>
          </w:p>
        </w:tc>
        <w:tc>
          <w:tcPr>
            <w:tcW w:w="1375" w:type="dxa"/>
          </w:tcPr>
          <w:p w:rsidR="00D97A4F" w:rsidRDefault="00D97A4F" w:rsidP="00D97A4F">
            <w:pPr>
              <w:jc w:val="right"/>
            </w:pPr>
            <w:r>
              <w:t>150</w:t>
            </w:r>
          </w:p>
        </w:tc>
        <w:tc>
          <w:tcPr>
            <w:tcW w:w="1375" w:type="dxa"/>
          </w:tcPr>
          <w:p w:rsidR="00D97A4F" w:rsidRDefault="00D97A4F" w:rsidP="00D97A4F">
            <w:pPr>
              <w:jc w:val="right"/>
            </w:pPr>
            <w:r>
              <w:t>52</w:t>
            </w:r>
          </w:p>
        </w:tc>
        <w:tc>
          <w:tcPr>
            <w:tcW w:w="1376" w:type="dxa"/>
          </w:tcPr>
          <w:p w:rsidR="00D97A4F" w:rsidRDefault="00D97A4F" w:rsidP="00D97A4F">
            <w:pPr>
              <w:jc w:val="right"/>
            </w:pPr>
            <w:r>
              <w:t>114</w:t>
            </w:r>
          </w:p>
        </w:tc>
        <w:tc>
          <w:tcPr>
            <w:tcW w:w="1376" w:type="dxa"/>
          </w:tcPr>
          <w:p w:rsidR="00D97A4F" w:rsidRDefault="00D97A4F" w:rsidP="00D97A4F">
            <w:r>
              <w:t>19,5%</w:t>
            </w:r>
          </w:p>
        </w:tc>
        <w:tc>
          <w:tcPr>
            <w:tcW w:w="1376" w:type="dxa"/>
          </w:tcPr>
          <w:p w:rsidR="00D97A4F" w:rsidRDefault="00D97A4F" w:rsidP="00D97A4F">
            <w:r>
              <w:t>-23,7%</w:t>
            </w:r>
          </w:p>
        </w:tc>
      </w:tr>
      <w:tr w:rsidR="00D97A4F" w:rsidTr="00D97A4F">
        <w:tc>
          <w:tcPr>
            <w:tcW w:w="1375" w:type="dxa"/>
          </w:tcPr>
          <w:p w:rsidR="00D97A4F" w:rsidRDefault="00D97A4F" w:rsidP="00D97A4F">
            <w:r>
              <w:t>Is.Vergini Br.</w:t>
            </w:r>
          </w:p>
        </w:tc>
        <w:tc>
          <w:tcPr>
            <w:tcW w:w="1375" w:type="dxa"/>
          </w:tcPr>
          <w:p w:rsidR="00D97A4F" w:rsidRDefault="00D97A4F" w:rsidP="00D97A4F">
            <w:r>
              <w:t>Imbarcazioni</w:t>
            </w:r>
          </w:p>
        </w:tc>
        <w:tc>
          <w:tcPr>
            <w:tcW w:w="1375" w:type="dxa"/>
          </w:tcPr>
          <w:p w:rsidR="00D97A4F" w:rsidRDefault="00D97A4F" w:rsidP="00D97A4F">
            <w:pPr>
              <w:jc w:val="right"/>
            </w:pPr>
            <w:r>
              <w:t>258</w:t>
            </w:r>
          </w:p>
        </w:tc>
        <w:tc>
          <w:tcPr>
            <w:tcW w:w="1375" w:type="dxa"/>
          </w:tcPr>
          <w:p w:rsidR="00D97A4F" w:rsidRDefault="00D97A4F" w:rsidP="00D97A4F">
            <w:pPr>
              <w:jc w:val="right"/>
            </w:pPr>
            <w:r>
              <w:t>97</w:t>
            </w:r>
          </w:p>
        </w:tc>
        <w:tc>
          <w:tcPr>
            <w:tcW w:w="1376" w:type="dxa"/>
          </w:tcPr>
          <w:p w:rsidR="00D97A4F" w:rsidRDefault="00D97A4F" w:rsidP="00D97A4F">
            <w:pPr>
              <w:jc w:val="right"/>
            </w:pPr>
            <w:r>
              <w:t>79</w:t>
            </w:r>
          </w:p>
        </w:tc>
        <w:tc>
          <w:tcPr>
            <w:tcW w:w="1376" w:type="dxa"/>
          </w:tcPr>
          <w:p w:rsidR="00D97A4F" w:rsidRDefault="00D97A4F" w:rsidP="00D97A4F">
            <w:r>
              <w:t>13,5%</w:t>
            </w:r>
          </w:p>
        </w:tc>
        <w:tc>
          <w:tcPr>
            <w:tcW w:w="1376" w:type="dxa"/>
          </w:tcPr>
          <w:p w:rsidR="00D97A4F" w:rsidRDefault="00D97A4F" w:rsidP="00D97A4F">
            <w:r>
              <w:t>-50,0%</w:t>
            </w:r>
          </w:p>
        </w:tc>
      </w:tr>
      <w:tr w:rsidR="00D97A4F" w:rsidTr="00D97A4F">
        <w:tc>
          <w:tcPr>
            <w:tcW w:w="1375" w:type="dxa"/>
          </w:tcPr>
          <w:p w:rsidR="00D97A4F" w:rsidRDefault="00D97A4F" w:rsidP="00D97A4F">
            <w:r>
              <w:t>Malta</w:t>
            </w:r>
          </w:p>
        </w:tc>
        <w:tc>
          <w:tcPr>
            <w:tcW w:w="1375" w:type="dxa"/>
          </w:tcPr>
          <w:p w:rsidR="00D97A4F" w:rsidRDefault="00D97A4F" w:rsidP="00D97A4F">
            <w:r>
              <w:t>Imbarcazioni</w:t>
            </w:r>
          </w:p>
        </w:tc>
        <w:tc>
          <w:tcPr>
            <w:tcW w:w="1375" w:type="dxa"/>
          </w:tcPr>
          <w:p w:rsidR="00D97A4F" w:rsidRDefault="00D97A4F" w:rsidP="00D97A4F">
            <w:pPr>
              <w:jc w:val="right"/>
            </w:pPr>
            <w:r>
              <w:t>38</w:t>
            </w:r>
          </w:p>
        </w:tc>
        <w:tc>
          <w:tcPr>
            <w:tcW w:w="1375" w:type="dxa"/>
          </w:tcPr>
          <w:p w:rsidR="00D97A4F" w:rsidRDefault="00D97A4F" w:rsidP="00D97A4F">
            <w:pPr>
              <w:jc w:val="right"/>
            </w:pPr>
            <w:r>
              <w:t>61</w:t>
            </w:r>
          </w:p>
        </w:tc>
        <w:tc>
          <w:tcPr>
            <w:tcW w:w="1376" w:type="dxa"/>
          </w:tcPr>
          <w:p w:rsidR="00D97A4F" w:rsidRDefault="00D97A4F" w:rsidP="00D97A4F">
            <w:pPr>
              <w:jc w:val="right"/>
            </w:pPr>
            <w:r>
              <w:t>135</w:t>
            </w:r>
          </w:p>
        </w:tc>
        <w:tc>
          <w:tcPr>
            <w:tcW w:w="1376" w:type="dxa"/>
          </w:tcPr>
          <w:p w:rsidR="00D97A4F" w:rsidRDefault="00D97A4F" w:rsidP="00D97A4F">
            <w:r>
              <w:t>23,2%</w:t>
            </w:r>
          </w:p>
        </w:tc>
        <w:tc>
          <w:tcPr>
            <w:tcW w:w="1376" w:type="dxa"/>
          </w:tcPr>
          <w:p w:rsidR="00D97A4F" w:rsidRDefault="00D97A4F" w:rsidP="00D97A4F">
            <w:r>
              <w:t>255,3%</w:t>
            </w:r>
          </w:p>
        </w:tc>
      </w:tr>
      <w:tr w:rsidR="00D97A4F" w:rsidTr="00D97A4F">
        <w:tc>
          <w:tcPr>
            <w:tcW w:w="1375" w:type="dxa"/>
          </w:tcPr>
          <w:p w:rsidR="00D97A4F" w:rsidRDefault="00D97A4F" w:rsidP="00D97A4F">
            <w:r>
              <w:t>Panama</w:t>
            </w:r>
          </w:p>
        </w:tc>
        <w:tc>
          <w:tcPr>
            <w:tcW w:w="1375" w:type="dxa"/>
          </w:tcPr>
          <w:p w:rsidR="00D97A4F" w:rsidRDefault="00D97A4F" w:rsidP="00D97A4F">
            <w:r>
              <w:t>Imbarcazioni</w:t>
            </w:r>
          </w:p>
        </w:tc>
        <w:tc>
          <w:tcPr>
            <w:tcW w:w="1375" w:type="dxa"/>
          </w:tcPr>
          <w:p w:rsidR="00D97A4F" w:rsidRDefault="00D97A4F" w:rsidP="00D97A4F">
            <w:pPr>
              <w:jc w:val="right"/>
            </w:pPr>
            <w:r>
              <w:t>57</w:t>
            </w:r>
          </w:p>
        </w:tc>
        <w:tc>
          <w:tcPr>
            <w:tcW w:w="1375" w:type="dxa"/>
          </w:tcPr>
          <w:p w:rsidR="00D97A4F" w:rsidRDefault="00D97A4F" w:rsidP="00D97A4F">
            <w:pPr>
              <w:jc w:val="right"/>
            </w:pPr>
            <w:r>
              <w:t>0</w:t>
            </w:r>
          </w:p>
        </w:tc>
        <w:tc>
          <w:tcPr>
            <w:tcW w:w="1376" w:type="dxa"/>
          </w:tcPr>
          <w:p w:rsidR="00D97A4F" w:rsidRDefault="00D97A4F" w:rsidP="00D97A4F">
            <w:pPr>
              <w:jc w:val="right"/>
            </w:pPr>
            <w:r>
              <w:t>4</w:t>
            </w:r>
          </w:p>
        </w:tc>
        <w:tc>
          <w:tcPr>
            <w:tcW w:w="1376" w:type="dxa"/>
          </w:tcPr>
          <w:p w:rsidR="00D97A4F" w:rsidRDefault="00D97A4F" w:rsidP="00D97A4F">
            <w:r>
              <w:t>0,6%</w:t>
            </w:r>
          </w:p>
        </w:tc>
        <w:tc>
          <w:tcPr>
            <w:tcW w:w="1376" w:type="dxa"/>
          </w:tcPr>
          <w:p w:rsidR="00D97A4F" w:rsidRDefault="00D97A4F" w:rsidP="00D97A4F">
            <w:r>
              <w:t>-93,9%</w:t>
            </w:r>
          </w:p>
        </w:tc>
      </w:tr>
      <w:tr w:rsidR="00D97A4F" w:rsidTr="00D97A4F">
        <w:tc>
          <w:tcPr>
            <w:tcW w:w="1375" w:type="dxa"/>
          </w:tcPr>
          <w:p w:rsidR="00D97A4F" w:rsidRDefault="00D97A4F" w:rsidP="00D97A4F">
            <w:r>
              <w:t>Stati Uniti</w:t>
            </w:r>
          </w:p>
        </w:tc>
        <w:tc>
          <w:tcPr>
            <w:tcW w:w="1375" w:type="dxa"/>
          </w:tcPr>
          <w:p w:rsidR="00D97A4F" w:rsidRDefault="00D97A4F" w:rsidP="00D97A4F">
            <w:r>
              <w:t>Imbarcazioni</w:t>
            </w:r>
          </w:p>
        </w:tc>
        <w:tc>
          <w:tcPr>
            <w:tcW w:w="1375" w:type="dxa"/>
          </w:tcPr>
          <w:p w:rsidR="00D97A4F" w:rsidRDefault="00D97A4F" w:rsidP="00D97A4F">
            <w:pPr>
              <w:jc w:val="right"/>
            </w:pPr>
            <w:r>
              <w:t>80</w:t>
            </w:r>
          </w:p>
        </w:tc>
        <w:tc>
          <w:tcPr>
            <w:tcW w:w="1375" w:type="dxa"/>
          </w:tcPr>
          <w:p w:rsidR="00D97A4F" w:rsidRDefault="00D97A4F" w:rsidP="00D97A4F">
            <w:pPr>
              <w:jc w:val="right"/>
            </w:pPr>
            <w:r>
              <w:t>173</w:t>
            </w:r>
          </w:p>
        </w:tc>
        <w:tc>
          <w:tcPr>
            <w:tcW w:w="1376" w:type="dxa"/>
          </w:tcPr>
          <w:p w:rsidR="00D97A4F" w:rsidRDefault="00D97A4F" w:rsidP="00D97A4F">
            <w:pPr>
              <w:jc w:val="right"/>
            </w:pPr>
            <w:r>
              <w:t>76</w:t>
            </w:r>
          </w:p>
        </w:tc>
        <w:tc>
          <w:tcPr>
            <w:tcW w:w="1376" w:type="dxa"/>
          </w:tcPr>
          <w:p w:rsidR="00D97A4F" w:rsidRDefault="00D97A4F" w:rsidP="00D97A4F">
            <w:r>
              <w:t>12,9%</w:t>
            </w:r>
          </w:p>
        </w:tc>
        <w:tc>
          <w:tcPr>
            <w:tcW w:w="1376" w:type="dxa"/>
          </w:tcPr>
          <w:p w:rsidR="00D97A4F" w:rsidRDefault="00D97A4F" w:rsidP="00D97A4F">
            <w:r>
              <w:t>-4,9%</w:t>
            </w:r>
          </w:p>
        </w:tc>
      </w:tr>
    </w:tbl>
    <w:p w:rsidR="00D97A4F" w:rsidRDefault="00D97A4F" w:rsidP="00D97A4F"/>
    <w:p w:rsidR="00D97A4F" w:rsidRDefault="00D97A4F" w:rsidP="00D97A4F">
      <w:pPr>
        <w:jc w:val="both"/>
      </w:pPr>
      <w:r>
        <w:t>Infine riportiamo alcuni dati per gruppi di paesi: i principali paesi in via di sviluppo (BRICS: Brasile, Russia, India, Cina e Sudafrica). I paesi del Nordamerica (NAFTA: Usa, Canada e Messico) e i 28 paesi dell’unione Europea, calcolando sia il modo con cui fra essi, nel 2017, si divide l’export lucchese, sia la variazione in percentuale delle quote dell’export lucchese fra 2015 e 2017.</w:t>
      </w:r>
    </w:p>
    <w:p w:rsidR="00D97A4F" w:rsidRDefault="00D97A4F" w:rsidP="00D97A4F">
      <w:pPr>
        <w:jc w:val="both"/>
      </w:pPr>
      <w:r>
        <w:t>L’Unione Europea è il principale mercato, di gran lunga in settori come la carta e legno (84%), l’elettromeccanica (89%), prodotti in metallo (75%), ma con quote rilevanti anche nella chimica (53%), nell’alimentare (45%), nel sistema moda (44%), nei prodotti in plastica (44%), nelle altre industrie (44%), nell’elettronica (37%) e nei macchinari (36%).</w:t>
      </w:r>
    </w:p>
    <w:p w:rsidR="00D97A4F" w:rsidRDefault="00D97A4F" w:rsidP="00D97A4F">
      <w:pPr>
        <w:jc w:val="both"/>
      </w:pPr>
      <w:r>
        <w:t>Il mercato nordamericano è rilevante soprattutto nel settore alimentare (36%), nel macchinario (21%) e nelle produzioni di minerali non metalliferi e e plastiche (20%). Il mercato dei paesi Brics è più ridotto, ma è rilevante nelle esportazioni di materiali estratti (46%), nella farmaceutica (16%) e nelle macchine (13%)</w:t>
      </w:r>
    </w:p>
    <w:p w:rsidR="00D97A4F" w:rsidRDefault="00D97A4F" w:rsidP="00D97A4F">
      <w:pPr>
        <w:jc w:val="both"/>
      </w:pPr>
      <w:r>
        <w:t>Da un punto di vista dinamico, stanno acquistando importanza i paesi Brics nella farmaceutica (la loro quota è cresciuta del 10%, nelle “altre industrie manifatturiere” (+4%), nell’alimentare (+3%) e nella chimica (+2%), ma una certa instabilità di alcuni di quei mercati (soprattutto Brasile e Russia) fa sì che essi abbiano perso di rilevanza in settori come l’estrazione e i prodotti in metallo). Il NordAmerica (NAFTA) è cresciuto di rilevanza nella chimica (+4%), nelle “altre industrie” (+3%), nei minerali estratti (+2%), ma ha diminuito la sua quota in settori come la farmaceutica (-6%), l’alimentare (-4%), la plastica e minerali non metalliferi (-4%), l’elettronica (-2%). Infine il mercato europeo appare piuttosto stabile, ha avuto una forte crescita nelle imbarcazioni (+16%, ma come si è detto questo settore ha un mercato strutturalmente volatile), nella chimica (+9%), nell’elettromeccanica (+8%), nella plastica e minerali lavorati (+6%). In alcuni settori importanti come il sistema moda (-11%) e la costruzione macchine (-5%) i mercati di sbocco europei appaiono strutturalmente in ridimensionamento.</w:t>
      </w:r>
    </w:p>
    <w:p w:rsidR="00D97A4F" w:rsidRDefault="00D97A4F" w:rsidP="00D97A4F"/>
    <w:p w:rsidR="00563DAE" w:rsidRPr="00563DAE" w:rsidRDefault="00563DAE" w:rsidP="00D97A4F">
      <w:pPr>
        <w:rPr>
          <w:i/>
        </w:rPr>
      </w:pPr>
      <w:r w:rsidRPr="00563DAE">
        <w:rPr>
          <w:i/>
        </w:rPr>
        <w:t>Tab. 15 -  quote dei mercati di destinazione 2017 e variazione quote 2015-2017</w:t>
      </w:r>
    </w:p>
    <w:p w:rsidR="00D97A4F" w:rsidRPr="00563DAE" w:rsidRDefault="00D97A4F" w:rsidP="00D97A4F">
      <w:pPr>
        <w:rPr>
          <w:i/>
        </w:rPr>
      </w:pPr>
      <w:r w:rsidRPr="00563DAE">
        <w:rPr>
          <w:i/>
        </w:rPr>
        <w:t>Quota export 2017</w:t>
      </w:r>
    </w:p>
    <w:tbl>
      <w:tblPr>
        <w:tblW w:w="9638" w:type="dxa"/>
        <w:tblCellMar>
          <w:left w:w="70" w:type="dxa"/>
          <w:right w:w="70" w:type="dxa"/>
        </w:tblCellMar>
        <w:tblLook w:val="04A0" w:firstRow="1" w:lastRow="0" w:firstColumn="1" w:lastColumn="0" w:noHBand="0" w:noVBand="1"/>
      </w:tblPr>
      <w:tblGrid>
        <w:gridCol w:w="1886"/>
        <w:gridCol w:w="1410"/>
        <w:gridCol w:w="1592"/>
        <w:gridCol w:w="1653"/>
        <w:gridCol w:w="1410"/>
        <w:gridCol w:w="1687"/>
      </w:tblGrid>
      <w:tr w:rsidR="00D97A4F" w:rsidRPr="009028E3" w:rsidTr="00563DAE">
        <w:trPr>
          <w:trHeight w:val="300"/>
        </w:trPr>
        <w:tc>
          <w:tcPr>
            <w:tcW w:w="1891"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4"/>
                <w:szCs w:val="24"/>
                <w:lang w:eastAsia="it-IT"/>
              </w:rPr>
            </w:pPr>
          </w:p>
        </w:tc>
        <w:tc>
          <w:tcPr>
            <w:tcW w:w="1414"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Estrazione</w:t>
            </w:r>
          </w:p>
        </w:tc>
        <w:tc>
          <w:tcPr>
            <w:tcW w:w="1596"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Alimentare</w:t>
            </w:r>
          </w:p>
        </w:tc>
        <w:tc>
          <w:tcPr>
            <w:tcW w:w="1657"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sistema moda</w:t>
            </w:r>
          </w:p>
        </w:tc>
        <w:tc>
          <w:tcPr>
            <w:tcW w:w="1414"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Carta e legno</w:t>
            </w:r>
          </w:p>
        </w:tc>
        <w:tc>
          <w:tcPr>
            <w:tcW w:w="1666"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chimica</w:t>
            </w:r>
          </w:p>
        </w:tc>
      </w:tr>
      <w:tr w:rsidR="00D97A4F" w:rsidRPr="009028E3" w:rsidTr="00563DAE">
        <w:trPr>
          <w:trHeight w:val="300"/>
        </w:trPr>
        <w:tc>
          <w:tcPr>
            <w:tcW w:w="1891"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rPr>
                <w:rFonts w:ascii="Calibri" w:eastAsia="Times New Roman" w:hAnsi="Calibri" w:cs="Calibri"/>
                <w:color w:val="000000"/>
                <w:lang w:eastAsia="it-IT"/>
              </w:rPr>
            </w:pPr>
            <w:r w:rsidRPr="009028E3">
              <w:rPr>
                <w:rFonts w:ascii="Calibri" w:eastAsia="Times New Roman" w:hAnsi="Calibri" w:cs="Calibri"/>
                <w:color w:val="000000"/>
                <w:lang w:eastAsia="it-IT"/>
              </w:rPr>
              <w:t>BRICS</w:t>
            </w:r>
          </w:p>
        </w:tc>
        <w:tc>
          <w:tcPr>
            <w:tcW w:w="1414"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46%</w:t>
            </w:r>
          </w:p>
        </w:tc>
        <w:tc>
          <w:tcPr>
            <w:tcW w:w="1596"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6%</w:t>
            </w:r>
          </w:p>
        </w:tc>
        <w:tc>
          <w:tcPr>
            <w:tcW w:w="1657"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4%</w:t>
            </w:r>
          </w:p>
        </w:tc>
        <w:tc>
          <w:tcPr>
            <w:tcW w:w="1414"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1%</w:t>
            </w:r>
          </w:p>
        </w:tc>
        <w:tc>
          <w:tcPr>
            <w:tcW w:w="1666"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7%</w:t>
            </w:r>
          </w:p>
        </w:tc>
      </w:tr>
      <w:tr w:rsidR="00D97A4F" w:rsidRPr="009028E3" w:rsidTr="00563DAE">
        <w:trPr>
          <w:trHeight w:val="300"/>
        </w:trPr>
        <w:tc>
          <w:tcPr>
            <w:tcW w:w="1891" w:type="dxa"/>
            <w:tcBorders>
              <w:top w:val="nil"/>
              <w:left w:val="nil"/>
              <w:right w:val="nil"/>
            </w:tcBorders>
            <w:shd w:val="clear" w:color="auto" w:fill="auto"/>
            <w:noWrap/>
            <w:vAlign w:val="bottom"/>
            <w:hideMark/>
          </w:tcPr>
          <w:p w:rsidR="00D97A4F" w:rsidRPr="009028E3" w:rsidRDefault="00D97A4F" w:rsidP="00D97A4F">
            <w:pPr>
              <w:spacing w:after="0" w:line="240" w:lineRule="auto"/>
              <w:rPr>
                <w:rFonts w:ascii="Calibri" w:eastAsia="Times New Roman" w:hAnsi="Calibri" w:cs="Calibri"/>
                <w:color w:val="000000"/>
                <w:lang w:eastAsia="it-IT"/>
              </w:rPr>
            </w:pPr>
            <w:r w:rsidRPr="009028E3">
              <w:rPr>
                <w:rFonts w:ascii="Calibri" w:eastAsia="Times New Roman" w:hAnsi="Calibri" w:cs="Calibri"/>
                <w:color w:val="000000"/>
                <w:lang w:eastAsia="it-IT"/>
              </w:rPr>
              <w:t>NAFTA</w:t>
            </w:r>
          </w:p>
        </w:tc>
        <w:tc>
          <w:tcPr>
            <w:tcW w:w="1414" w:type="dxa"/>
            <w:tcBorders>
              <w:top w:val="nil"/>
              <w:left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3%</w:t>
            </w:r>
          </w:p>
        </w:tc>
        <w:tc>
          <w:tcPr>
            <w:tcW w:w="1596" w:type="dxa"/>
            <w:tcBorders>
              <w:top w:val="nil"/>
              <w:left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36%</w:t>
            </w:r>
          </w:p>
        </w:tc>
        <w:tc>
          <w:tcPr>
            <w:tcW w:w="1657" w:type="dxa"/>
            <w:tcBorders>
              <w:top w:val="nil"/>
              <w:left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12%</w:t>
            </w:r>
          </w:p>
        </w:tc>
        <w:tc>
          <w:tcPr>
            <w:tcW w:w="1414" w:type="dxa"/>
            <w:tcBorders>
              <w:top w:val="nil"/>
              <w:left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4%</w:t>
            </w:r>
          </w:p>
        </w:tc>
        <w:tc>
          <w:tcPr>
            <w:tcW w:w="1666" w:type="dxa"/>
            <w:tcBorders>
              <w:top w:val="nil"/>
              <w:left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10%</w:t>
            </w:r>
          </w:p>
        </w:tc>
      </w:tr>
      <w:tr w:rsidR="00D97A4F" w:rsidRPr="009028E3" w:rsidTr="00563DAE">
        <w:trPr>
          <w:trHeight w:val="300"/>
        </w:trPr>
        <w:tc>
          <w:tcPr>
            <w:tcW w:w="1891"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rPr>
                <w:rFonts w:ascii="Calibri" w:eastAsia="Times New Roman" w:hAnsi="Calibri" w:cs="Calibri"/>
                <w:color w:val="000000"/>
                <w:lang w:eastAsia="it-IT"/>
              </w:rPr>
            </w:pPr>
            <w:r w:rsidRPr="009028E3">
              <w:rPr>
                <w:rFonts w:ascii="Calibri" w:eastAsia="Times New Roman" w:hAnsi="Calibri" w:cs="Calibri"/>
                <w:color w:val="000000"/>
                <w:lang w:eastAsia="it-IT"/>
              </w:rPr>
              <w:t>Unione Europea</w:t>
            </w:r>
          </w:p>
        </w:tc>
        <w:tc>
          <w:tcPr>
            <w:tcW w:w="1414"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18%</w:t>
            </w:r>
          </w:p>
        </w:tc>
        <w:tc>
          <w:tcPr>
            <w:tcW w:w="1596"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45%</w:t>
            </w:r>
          </w:p>
        </w:tc>
        <w:tc>
          <w:tcPr>
            <w:tcW w:w="1657"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44%</w:t>
            </w:r>
          </w:p>
        </w:tc>
        <w:tc>
          <w:tcPr>
            <w:tcW w:w="1414"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84%</w:t>
            </w:r>
          </w:p>
        </w:tc>
        <w:tc>
          <w:tcPr>
            <w:tcW w:w="1666"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53%</w:t>
            </w:r>
          </w:p>
        </w:tc>
      </w:tr>
      <w:tr w:rsidR="00D97A4F" w:rsidRPr="009028E3" w:rsidTr="00563DAE">
        <w:trPr>
          <w:trHeight w:val="300"/>
        </w:trPr>
        <w:tc>
          <w:tcPr>
            <w:tcW w:w="1891"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Var. quota export 2015-2017</w:t>
            </w:r>
          </w:p>
        </w:tc>
        <w:tc>
          <w:tcPr>
            <w:tcW w:w="1414"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c>
          <w:tcPr>
            <w:tcW w:w="1596"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c>
          <w:tcPr>
            <w:tcW w:w="1657"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c>
          <w:tcPr>
            <w:tcW w:w="1414"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c>
          <w:tcPr>
            <w:tcW w:w="1666"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r>
      <w:tr w:rsidR="00D97A4F" w:rsidRPr="009028E3" w:rsidTr="00563DAE">
        <w:trPr>
          <w:trHeight w:val="300"/>
        </w:trPr>
        <w:tc>
          <w:tcPr>
            <w:tcW w:w="1891"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Times New Roman" w:eastAsia="Times New Roman" w:hAnsi="Times New Roman" w:cs="Times New Roman"/>
                <w:sz w:val="20"/>
                <w:szCs w:val="20"/>
                <w:lang w:eastAsia="it-IT"/>
              </w:rPr>
            </w:pPr>
          </w:p>
        </w:tc>
        <w:tc>
          <w:tcPr>
            <w:tcW w:w="1414"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Estrazione</w:t>
            </w:r>
          </w:p>
        </w:tc>
        <w:tc>
          <w:tcPr>
            <w:tcW w:w="1596"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Alimentare</w:t>
            </w:r>
          </w:p>
        </w:tc>
        <w:tc>
          <w:tcPr>
            <w:tcW w:w="1657"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sistema moda</w:t>
            </w:r>
          </w:p>
        </w:tc>
        <w:tc>
          <w:tcPr>
            <w:tcW w:w="1414"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Carta e legno</w:t>
            </w:r>
          </w:p>
        </w:tc>
        <w:tc>
          <w:tcPr>
            <w:tcW w:w="1666"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chimica</w:t>
            </w:r>
          </w:p>
        </w:tc>
      </w:tr>
      <w:tr w:rsidR="00D97A4F" w:rsidRPr="009028E3" w:rsidTr="00563DAE">
        <w:trPr>
          <w:trHeight w:val="300"/>
        </w:trPr>
        <w:tc>
          <w:tcPr>
            <w:tcW w:w="1891"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rPr>
                <w:rFonts w:ascii="Calibri" w:eastAsia="Times New Roman" w:hAnsi="Calibri" w:cs="Calibri"/>
                <w:color w:val="000000"/>
                <w:lang w:eastAsia="it-IT"/>
              </w:rPr>
            </w:pPr>
            <w:r w:rsidRPr="009028E3">
              <w:rPr>
                <w:rFonts w:ascii="Calibri" w:eastAsia="Times New Roman" w:hAnsi="Calibri" w:cs="Calibri"/>
                <w:color w:val="000000"/>
                <w:lang w:eastAsia="it-IT"/>
              </w:rPr>
              <w:t>BRICS</w:t>
            </w:r>
          </w:p>
        </w:tc>
        <w:tc>
          <w:tcPr>
            <w:tcW w:w="1414"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-4%</w:t>
            </w:r>
          </w:p>
        </w:tc>
        <w:tc>
          <w:tcPr>
            <w:tcW w:w="1596"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3%</w:t>
            </w:r>
          </w:p>
        </w:tc>
        <w:tc>
          <w:tcPr>
            <w:tcW w:w="1657"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1%</w:t>
            </w:r>
          </w:p>
        </w:tc>
        <w:tc>
          <w:tcPr>
            <w:tcW w:w="1414"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0%</w:t>
            </w:r>
          </w:p>
        </w:tc>
        <w:tc>
          <w:tcPr>
            <w:tcW w:w="1666"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2%</w:t>
            </w:r>
          </w:p>
        </w:tc>
      </w:tr>
      <w:tr w:rsidR="00D97A4F" w:rsidRPr="009028E3" w:rsidTr="00563DAE">
        <w:trPr>
          <w:trHeight w:val="300"/>
        </w:trPr>
        <w:tc>
          <w:tcPr>
            <w:tcW w:w="1891" w:type="dxa"/>
            <w:tcBorders>
              <w:top w:val="nil"/>
              <w:left w:val="nil"/>
              <w:right w:val="nil"/>
            </w:tcBorders>
            <w:shd w:val="clear" w:color="auto" w:fill="auto"/>
            <w:noWrap/>
            <w:vAlign w:val="bottom"/>
            <w:hideMark/>
          </w:tcPr>
          <w:p w:rsidR="00D97A4F" w:rsidRPr="009028E3" w:rsidRDefault="00D97A4F" w:rsidP="00D97A4F">
            <w:pPr>
              <w:spacing w:after="0" w:line="240" w:lineRule="auto"/>
              <w:rPr>
                <w:rFonts w:ascii="Calibri" w:eastAsia="Times New Roman" w:hAnsi="Calibri" w:cs="Calibri"/>
                <w:color w:val="000000"/>
                <w:lang w:eastAsia="it-IT"/>
              </w:rPr>
            </w:pPr>
            <w:r w:rsidRPr="009028E3">
              <w:rPr>
                <w:rFonts w:ascii="Calibri" w:eastAsia="Times New Roman" w:hAnsi="Calibri" w:cs="Calibri"/>
                <w:color w:val="000000"/>
                <w:lang w:eastAsia="it-IT"/>
              </w:rPr>
              <w:t>NAFTA</w:t>
            </w:r>
          </w:p>
        </w:tc>
        <w:tc>
          <w:tcPr>
            <w:tcW w:w="1414" w:type="dxa"/>
            <w:tcBorders>
              <w:top w:val="nil"/>
              <w:left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2%</w:t>
            </w:r>
          </w:p>
        </w:tc>
        <w:tc>
          <w:tcPr>
            <w:tcW w:w="1596" w:type="dxa"/>
            <w:tcBorders>
              <w:top w:val="nil"/>
              <w:left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-4%</w:t>
            </w:r>
          </w:p>
        </w:tc>
        <w:tc>
          <w:tcPr>
            <w:tcW w:w="1657" w:type="dxa"/>
            <w:tcBorders>
              <w:top w:val="nil"/>
              <w:left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1%</w:t>
            </w:r>
          </w:p>
        </w:tc>
        <w:tc>
          <w:tcPr>
            <w:tcW w:w="1414" w:type="dxa"/>
            <w:tcBorders>
              <w:top w:val="nil"/>
              <w:left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0%</w:t>
            </w:r>
          </w:p>
        </w:tc>
        <w:tc>
          <w:tcPr>
            <w:tcW w:w="1666" w:type="dxa"/>
            <w:tcBorders>
              <w:top w:val="nil"/>
              <w:left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4%</w:t>
            </w:r>
          </w:p>
        </w:tc>
      </w:tr>
      <w:tr w:rsidR="00D97A4F" w:rsidRPr="009028E3" w:rsidTr="00563DAE">
        <w:trPr>
          <w:trHeight w:val="300"/>
        </w:trPr>
        <w:tc>
          <w:tcPr>
            <w:tcW w:w="1891"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rPr>
                <w:rFonts w:ascii="Calibri" w:eastAsia="Times New Roman" w:hAnsi="Calibri" w:cs="Calibri"/>
                <w:color w:val="000000"/>
                <w:lang w:eastAsia="it-IT"/>
              </w:rPr>
            </w:pPr>
            <w:r w:rsidRPr="009028E3">
              <w:rPr>
                <w:rFonts w:ascii="Calibri" w:eastAsia="Times New Roman" w:hAnsi="Calibri" w:cs="Calibri"/>
                <w:color w:val="000000"/>
                <w:lang w:eastAsia="it-IT"/>
              </w:rPr>
              <w:t>Unione Europea</w:t>
            </w:r>
          </w:p>
        </w:tc>
        <w:tc>
          <w:tcPr>
            <w:tcW w:w="1414"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-8%</w:t>
            </w:r>
          </w:p>
        </w:tc>
        <w:tc>
          <w:tcPr>
            <w:tcW w:w="1596"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0%</w:t>
            </w:r>
          </w:p>
        </w:tc>
        <w:tc>
          <w:tcPr>
            <w:tcW w:w="1657"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-11%</w:t>
            </w:r>
          </w:p>
        </w:tc>
        <w:tc>
          <w:tcPr>
            <w:tcW w:w="1414"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0%</w:t>
            </w:r>
          </w:p>
        </w:tc>
        <w:tc>
          <w:tcPr>
            <w:tcW w:w="1666"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9%</w:t>
            </w:r>
          </w:p>
        </w:tc>
      </w:tr>
      <w:tr w:rsidR="00D97A4F" w:rsidRPr="009028E3" w:rsidTr="00563DAE">
        <w:trPr>
          <w:trHeight w:val="300"/>
        </w:trPr>
        <w:tc>
          <w:tcPr>
            <w:tcW w:w="1891"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p>
        </w:tc>
        <w:tc>
          <w:tcPr>
            <w:tcW w:w="1414"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c>
          <w:tcPr>
            <w:tcW w:w="1596"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c>
          <w:tcPr>
            <w:tcW w:w="1657"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c>
          <w:tcPr>
            <w:tcW w:w="1414"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c>
          <w:tcPr>
            <w:tcW w:w="1666"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r>
      <w:tr w:rsidR="00D97A4F" w:rsidRPr="009028E3" w:rsidTr="00563DAE">
        <w:trPr>
          <w:trHeight w:val="300"/>
        </w:trPr>
        <w:tc>
          <w:tcPr>
            <w:tcW w:w="1891" w:type="dxa"/>
            <w:tcBorders>
              <w:top w:val="nil"/>
              <w:left w:val="nil"/>
              <w:bottom w:val="nil"/>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c>
          <w:tcPr>
            <w:tcW w:w="1414" w:type="dxa"/>
            <w:tcBorders>
              <w:top w:val="nil"/>
              <w:left w:val="nil"/>
              <w:bottom w:val="nil"/>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c>
          <w:tcPr>
            <w:tcW w:w="1596" w:type="dxa"/>
            <w:tcBorders>
              <w:top w:val="nil"/>
              <w:left w:val="nil"/>
              <w:bottom w:val="nil"/>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c>
          <w:tcPr>
            <w:tcW w:w="1657" w:type="dxa"/>
            <w:tcBorders>
              <w:top w:val="nil"/>
              <w:left w:val="nil"/>
              <w:bottom w:val="nil"/>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c>
          <w:tcPr>
            <w:tcW w:w="1414" w:type="dxa"/>
            <w:tcBorders>
              <w:top w:val="nil"/>
              <w:left w:val="nil"/>
              <w:bottom w:val="nil"/>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c>
          <w:tcPr>
            <w:tcW w:w="1666" w:type="dxa"/>
            <w:tcBorders>
              <w:top w:val="nil"/>
              <w:left w:val="nil"/>
              <w:bottom w:val="nil"/>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r>
      <w:tr w:rsidR="00D97A4F" w:rsidRPr="009028E3" w:rsidTr="00563DAE">
        <w:trPr>
          <w:trHeight w:val="300"/>
        </w:trPr>
        <w:tc>
          <w:tcPr>
            <w:tcW w:w="1891" w:type="dxa"/>
            <w:tcBorders>
              <w:top w:val="nil"/>
              <w:left w:val="nil"/>
              <w:bottom w:val="single" w:sz="4" w:space="0" w:color="auto"/>
              <w:right w:val="nil"/>
            </w:tcBorders>
            <w:shd w:val="clear" w:color="auto" w:fill="auto"/>
            <w:noWrap/>
            <w:vAlign w:val="bottom"/>
            <w:hideMark/>
          </w:tcPr>
          <w:p w:rsidR="00D97A4F" w:rsidRPr="00563DAE" w:rsidRDefault="00D97A4F" w:rsidP="00D97A4F">
            <w:pPr>
              <w:rPr>
                <w:i/>
              </w:rPr>
            </w:pPr>
            <w:r w:rsidRPr="00563DAE">
              <w:rPr>
                <w:i/>
              </w:rPr>
              <w:t>Quota export 2017</w:t>
            </w:r>
          </w:p>
        </w:tc>
        <w:tc>
          <w:tcPr>
            <w:tcW w:w="1414" w:type="dxa"/>
            <w:tcBorders>
              <w:top w:val="nil"/>
              <w:left w:val="nil"/>
              <w:bottom w:val="single" w:sz="4" w:space="0" w:color="auto"/>
              <w:right w:val="nil"/>
            </w:tcBorders>
            <w:shd w:val="clear" w:color="auto" w:fill="auto"/>
            <w:noWrap/>
            <w:vAlign w:val="bottom"/>
            <w:hideMark/>
          </w:tcPr>
          <w:p w:rsidR="00D97A4F" w:rsidRPr="00563DAE" w:rsidRDefault="00D97A4F" w:rsidP="00D97A4F">
            <w:pPr>
              <w:spacing w:after="0" w:line="240" w:lineRule="auto"/>
              <w:rPr>
                <w:rFonts w:ascii="Times New Roman" w:eastAsia="Times New Roman" w:hAnsi="Times New Roman" w:cs="Times New Roman"/>
                <w:i/>
                <w:sz w:val="20"/>
                <w:szCs w:val="20"/>
                <w:lang w:eastAsia="it-IT"/>
              </w:rPr>
            </w:pPr>
          </w:p>
        </w:tc>
        <w:tc>
          <w:tcPr>
            <w:tcW w:w="1596"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c>
          <w:tcPr>
            <w:tcW w:w="1657"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c>
          <w:tcPr>
            <w:tcW w:w="1414"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c>
          <w:tcPr>
            <w:tcW w:w="1666"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r>
      <w:tr w:rsidR="00D97A4F" w:rsidRPr="009028E3" w:rsidTr="00563DAE">
        <w:trPr>
          <w:trHeight w:val="300"/>
        </w:trPr>
        <w:tc>
          <w:tcPr>
            <w:tcW w:w="1891"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c>
          <w:tcPr>
            <w:tcW w:w="1414"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Farmaceutica</w:t>
            </w:r>
          </w:p>
        </w:tc>
        <w:tc>
          <w:tcPr>
            <w:tcW w:w="1596"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Plastica e minerali</w:t>
            </w:r>
          </w:p>
        </w:tc>
        <w:tc>
          <w:tcPr>
            <w:tcW w:w="1657"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Prodotti in metallo</w:t>
            </w:r>
          </w:p>
        </w:tc>
        <w:tc>
          <w:tcPr>
            <w:tcW w:w="1414"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Elettronica</w:t>
            </w:r>
          </w:p>
        </w:tc>
        <w:tc>
          <w:tcPr>
            <w:tcW w:w="1666"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elettromeccanica</w:t>
            </w:r>
          </w:p>
        </w:tc>
      </w:tr>
      <w:tr w:rsidR="00D97A4F" w:rsidRPr="009028E3" w:rsidTr="00563DAE">
        <w:trPr>
          <w:trHeight w:val="300"/>
        </w:trPr>
        <w:tc>
          <w:tcPr>
            <w:tcW w:w="1891"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rPr>
                <w:rFonts w:ascii="Calibri" w:eastAsia="Times New Roman" w:hAnsi="Calibri" w:cs="Calibri"/>
                <w:color w:val="000000"/>
                <w:lang w:eastAsia="it-IT"/>
              </w:rPr>
            </w:pPr>
            <w:r w:rsidRPr="009028E3">
              <w:rPr>
                <w:rFonts w:ascii="Calibri" w:eastAsia="Times New Roman" w:hAnsi="Calibri" w:cs="Calibri"/>
                <w:color w:val="000000"/>
                <w:lang w:eastAsia="it-IT"/>
              </w:rPr>
              <w:t>BRICS</w:t>
            </w:r>
          </w:p>
        </w:tc>
        <w:tc>
          <w:tcPr>
            <w:tcW w:w="1414"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16%</w:t>
            </w:r>
          </w:p>
        </w:tc>
        <w:tc>
          <w:tcPr>
            <w:tcW w:w="1596"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2%</w:t>
            </w:r>
          </w:p>
        </w:tc>
        <w:tc>
          <w:tcPr>
            <w:tcW w:w="1657"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4%</w:t>
            </w:r>
          </w:p>
        </w:tc>
        <w:tc>
          <w:tcPr>
            <w:tcW w:w="1414"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11%</w:t>
            </w:r>
          </w:p>
        </w:tc>
        <w:tc>
          <w:tcPr>
            <w:tcW w:w="1666"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1%</w:t>
            </w:r>
          </w:p>
        </w:tc>
      </w:tr>
      <w:tr w:rsidR="00D97A4F" w:rsidRPr="009028E3" w:rsidTr="00563DAE">
        <w:trPr>
          <w:trHeight w:val="300"/>
        </w:trPr>
        <w:tc>
          <w:tcPr>
            <w:tcW w:w="1891" w:type="dxa"/>
            <w:tcBorders>
              <w:top w:val="nil"/>
              <w:left w:val="nil"/>
              <w:right w:val="nil"/>
            </w:tcBorders>
            <w:shd w:val="clear" w:color="auto" w:fill="auto"/>
            <w:noWrap/>
            <w:vAlign w:val="bottom"/>
            <w:hideMark/>
          </w:tcPr>
          <w:p w:rsidR="00D97A4F" w:rsidRPr="009028E3" w:rsidRDefault="00D97A4F" w:rsidP="00D97A4F">
            <w:pPr>
              <w:spacing w:after="0" w:line="240" w:lineRule="auto"/>
              <w:rPr>
                <w:rFonts w:ascii="Calibri" w:eastAsia="Times New Roman" w:hAnsi="Calibri" w:cs="Calibri"/>
                <w:color w:val="000000"/>
                <w:lang w:eastAsia="it-IT"/>
              </w:rPr>
            </w:pPr>
            <w:r w:rsidRPr="009028E3">
              <w:rPr>
                <w:rFonts w:ascii="Calibri" w:eastAsia="Times New Roman" w:hAnsi="Calibri" w:cs="Calibri"/>
                <w:color w:val="000000"/>
                <w:lang w:eastAsia="it-IT"/>
              </w:rPr>
              <w:t>NAFTA</w:t>
            </w:r>
          </w:p>
        </w:tc>
        <w:tc>
          <w:tcPr>
            <w:tcW w:w="1414" w:type="dxa"/>
            <w:tcBorders>
              <w:top w:val="nil"/>
              <w:left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15%</w:t>
            </w:r>
          </w:p>
        </w:tc>
        <w:tc>
          <w:tcPr>
            <w:tcW w:w="1596" w:type="dxa"/>
            <w:tcBorders>
              <w:top w:val="nil"/>
              <w:left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20%</w:t>
            </w:r>
          </w:p>
        </w:tc>
        <w:tc>
          <w:tcPr>
            <w:tcW w:w="1657" w:type="dxa"/>
            <w:tcBorders>
              <w:top w:val="nil"/>
              <w:left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2%</w:t>
            </w:r>
          </w:p>
        </w:tc>
        <w:tc>
          <w:tcPr>
            <w:tcW w:w="1414" w:type="dxa"/>
            <w:tcBorders>
              <w:top w:val="nil"/>
              <w:left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14%</w:t>
            </w:r>
          </w:p>
        </w:tc>
        <w:tc>
          <w:tcPr>
            <w:tcW w:w="1666" w:type="dxa"/>
            <w:tcBorders>
              <w:top w:val="nil"/>
              <w:left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1%</w:t>
            </w:r>
          </w:p>
        </w:tc>
      </w:tr>
      <w:tr w:rsidR="00D97A4F" w:rsidRPr="009028E3" w:rsidTr="00563DAE">
        <w:trPr>
          <w:trHeight w:val="300"/>
        </w:trPr>
        <w:tc>
          <w:tcPr>
            <w:tcW w:w="1891"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rPr>
                <w:rFonts w:ascii="Calibri" w:eastAsia="Times New Roman" w:hAnsi="Calibri" w:cs="Calibri"/>
                <w:color w:val="000000"/>
                <w:lang w:eastAsia="it-IT"/>
              </w:rPr>
            </w:pPr>
            <w:r w:rsidRPr="009028E3">
              <w:rPr>
                <w:rFonts w:ascii="Calibri" w:eastAsia="Times New Roman" w:hAnsi="Calibri" w:cs="Calibri"/>
                <w:color w:val="000000"/>
                <w:lang w:eastAsia="it-IT"/>
              </w:rPr>
              <w:t>Unione Europea</w:t>
            </w:r>
          </w:p>
        </w:tc>
        <w:tc>
          <w:tcPr>
            <w:tcW w:w="1414"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10%</w:t>
            </w:r>
          </w:p>
        </w:tc>
        <w:tc>
          <w:tcPr>
            <w:tcW w:w="1596"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44%</w:t>
            </w:r>
          </w:p>
        </w:tc>
        <w:tc>
          <w:tcPr>
            <w:tcW w:w="1657"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75%</w:t>
            </w:r>
          </w:p>
        </w:tc>
        <w:tc>
          <w:tcPr>
            <w:tcW w:w="1414"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37%</w:t>
            </w:r>
          </w:p>
        </w:tc>
        <w:tc>
          <w:tcPr>
            <w:tcW w:w="1666"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89%</w:t>
            </w:r>
          </w:p>
        </w:tc>
      </w:tr>
      <w:tr w:rsidR="00D97A4F" w:rsidRPr="009028E3" w:rsidTr="00563DAE">
        <w:trPr>
          <w:trHeight w:val="300"/>
        </w:trPr>
        <w:tc>
          <w:tcPr>
            <w:tcW w:w="1891" w:type="dxa"/>
            <w:tcBorders>
              <w:top w:val="single" w:sz="4" w:space="0" w:color="auto"/>
              <w:left w:val="nil"/>
              <w:bottom w:val="single" w:sz="4" w:space="0" w:color="auto"/>
              <w:right w:val="nil"/>
            </w:tcBorders>
            <w:shd w:val="clear" w:color="auto" w:fill="auto"/>
            <w:noWrap/>
            <w:vAlign w:val="bottom"/>
            <w:hideMark/>
          </w:tcPr>
          <w:p w:rsidR="00D97A4F" w:rsidRPr="00563DAE" w:rsidRDefault="00D97A4F" w:rsidP="00D97A4F">
            <w:pPr>
              <w:spacing w:after="0" w:line="240" w:lineRule="auto"/>
              <w:jc w:val="right"/>
              <w:rPr>
                <w:rFonts w:ascii="Calibri" w:eastAsia="Times New Roman" w:hAnsi="Calibri" w:cs="Calibri"/>
                <w:i/>
                <w:color w:val="000000"/>
                <w:lang w:eastAsia="it-IT"/>
              </w:rPr>
            </w:pPr>
            <w:r w:rsidRPr="00563DAE">
              <w:rPr>
                <w:rFonts w:ascii="Calibri" w:eastAsia="Times New Roman" w:hAnsi="Calibri" w:cs="Calibri"/>
                <w:i/>
                <w:color w:val="000000"/>
                <w:lang w:eastAsia="it-IT"/>
              </w:rPr>
              <w:t>Var. quota export 2015-2017</w:t>
            </w:r>
          </w:p>
        </w:tc>
        <w:tc>
          <w:tcPr>
            <w:tcW w:w="1414"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c>
          <w:tcPr>
            <w:tcW w:w="1596"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c>
          <w:tcPr>
            <w:tcW w:w="1657"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c>
          <w:tcPr>
            <w:tcW w:w="1414"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c>
          <w:tcPr>
            <w:tcW w:w="1666"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r>
      <w:tr w:rsidR="00D97A4F" w:rsidRPr="009028E3" w:rsidTr="00563DAE">
        <w:trPr>
          <w:trHeight w:val="300"/>
        </w:trPr>
        <w:tc>
          <w:tcPr>
            <w:tcW w:w="1891"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Times New Roman" w:eastAsia="Times New Roman" w:hAnsi="Times New Roman" w:cs="Times New Roman"/>
                <w:sz w:val="20"/>
                <w:szCs w:val="20"/>
                <w:lang w:eastAsia="it-IT"/>
              </w:rPr>
            </w:pPr>
          </w:p>
        </w:tc>
        <w:tc>
          <w:tcPr>
            <w:tcW w:w="1414"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Farmaceutica</w:t>
            </w:r>
          </w:p>
        </w:tc>
        <w:tc>
          <w:tcPr>
            <w:tcW w:w="1596"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Plastica e minerali</w:t>
            </w:r>
          </w:p>
        </w:tc>
        <w:tc>
          <w:tcPr>
            <w:tcW w:w="1657"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Prodotti in metallo</w:t>
            </w:r>
          </w:p>
        </w:tc>
        <w:tc>
          <w:tcPr>
            <w:tcW w:w="1414"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Elettronica</w:t>
            </w:r>
          </w:p>
        </w:tc>
        <w:tc>
          <w:tcPr>
            <w:tcW w:w="1666"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elettromeccanica</w:t>
            </w:r>
          </w:p>
        </w:tc>
      </w:tr>
      <w:tr w:rsidR="00D97A4F" w:rsidRPr="009028E3" w:rsidTr="00563DAE">
        <w:trPr>
          <w:trHeight w:val="300"/>
        </w:trPr>
        <w:tc>
          <w:tcPr>
            <w:tcW w:w="1891"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rPr>
                <w:rFonts w:ascii="Calibri" w:eastAsia="Times New Roman" w:hAnsi="Calibri" w:cs="Calibri"/>
                <w:color w:val="000000"/>
                <w:lang w:eastAsia="it-IT"/>
              </w:rPr>
            </w:pPr>
            <w:r w:rsidRPr="009028E3">
              <w:rPr>
                <w:rFonts w:ascii="Calibri" w:eastAsia="Times New Roman" w:hAnsi="Calibri" w:cs="Calibri"/>
                <w:color w:val="000000"/>
                <w:lang w:eastAsia="it-IT"/>
              </w:rPr>
              <w:t>BRICS</w:t>
            </w:r>
          </w:p>
        </w:tc>
        <w:tc>
          <w:tcPr>
            <w:tcW w:w="1414"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10%</w:t>
            </w:r>
          </w:p>
        </w:tc>
        <w:tc>
          <w:tcPr>
            <w:tcW w:w="1596"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1%</w:t>
            </w:r>
          </w:p>
        </w:tc>
        <w:tc>
          <w:tcPr>
            <w:tcW w:w="1657"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-1%</w:t>
            </w:r>
          </w:p>
        </w:tc>
        <w:tc>
          <w:tcPr>
            <w:tcW w:w="1414"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0%</w:t>
            </w:r>
          </w:p>
        </w:tc>
        <w:tc>
          <w:tcPr>
            <w:tcW w:w="1666"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0%</w:t>
            </w:r>
          </w:p>
        </w:tc>
      </w:tr>
      <w:tr w:rsidR="00D97A4F" w:rsidRPr="009028E3" w:rsidTr="00563DAE">
        <w:trPr>
          <w:trHeight w:val="300"/>
        </w:trPr>
        <w:tc>
          <w:tcPr>
            <w:tcW w:w="1891" w:type="dxa"/>
            <w:tcBorders>
              <w:top w:val="nil"/>
              <w:left w:val="nil"/>
              <w:bottom w:val="nil"/>
              <w:right w:val="nil"/>
            </w:tcBorders>
            <w:shd w:val="clear" w:color="auto" w:fill="auto"/>
            <w:noWrap/>
            <w:vAlign w:val="bottom"/>
            <w:hideMark/>
          </w:tcPr>
          <w:p w:rsidR="00D97A4F" w:rsidRPr="009028E3" w:rsidRDefault="00D97A4F" w:rsidP="00D97A4F">
            <w:pPr>
              <w:spacing w:after="0" w:line="240" w:lineRule="auto"/>
              <w:rPr>
                <w:rFonts w:ascii="Calibri" w:eastAsia="Times New Roman" w:hAnsi="Calibri" w:cs="Calibri"/>
                <w:color w:val="000000"/>
                <w:lang w:eastAsia="it-IT"/>
              </w:rPr>
            </w:pPr>
            <w:r w:rsidRPr="009028E3">
              <w:rPr>
                <w:rFonts w:ascii="Calibri" w:eastAsia="Times New Roman" w:hAnsi="Calibri" w:cs="Calibri"/>
                <w:color w:val="000000"/>
                <w:lang w:eastAsia="it-IT"/>
              </w:rPr>
              <w:t>NAFTA</w:t>
            </w:r>
          </w:p>
        </w:tc>
        <w:tc>
          <w:tcPr>
            <w:tcW w:w="1414" w:type="dxa"/>
            <w:tcBorders>
              <w:top w:val="nil"/>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-6%</w:t>
            </w:r>
          </w:p>
        </w:tc>
        <w:tc>
          <w:tcPr>
            <w:tcW w:w="1596" w:type="dxa"/>
            <w:tcBorders>
              <w:top w:val="nil"/>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-4%</w:t>
            </w:r>
          </w:p>
        </w:tc>
        <w:tc>
          <w:tcPr>
            <w:tcW w:w="1657" w:type="dxa"/>
            <w:tcBorders>
              <w:top w:val="nil"/>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-1%</w:t>
            </w:r>
          </w:p>
        </w:tc>
        <w:tc>
          <w:tcPr>
            <w:tcW w:w="1414" w:type="dxa"/>
            <w:tcBorders>
              <w:top w:val="nil"/>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-2%</w:t>
            </w:r>
          </w:p>
        </w:tc>
        <w:tc>
          <w:tcPr>
            <w:tcW w:w="1666" w:type="dxa"/>
            <w:tcBorders>
              <w:top w:val="nil"/>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0%</w:t>
            </w:r>
          </w:p>
        </w:tc>
      </w:tr>
      <w:tr w:rsidR="00D97A4F" w:rsidRPr="009028E3" w:rsidTr="00563DAE">
        <w:trPr>
          <w:trHeight w:val="300"/>
        </w:trPr>
        <w:tc>
          <w:tcPr>
            <w:tcW w:w="1891" w:type="dxa"/>
            <w:tcBorders>
              <w:top w:val="nil"/>
              <w:left w:val="nil"/>
              <w:bottom w:val="nil"/>
              <w:right w:val="nil"/>
            </w:tcBorders>
            <w:shd w:val="clear" w:color="auto" w:fill="auto"/>
            <w:noWrap/>
            <w:vAlign w:val="bottom"/>
            <w:hideMark/>
          </w:tcPr>
          <w:p w:rsidR="00D97A4F" w:rsidRPr="009028E3" w:rsidRDefault="00D97A4F" w:rsidP="00D97A4F">
            <w:pPr>
              <w:spacing w:after="0" w:line="240" w:lineRule="auto"/>
              <w:rPr>
                <w:rFonts w:ascii="Calibri" w:eastAsia="Times New Roman" w:hAnsi="Calibri" w:cs="Calibri"/>
                <w:color w:val="000000"/>
                <w:lang w:eastAsia="it-IT"/>
              </w:rPr>
            </w:pPr>
            <w:r w:rsidRPr="009028E3">
              <w:rPr>
                <w:rFonts w:ascii="Calibri" w:eastAsia="Times New Roman" w:hAnsi="Calibri" w:cs="Calibri"/>
                <w:color w:val="000000"/>
                <w:lang w:eastAsia="it-IT"/>
              </w:rPr>
              <w:t>Unione Europea</w:t>
            </w:r>
          </w:p>
        </w:tc>
        <w:tc>
          <w:tcPr>
            <w:tcW w:w="1414" w:type="dxa"/>
            <w:tcBorders>
              <w:top w:val="nil"/>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-4%</w:t>
            </w:r>
          </w:p>
        </w:tc>
        <w:tc>
          <w:tcPr>
            <w:tcW w:w="1596" w:type="dxa"/>
            <w:tcBorders>
              <w:top w:val="nil"/>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6%</w:t>
            </w:r>
          </w:p>
        </w:tc>
        <w:tc>
          <w:tcPr>
            <w:tcW w:w="1657" w:type="dxa"/>
            <w:tcBorders>
              <w:top w:val="nil"/>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0%</w:t>
            </w:r>
          </w:p>
        </w:tc>
        <w:tc>
          <w:tcPr>
            <w:tcW w:w="1414" w:type="dxa"/>
            <w:tcBorders>
              <w:top w:val="nil"/>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0%</w:t>
            </w:r>
          </w:p>
        </w:tc>
        <w:tc>
          <w:tcPr>
            <w:tcW w:w="1666" w:type="dxa"/>
            <w:tcBorders>
              <w:top w:val="nil"/>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8%</w:t>
            </w:r>
          </w:p>
        </w:tc>
      </w:tr>
      <w:tr w:rsidR="00D97A4F" w:rsidRPr="009028E3" w:rsidTr="00563DAE">
        <w:trPr>
          <w:trHeight w:val="300"/>
        </w:trPr>
        <w:tc>
          <w:tcPr>
            <w:tcW w:w="1891" w:type="dxa"/>
            <w:tcBorders>
              <w:top w:val="nil"/>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p>
        </w:tc>
        <w:tc>
          <w:tcPr>
            <w:tcW w:w="1414" w:type="dxa"/>
            <w:tcBorders>
              <w:top w:val="nil"/>
              <w:left w:val="nil"/>
              <w:bottom w:val="nil"/>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c>
          <w:tcPr>
            <w:tcW w:w="1596" w:type="dxa"/>
            <w:tcBorders>
              <w:top w:val="nil"/>
              <w:left w:val="nil"/>
              <w:bottom w:val="nil"/>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c>
          <w:tcPr>
            <w:tcW w:w="1657" w:type="dxa"/>
            <w:tcBorders>
              <w:top w:val="nil"/>
              <w:left w:val="nil"/>
              <w:bottom w:val="nil"/>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c>
          <w:tcPr>
            <w:tcW w:w="1414" w:type="dxa"/>
            <w:tcBorders>
              <w:top w:val="nil"/>
              <w:left w:val="nil"/>
              <w:bottom w:val="nil"/>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c>
          <w:tcPr>
            <w:tcW w:w="1666" w:type="dxa"/>
            <w:tcBorders>
              <w:top w:val="nil"/>
              <w:left w:val="nil"/>
              <w:bottom w:val="nil"/>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r>
      <w:tr w:rsidR="00D97A4F" w:rsidRPr="009028E3" w:rsidTr="00563DAE">
        <w:trPr>
          <w:trHeight w:val="300"/>
        </w:trPr>
        <w:tc>
          <w:tcPr>
            <w:tcW w:w="1891" w:type="dxa"/>
            <w:tcBorders>
              <w:top w:val="nil"/>
              <w:left w:val="nil"/>
              <w:bottom w:val="nil"/>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c>
          <w:tcPr>
            <w:tcW w:w="1414" w:type="dxa"/>
            <w:tcBorders>
              <w:top w:val="nil"/>
              <w:left w:val="nil"/>
              <w:bottom w:val="nil"/>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c>
          <w:tcPr>
            <w:tcW w:w="1596" w:type="dxa"/>
            <w:tcBorders>
              <w:top w:val="nil"/>
              <w:left w:val="nil"/>
              <w:bottom w:val="nil"/>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c>
          <w:tcPr>
            <w:tcW w:w="1657" w:type="dxa"/>
            <w:tcBorders>
              <w:top w:val="nil"/>
              <w:left w:val="nil"/>
              <w:bottom w:val="nil"/>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c>
          <w:tcPr>
            <w:tcW w:w="1414" w:type="dxa"/>
            <w:tcBorders>
              <w:top w:val="nil"/>
              <w:left w:val="nil"/>
              <w:bottom w:val="nil"/>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c>
          <w:tcPr>
            <w:tcW w:w="1666" w:type="dxa"/>
            <w:tcBorders>
              <w:top w:val="nil"/>
              <w:left w:val="nil"/>
              <w:bottom w:val="nil"/>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r>
      <w:tr w:rsidR="00D97A4F" w:rsidRPr="00563DAE" w:rsidTr="00563DAE">
        <w:trPr>
          <w:trHeight w:val="300"/>
        </w:trPr>
        <w:tc>
          <w:tcPr>
            <w:tcW w:w="1891" w:type="dxa"/>
            <w:tcBorders>
              <w:top w:val="nil"/>
              <w:left w:val="nil"/>
              <w:bottom w:val="single" w:sz="4" w:space="0" w:color="auto"/>
              <w:right w:val="nil"/>
            </w:tcBorders>
            <w:shd w:val="clear" w:color="auto" w:fill="auto"/>
            <w:noWrap/>
            <w:vAlign w:val="bottom"/>
            <w:hideMark/>
          </w:tcPr>
          <w:p w:rsidR="00D97A4F" w:rsidRPr="00563DAE" w:rsidRDefault="00D97A4F" w:rsidP="00D97A4F">
            <w:pPr>
              <w:rPr>
                <w:i/>
              </w:rPr>
            </w:pPr>
            <w:r w:rsidRPr="00563DAE">
              <w:rPr>
                <w:i/>
              </w:rPr>
              <w:t>Quota export 2017</w:t>
            </w:r>
          </w:p>
        </w:tc>
        <w:tc>
          <w:tcPr>
            <w:tcW w:w="1414" w:type="dxa"/>
            <w:tcBorders>
              <w:top w:val="nil"/>
              <w:left w:val="nil"/>
              <w:bottom w:val="single" w:sz="4" w:space="0" w:color="auto"/>
              <w:right w:val="nil"/>
            </w:tcBorders>
            <w:shd w:val="clear" w:color="auto" w:fill="auto"/>
            <w:noWrap/>
            <w:vAlign w:val="bottom"/>
            <w:hideMark/>
          </w:tcPr>
          <w:p w:rsidR="00D97A4F" w:rsidRPr="00563DAE" w:rsidRDefault="00D97A4F" w:rsidP="00D97A4F">
            <w:pPr>
              <w:spacing w:after="0" w:line="240" w:lineRule="auto"/>
              <w:rPr>
                <w:rFonts w:ascii="Times New Roman" w:eastAsia="Times New Roman" w:hAnsi="Times New Roman" w:cs="Times New Roman"/>
                <w:i/>
                <w:sz w:val="20"/>
                <w:szCs w:val="20"/>
                <w:lang w:eastAsia="it-IT"/>
              </w:rPr>
            </w:pPr>
          </w:p>
        </w:tc>
        <w:tc>
          <w:tcPr>
            <w:tcW w:w="1596" w:type="dxa"/>
            <w:tcBorders>
              <w:top w:val="nil"/>
              <w:left w:val="nil"/>
              <w:bottom w:val="single" w:sz="4" w:space="0" w:color="auto"/>
              <w:right w:val="nil"/>
            </w:tcBorders>
            <w:shd w:val="clear" w:color="auto" w:fill="auto"/>
            <w:noWrap/>
            <w:vAlign w:val="bottom"/>
            <w:hideMark/>
          </w:tcPr>
          <w:p w:rsidR="00D97A4F" w:rsidRPr="00563DAE" w:rsidRDefault="00D97A4F" w:rsidP="00D97A4F">
            <w:pPr>
              <w:spacing w:after="0" w:line="240" w:lineRule="auto"/>
              <w:rPr>
                <w:rFonts w:ascii="Times New Roman" w:eastAsia="Times New Roman" w:hAnsi="Times New Roman" w:cs="Times New Roman"/>
                <w:i/>
                <w:sz w:val="20"/>
                <w:szCs w:val="20"/>
                <w:lang w:eastAsia="it-IT"/>
              </w:rPr>
            </w:pPr>
          </w:p>
        </w:tc>
        <w:tc>
          <w:tcPr>
            <w:tcW w:w="1657" w:type="dxa"/>
            <w:tcBorders>
              <w:top w:val="nil"/>
              <w:left w:val="nil"/>
              <w:bottom w:val="single" w:sz="4" w:space="0" w:color="auto"/>
              <w:right w:val="nil"/>
            </w:tcBorders>
            <w:shd w:val="clear" w:color="auto" w:fill="auto"/>
            <w:noWrap/>
            <w:vAlign w:val="bottom"/>
            <w:hideMark/>
          </w:tcPr>
          <w:p w:rsidR="00D97A4F" w:rsidRPr="00563DAE" w:rsidRDefault="00D97A4F" w:rsidP="00D97A4F">
            <w:pPr>
              <w:spacing w:after="0" w:line="240" w:lineRule="auto"/>
              <w:rPr>
                <w:rFonts w:ascii="Times New Roman" w:eastAsia="Times New Roman" w:hAnsi="Times New Roman" w:cs="Times New Roman"/>
                <w:i/>
                <w:sz w:val="20"/>
                <w:szCs w:val="20"/>
                <w:lang w:eastAsia="it-IT"/>
              </w:rPr>
            </w:pPr>
          </w:p>
        </w:tc>
        <w:tc>
          <w:tcPr>
            <w:tcW w:w="1414" w:type="dxa"/>
            <w:tcBorders>
              <w:top w:val="nil"/>
              <w:left w:val="nil"/>
              <w:bottom w:val="single" w:sz="4" w:space="0" w:color="auto"/>
              <w:right w:val="nil"/>
            </w:tcBorders>
            <w:shd w:val="clear" w:color="auto" w:fill="auto"/>
            <w:noWrap/>
            <w:vAlign w:val="bottom"/>
            <w:hideMark/>
          </w:tcPr>
          <w:p w:rsidR="00D97A4F" w:rsidRPr="00563DAE" w:rsidRDefault="00D97A4F" w:rsidP="00D97A4F">
            <w:pPr>
              <w:spacing w:after="0" w:line="240" w:lineRule="auto"/>
              <w:rPr>
                <w:rFonts w:ascii="Times New Roman" w:eastAsia="Times New Roman" w:hAnsi="Times New Roman" w:cs="Times New Roman"/>
                <w:i/>
                <w:sz w:val="20"/>
                <w:szCs w:val="20"/>
                <w:lang w:eastAsia="it-IT"/>
              </w:rPr>
            </w:pPr>
          </w:p>
        </w:tc>
        <w:tc>
          <w:tcPr>
            <w:tcW w:w="1666" w:type="dxa"/>
            <w:tcBorders>
              <w:top w:val="nil"/>
              <w:left w:val="nil"/>
              <w:bottom w:val="single" w:sz="4" w:space="0" w:color="auto"/>
              <w:right w:val="nil"/>
            </w:tcBorders>
            <w:shd w:val="clear" w:color="auto" w:fill="auto"/>
            <w:noWrap/>
            <w:vAlign w:val="bottom"/>
            <w:hideMark/>
          </w:tcPr>
          <w:p w:rsidR="00D97A4F" w:rsidRPr="00563DAE" w:rsidRDefault="00D97A4F" w:rsidP="00D97A4F">
            <w:pPr>
              <w:spacing w:after="0" w:line="240" w:lineRule="auto"/>
              <w:rPr>
                <w:rFonts w:ascii="Times New Roman" w:eastAsia="Times New Roman" w:hAnsi="Times New Roman" w:cs="Times New Roman"/>
                <w:i/>
                <w:sz w:val="20"/>
                <w:szCs w:val="20"/>
                <w:lang w:eastAsia="it-IT"/>
              </w:rPr>
            </w:pPr>
          </w:p>
        </w:tc>
      </w:tr>
      <w:tr w:rsidR="00D97A4F" w:rsidRPr="009028E3" w:rsidTr="00563DAE">
        <w:trPr>
          <w:trHeight w:val="300"/>
        </w:trPr>
        <w:tc>
          <w:tcPr>
            <w:tcW w:w="1891"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c>
          <w:tcPr>
            <w:tcW w:w="1414"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Macchine</w:t>
            </w:r>
          </w:p>
        </w:tc>
        <w:tc>
          <w:tcPr>
            <w:tcW w:w="1596"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Imbarcazioni</w:t>
            </w:r>
          </w:p>
        </w:tc>
        <w:tc>
          <w:tcPr>
            <w:tcW w:w="1657"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altre ind.</w:t>
            </w:r>
          </w:p>
        </w:tc>
        <w:tc>
          <w:tcPr>
            <w:tcW w:w="1414"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rPr>
                <w:rFonts w:ascii="Calibri" w:eastAsia="Times New Roman" w:hAnsi="Calibri" w:cs="Calibri"/>
                <w:color w:val="000000"/>
                <w:lang w:eastAsia="it-IT"/>
              </w:rPr>
            </w:pPr>
          </w:p>
        </w:tc>
        <w:tc>
          <w:tcPr>
            <w:tcW w:w="1666"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r>
      <w:tr w:rsidR="00D97A4F" w:rsidRPr="009028E3" w:rsidTr="00563DAE">
        <w:trPr>
          <w:trHeight w:val="300"/>
        </w:trPr>
        <w:tc>
          <w:tcPr>
            <w:tcW w:w="1891"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rPr>
                <w:rFonts w:ascii="Calibri" w:eastAsia="Times New Roman" w:hAnsi="Calibri" w:cs="Calibri"/>
                <w:color w:val="000000"/>
                <w:lang w:eastAsia="it-IT"/>
              </w:rPr>
            </w:pPr>
            <w:r w:rsidRPr="009028E3">
              <w:rPr>
                <w:rFonts w:ascii="Calibri" w:eastAsia="Times New Roman" w:hAnsi="Calibri" w:cs="Calibri"/>
                <w:color w:val="000000"/>
                <w:lang w:eastAsia="it-IT"/>
              </w:rPr>
              <w:t>BRICS</w:t>
            </w:r>
          </w:p>
        </w:tc>
        <w:tc>
          <w:tcPr>
            <w:tcW w:w="1414"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13%</w:t>
            </w:r>
          </w:p>
        </w:tc>
        <w:tc>
          <w:tcPr>
            <w:tcW w:w="1596"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0%</w:t>
            </w:r>
          </w:p>
        </w:tc>
        <w:tc>
          <w:tcPr>
            <w:tcW w:w="1657"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9%</w:t>
            </w:r>
          </w:p>
        </w:tc>
        <w:tc>
          <w:tcPr>
            <w:tcW w:w="1414"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p>
        </w:tc>
        <w:tc>
          <w:tcPr>
            <w:tcW w:w="1666"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r>
      <w:tr w:rsidR="00D97A4F" w:rsidRPr="009028E3" w:rsidTr="00563DAE">
        <w:trPr>
          <w:trHeight w:val="300"/>
        </w:trPr>
        <w:tc>
          <w:tcPr>
            <w:tcW w:w="1891" w:type="dxa"/>
            <w:tcBorders>
              <w:top w:val="nil"/>
              <w:left w:val="nil"/>
              <w:right w:val="nil"/>
            </w:tcBorders>
            <w:shd w:val="clear" w:color="auto" w:fill="auto"/>
            <w:noWrap/>
            <w:vAlign w:val="bottom"/>
            <w:hideMark/>
          </w:tcPr>
          <w:p w:rsidR="00D97A4F" w:rsidRPr="009028E3" w:rsidRDefault="00D97A4F" w:rsidP="00D97A4F">
            <w:pPr>
              <w:spacing w:after="0" w:line="240" w:lineRule="auto"/>
              <w:rPr>
                <w:rFonts w:ascii="Calibri" w:eastAsia="Times New Roman" w:hAnsi="Calibri" w:cs="Calibri"/>
                <w:color w:val="000000"/>
                <w:lang w:eastAsia="it-IT"/>
              </w:rPr>
            </w:pPr>
            <w:r w:rsidRPr="009028E3">
              <w:rPr>
                <w:rFonts w:ascii="Calibri" w:eastAsia="Times New Roman" w:hAnsi="Calibri" w:cs="Calibri"/>
                <w:color w:val="000000"/>
                <w:lang w:eastAsia="it-IT"/>
              </w:rPr>
              <w:t>NAFTA</w:t>
            </w:r>
          </w:p>
        </w:tc>
        <w:tc>
          <w:tcPr>
            <w:tcW w:w="1414" w:type="dxa"/>
            <w:tcBorders>
              <w:top w:val="nil"/>
              <w:left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21%</w:t>
            </w:r>
          </w:p>
        </w:tc>
        <w:tc>
          <w:tcPr>
            <w:tcW w:w="1596" w:type="dxa"/>
            <w:tcBorders>
              <w:top w:val="nil"/>
              <w:left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13%</w:t>
            </w:r>
          </w:p>
        </w:tc>
        <w:tc>
          <w:tcPr>
            <w:tcW w:w="1657" w:type="dxa"/>
            <w:tcBorders>
              <w:top w:val="nil"/>
              <w:left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19%</w:t>
            </w:r>
          </w:p>
        </w:tc>
        <w:tc>
          <w:tcPr>
            <w:tcW w:w="1414" w:type="dxa"/>
            <w:tcBorders>
              <w:top w:val="nil"/>
              <w:left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p>
        </w:tc>
        <w:tc>
          <w:tcPr>
            <w:tcW w:w="1666" w:type="dxa"/>
            <w:tcBorders>
              <w:top w:val="nil"/>
              <w:left w:val="nil"/>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r>
      <w:tr w:rsidR="00D97A4F" w:rsidRPr="009028E3" w:rsidTr="00563DAE">
        <w:trPr>
          <w:trHeight w:val="300"/>
        </w:trPr>
        <w:tc>
          <w:tcPr>
            <w:tcW w:w="1891"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rPr>
                <w:rFonts w:ascii="Calibri" w:eastAsia="Times New Roman" w:hAnsi="Calibri" w:cs="Calibri"/>
                <w:color w:val="000000"/>
                <w:lang w:eastAsia="it-IT"/>
              </w:rPr>
            </w:pPr>
            <w:r w:rsidRPr="009028E3">
              <w:rPr>
                <w:rFonts w:ascii="Calibri" w:eastAsia="Times New Roman" w:hAnsi="Calibri" w:cs="Calibri"/>
                <w:color w:val="000000"/>
                <w:lang w:eastAsia="it-IT"/>
              </w:rPr>
              <w:t>Unione Europea</w:t>
            </w:r>
          </w:p>
        </w:tc>
        <w:tc>
          <w:tcPr>
            <w:tcW w:w="1414"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36%</w:t>
            </w:r>
          </w:p>
        </w:tc>
        <w:tc>
          <w:tcPr>
            <w:tcW w:w="1596"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31%</w:t>
            </w:r>
          </w:p>
        </w:tc>
        <w:tc>
          <w:tcPr>
            <w:tcW w:w="1657"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44%</w:t>
            </w:r>
          </w:p>
        </w:tc>
        <w:tc>
          <w:tcPr>
            <w:tcW w:w="1414"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p>
        </w:tc>
        <w:tc>
          <w:tcPr>
            <w:tcW w:w="1666"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r>
      <w:tr w:rsidR="00D97A4F" w:rsidRPr="00563DAE" w:rsidTr="00563DAE">
        <w:trPr>
          <w:trHeight w:val="300"/>
        </w:trPr>
        <w:tc>
          <w:tcPr>
            <w:tcW w:w="1891" w:type="dxa"/>
            <w:tcBorders>
              <w:top w:val="single" w:sz="4" w:space="0" w:color="auto"/>
              <w:left w:val="nil"/>
              <w:bottom w:val="single" w:sz="4" w:space="0" w:color="auto"/>
              <w:right w:val="nil"/>
            </w:tcBorders>
            <w:shd w:val="clear" w:color="auto" w:fill="auto"/>
            <w:noWrap/>
            <w:vAlign w:val="bottom"/>
            <w:hideMark/>
          </w:tcPr>
          <w:p w:rsidR="00D97A4F" w:rsidRPr="00563DAE" w:rsidRDefault="00D97A4F" w:rsidP="00D97A4F">
            <w:pPr>
              <w:spacing w:after="0" w:line="240" w:lineRule="auto"/>
              <w:rPr>
                <w:rFonts w:ascii="Times New Roman" w:eastAsia="Times New Roman" w:hAnsi="Times New Roman" w:cs="Times New Roman"/>
                <w:i/>
                <w:sz w:val="20"/>
                <w:szCs w:val="20"/>
                <w:lang w:eastAsia="it-IT"/>
              </w:rPr>
            </w:pPr>
            <w:r w:rsidRPr="00563DAE">
              <w:rPr>
                <w:rFonts w:ascii="Calibri" w:eastAsia="Times New Roman" w:hAnsi="Calibri" w:cs="Calibri"/>
                <w:i/>
                <w:color w:val="000000"/>
                <w:lang w:eastAsia="it-IT"/>
              </w:rPr>
              <w:t>Var. quota export 2015-2017</w:t>
            </w:r>
          </w:p>
        </w:tc>
        <w:tc>
          <w:tcPr>
            <w:tcW w:w="1414" w:type="dxa"/>
            <w:tcBorders>
              <w:top w:val="single" w:sz="4" w:space="0" w:color="auto"/>
              <w:left w:val="nil"/>
              <w:bottom w:val="single" w:sz="4" w:space="0" w:color="auto"/>
              <w:right w:val="nil"/>
            </w:tcBorders>
            <w:shd w:val="clear" w:color="auto" w:fill="auto"/>
            <w:noWrap/>
            <w:vAlign w:val="bottom"/>
            <w:hideMark/>
          </w:tcPr>
          <w:p w:rsidR="00D97A4F" w:rsidRPr="00563DAE" w:rsidRDefault="00D97A4F" w:rsidP="00D97A4F">
            <w:pPr>
              <w:spacing w:after="0" w:line="240" w:lineRule="auto"/>
              <w:rPr>
                <w:rFonts w:ascii="Times New Roman" w:eastAsia="Times New Roman" w:hAnsi="Times New Roman" w:cs="Times New Roman"/>
                <w:i/>
                <w:sz w:val="20"/>
                <w:szCs w:val="20"/>
                <w:lang w:eastAsia="it-IT"/>
              </w:rPr>
            </w:pPr>
          </w:p>
        </w:tc>
        <w:tc>
          <w:tcPr>
            <w:tcW w:w="1596" w:type="dxa"/>
            <w:tcBorders>
              <w:top w:val="single" w:sz="4" w:space="0" w:color="auto"/>
              <w:left w:val="nil"/>
              <w:bottom w:val="single" w:sz="4" w:space="0" w:color="auto"/>
              <w:right w:val="nil"/>
            </w:tcBorders>
            <w:shd w:val="clear" w:color="auto" w:fill="auto"/>
            <w:noWrap/>
            <w:vAlign w:val="bottom"/>
            <w:hideMark/>
          </w:tcPr>
          <w:p w:rsidR="00D97A4F" w:rsidRPr="00563DAE" w:rsidRDefault="00D97A4F" w:rsidP="00D97A4F">
            <w:pPr>
              <w:spacing w:after="0" w:line="240" w:lineRule="auto"/>
              <w:rPr>
                <w:rFonts w:ascii="Times New Roman" w:eastAsia="Times New Roman" w:hAnsi="Times New Roman" w:cs="Times New Roman"/>
                <w:i/>
                <w:sz w:val="20"/>
                <w:szCs w:val="20"/>
                <w:lang w:eastAsia="it-IT"/>
              </w:rPr>
            </w:pPr>
          </w:p>
        </w:tc>
        <w:tc>
          <w:tcPr>
            <w:tcW w:w="1657" w:type="dxa"/>
            <w:tcBorders>
              <w:top w:val="single" w:sz="4" w:space="0" w:color="auto"/>
              <w:left w:val="nil"/>
              <w:bottom w:val="single" w:sz="4" w:space="0" w:color="auto"/>
              <w:right w:val="nil"/>
            </w:tcBorders>
            <w:shd w:val="clear" w:color="auto" w:fill="auto"/>
            <w:noWrap/>
            <w:vAlign w:val="bottom"/>
            <w:hideMark/>
          </w:tcPr>
          <w:p w:rsidR="00D97A4F" w:rsidRPr="00563DAE" w:rsidRDefault="00D97A4F" w:rsidP="00D97A4F">
            <w:pPr>
              <w:spacing w:after="0" w:line="240" w:lineRule="auto"/>
              <w:rPr>
                <w:rFonts w:ascii="Times New Roman" w:eastAsia="Times New Roman" w:hAnsi="Times New Roman" w:cs="Times New Roman"/>
                <w:i/>
                <w:sz w:val="20"/>
                <w:szCs w:val="20"/>
                <w:lang w:eastAsia="it-IT"/>
              </w:rPr>
            </w:pPr>
          </w:p>
        </w:tc>
        <w:tc>
          <w:tcPr>
            <w:tcW w:w="1414" w:type="dxa"/>
            <w:tcBorders>
              <w:top w:val="single" w:sz="4" w:space="0" w:color="auto"/>
              <w:left w:val="nil"/>
              <w:bottom w:val="single" w:sz="4" w:space="0" w:color="auto"/>
              <w:right w:val="nil"/>
            </w:tcBorders>
            <w:shd w:val="clear" w:color="auto" w:fill="auto"/>
            <w:noWrap/>
            <w:vAlign w:val="bottom"/>
            <w:hideMark/>
          </w:tcPr>
          <w:p w:rsidR="00D97A4F" w:rsidRPr="00563DAE" w:rsidRDefault="00D97A4F" w:rsidP="00D97A4F">
            <w:pPr>
              <w:spacing w:after="0" w:line="240" w:lineRule="auto"/>
              <w:rPr>
                <w:rFonts w:ascii="Times New Roman" w:eastAsia="Times New Roman" w:hAnsi="Times New Roman" w:cs="Times New Roman"/>
                <w:i/>
                <w:sz w:val="20"/>
                <w:szCs w:val="20"/>
                <w:lang w:eastAsia="it-IT"/>
              </w:rPr>
            </w:pPr>
          </w:p>
        </w:tc>
        <w:tc>
          <w:tcPr>
            <w:tcW w:w="1666" w:type="dxa"/>
            <w:tcBorders>
              <w:top w:val="single" w:sz="4" w:space="0" w:color="auto"/>
              <w:left w:val="nil"/>
              <w:bottom w:val="single" w:sz="4" w:space="0" w:color="auto"/>
              <w:right w:val="nil"/>
            </w:tcBorders>
            <w:shd w:val="clear" w:color="auto" w:fill="auto"/>
            <w:noWrap/>
            <w:vAlign w:val="bottom"/>
            <w:hideMark/>
          </w:tcPr>
          <w:p w:rsidR="00D97A4F" w:rsidRPr="00563DAE" w:rsidRDefault="00D97A4F" w:rsidP="00D97A4F">
            <w:pPr>
              <w:spacing w:after="0" w:line="240" w:lineRule="auto"/>
              <w:rPr>
                <w:rFonts w:ascii="Times New Roman" w:eastAsia="Times New Roman" w:hAnsi="Times New Roman" w:cs="Times New Roman"/>
                <w:i/>
                <w:sz w:val="20"/>
                <w:szCs w:val="20"/>
                <w:lang w:eastAsia="it-IT"/>
              </w:rPr>
            </w:pPr>
          </w:p>
        </w:tc>
      </w:tr>
      <w:tr w:rsidR="00D97A4F" w:rsidRPr="009028E3" w:rsidTr="00563DAE">
        <w:trPr>
          <w:trHeight w:val="300"/>
        </w:trPr>
        <w:tc>
          <w:tcPr>
            <w:tcW w:w="1891"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c>
          <w:tcPr>
            <w:tcW w:w="1414"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Macchine</w:t>
            </w:r>
          </w:p>
        </w:tc>
        <w:tc>
          <w:tcPr>
            <w:tcW w:w="1596"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Imbarcazioni</w:t>
            </w:r>
          </w:p>
        </w:tc>
        <w:tc>
          <w:tcPr>
            <w:tcW w:w="1657"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altre ind.</w:t>
            </w:r>
          </w:p>
        </w:tc>
        <w:tc>
          <w:tcPr>
            <w:tcW w:w="1414"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rPr>
                <w:rFonts w:ascii="Calibri" w:eastAsia="Times New Roman" w:hAnsi="Calibri" w:cs="Calibri"/>
                <w:color w:val="000000"/>
                <w:lang w:eastAsia="it-IT"/>
              </w:rPr>
            </w:pPr>
          </w:p>
        </w:tc>
        <w:tc>
          <w:tcPr>
            <w:tcW w:w="1666" w:type="dxa"/>
            <w:tcBorders>
              <w:top w:val="single" w:sz="4" w:space="0" w:color="auto"/>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r>
      <w:tr w:rsidR="00D97A4F" w:rsidRPr="009028E3" w:rsidTr="00563DAE">
        <w:trPr>
          <w:trHeight w:val="300"/>
        </w:trPr>
        <w:tc>
          <w:tcPr>
            <w:tcW w:w="1891"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rPr>
                <w:rFonts w:ascii="Calibri" w:eastAsia="Times New Roman" w:hAnsi="Calibri" w:cs="Calibri"/>
                <w:color w:val="000000"/>
                <w:lang w:eastAsia="it-IT"/>
              </w:rPr>
            </w:pPr>
            <w:r w:rsidRPr="009028E3">
              <w:rPr>
                <w:rFonts w:ascii="Calibri" w:eastAsia="Times New Roman" w:hAnsi="Calibri" w:cs="Calibri"/>
                <w:color w:val="000000"/>
                <w:lang w:eastAsia="it-IT"/>
              </w:rPr>
              <w:t>BRICS</w:t>
            </w:r>
          </w:p>
        </w:tc>
        <w:tc>
          <w:tcPr>
            <w:tcW w:w="1414"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1%</w:t>
            </w:r>
          </w:p>
        </w:tc>
        <w:tc>
          <w:tcPr>
            <w:tcW w:w="1596"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0%</w:t>
            </w:r>
          </w:p>
        </w:tc>
        <w:tc>
          <w:tcPr>
            <w:tcW w:w="1657"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4%</w:t>
            </w:r>
          </w:p>
        </w:tc>
        <w:tc>
          <w:tcPr>
            <w:tcW w:w="1414"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p>
        </w:tc>
        <w:tc>
          <w:tcPr>
            <w:tcW w:w="1666" w:type="dxa"/>
            <w:tcBorders>
              <w:top w:val="single" w:sz="4" w:space="0" w:color="auto"/>
              <w:left w:val="nil"/>
              <w:bottom w:val="nil"/>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r>
      <w:tr w:rsidR="00D97A4F" w:rsidRPr="009028E3" w:rsidTr="00563DAE">
        <w:trPr>
          <w:trHeight w:val="300"/>
        </w:trPr>
        <w:tc>
          <w:tcPr>
            <w:tcW w:w="1891" w:type="dxa"/>
            <w:tcBorders>
              <w:top w:val="nil"/>
              <w:left w:val="nil"/>
              <w:right w:val="nil"/>
            </w:tcBorders>
            <w:shd w:val="clear" w:color="auto" w:fill="auto"/>
            <w:noWrap/>
            <w:vAlign w:val="bottom"/>
            <w:hideMark/>
          </w:tcPr>
          <w:p w:rsidR="00D97A4F" w:rsidRPr="009028E3" w:rsidRDefault="00D97A4F" w:rsidP="00D97A4F">
            <w:pPr>
              <w:spacing w:after="0" w:line="240" w:lineRule="auto"/>
              <w:rPr>
                <w:rFonts w:ascii="Calibri" w:eastAsia="Times New Roman" w:hAnsi="Calibri" w:cs="Calibri"/>
                <w:color w:val="000000"/>
                <w:lang w:eastAsia="it-IT"/>
              </w:rPr>
            </w:pPr>
            <w:r w:rsidRPr="009028E3">
              <w:rPr>
                <w:rFonts w:ascii="Calibri" w:eastAsia="Times New Roman" w:hAnsi="Calibri" w:cs="Calibri"/>
                <w:color w:val="000000"/>
                <w:lang w:eastAsia="it-IT"/>
              </w:rPr>
              <w:t>NAFTA</w:t>
            </w:r>
          </w:p>
        </w:tc>
        <w:tc>
          <w:tcPr>
            <w:tcW w:w="1414" w:type="dxa"/>
            <w:tcBorders>
              <w:top w:val="nil"/>
              <w:left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1%</w:t>
            </w:r>
          </w:p>
        </w:tc>
        <w:tc>
          <w:tcPr>
            <w:tcW w:w="1596" w:type="dxa"/>
            <w:tcBorders>
              <w:top w:val="nil"/>
              <w:left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1%</w:t>
            </w:r>
          </w:p>
        </w:tc>
        <w:tc>
          <w:tcPr>
            <w:tcW w:w="1657" w:type="dxa"/>
            <w:tcBorders>
              <w:top w:val="nil"/>
              <w:left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3%</w:t>
            </w:r>
          </w:p>
        </w:tc>
        <w:tc>
          <w:tcPr>
            <w:tcW w:w="1414" w:type="dxa"/>
            <w:tcBorders>
              <w:top w:val="nil"/>
              <w:left w:val="nil"/>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p>
        </w:tc>
        <w:tc>
          <w:tcPr>
            <w:tcW w:w="1666" w:type="dxa"/>
            <w:tcBorders>
              <w:top w:val="nil"/>
              <w:left w:val="nil"/>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r>
      <w:tr w:rsidR="00D97A4F" w:rsidRPr="009028E3" w:rsidTr="00563DAE">
        <w:trPr>
          <w:trHeight w:val="300"/>
        </w:trPr>
        <w:tc>
          <w:tcPr>
            <w:tcW w:w="1891"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rPr>
                <w:rFonts w:ascii="Calibri" w:eastAsia="Times New Roman" w:hAnsi="Calibri" w:cs="Calibri"/>
                <w:color w:val="000000"/>
                <w:lang w:eastAsia="it-IT"/>
              </w:rPr>
            </w:pPr>
            <w:r w:rsidRPr="009028E3">
              <w:rPr>
                <w:rFonts w:ascii="Calibri" w:eastAsia="Times New Roman" w:hAnsi="Calibri" w:cs="Calibri"/>
                <w:color w:val="000000"/>
                <w:lang w:eastAsia="it-IT"/>
              </w:rPr>
              <w:t>Unione Europea</w:t>
            </w:r>
          </w:p>
        </w:tc>
        <w:tc>
          <w:tcPr>
            <w:tcW w:w="1414"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-5%</w:t>
            </w:r>
          </w:p>
        </w:tc>
        <w:tc>
          <w:tcPr>
            <w:tcW w:w="1596"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16%</w:t>
            </w:r>
          </w:p>
        </w:tc>
        <w:tc>
          <w:tcPr>
            <w:tcW w:w="1657"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r w:rsidRPr="009028E3">
              <w:rPr>
                <w:rFonts w:ascii="Calibri" w:eastAsia="Times New Roman" w:hAnsi="Calibri" w:cs="Calibri"/>
                <w:color w:val="000000"/>
                <w:lang w:eastAsia="it-IT"/>
              </w:rPr>
              <w:t>-10%</w:t>
            </w:r>
          </w:p>
        </w:tc>
        <w:tc>
          <w:tcPr>
            <w:tcW w:w="1414"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jc w:val="right"/>
              <w:rPr>
                <w:rFonts w:ascii="Calibri" w:eastAsia="Times New Roman" w:hAnsi="Calibri" w:cs="Calibri"/>
                <w:color w:val="000000"/>
                <w:lang w:eastAsia="it-IT"/>
              </w:rPr>
            </w:pPr>
          </w:p>
        </w:tc>
        <w:tc>
          <w:tcPr>
            <w:tcW w:w="1666" w:type="dxa"/>
            <w:tcBorders>
              <w:top w:val="nil"/>
              <w:left w:val="nil"/>
              <w:bottom w:val="single" w:sz="4" w:space="0" w:color="auto"/>
              <w:right w:val="nil"/>
            </w:tcBorders>
            <w:shd w:val="clear" w:color="auto" w:fill="auto"/>
            <w:noWrap/>
            <w:vAlign w:val="bottom"/>
            <w:hideMark/>
          </w:tcPr>
          <w:p w:rsidR="00D97A4F" w:rsidRPr="009028E3" w:rsidRDefault="00D97A4F" w:rsidP="00D97A4F">
            <w:pPr>
              <w:spacing w:after="0" w:line="240" w:lineRule="auto"/>
              <w:rPr>
                <w:rFonts w:ascii="Times New Roman" w:eastAsia="Times New Roman" w:hAnsi="Times New Roman" w:cs="Times New Roman"/>
                <w:sz w:val="20"/>
                <w:szCs w:val="20"/>
                <w:lang w:eastAsia="it-IT"/>
              </w:rPr>
            </w:pPr>
          </w:p>
        </w:tc>
      </w:tr>
    </w:tbl>
    <w:p w:rsidR="00563DAE" w:rsidRPr="00563DAE" w:rsidRDefault="00563DAE" w:rsidP="00563DAE">
      <w:pPr>
        <w:rPr>
          <w:sz w:val="18"/>
          <w:szCs w:val="18"/>
        </w:rPr>
      </w:pPr>
      <w:r w:rsidRPr="00563DAE">
        <w:rPr>
          <w:sz w:val="18"/>
          <w:szCs w:val="18"/>
        </w:rPr>
        <w:t xml:space="preserve">Fonte: </w:t>
      </w:r>
      <w:r>
        <w:rPr>
          <w:sz w:val="18"/>
          <w:szCs w:val="18"/>
        </w:rPr>
        <w:t xml:space="preserve">ns. elaborazioni su </w:t>
      </w:r>
      <w:r w:rsidRPr="00563DAE">
        <w:rPr>
          <w:sz w:val="18"/>
          <w:szCs w:val="18"/>
        </w:rPr>
        <w:t>banca dati COEWEB ISTAT</w:t>
      </w:r>
    </w:p>
    <w:p w:rsidR="00D97A4F" w:rsidRDefault="00D97A4F" w:rsidP="00D97A4F"/>
    <w:p w:rsidR="00563DAE" w:rsidRDefault="00563DAE">
      <w:r>
        <w:br w:type="page"/>
      </w:r>
    </w:p>
    <w:p w:rsidR="00D97A4F" w:rsidRPr="00033866" w:rsidRDefault="00563DAE" w:rsidP="008A7107">
      <w:pPr>
        <w:jc w:val="both"/>
        <w:rPr>
          <w:b/>
        </w:rPr>
      </w:pPr>
      <w:r w:rsidRPr="00033866">
        <w:rPr>
          <w:b/>
        </w:rPr>
        <w:t>4- ALCUNI DATI TERRITORIALI</w:t>
      </w:r>
    </w:p>
    <w:p w:rsidR="00563DAE" w:rsidRDefault="00563DAE" w:rsidP="008A7107">
      <w:pPr>
        <w:jc w:val="both"/>
      </w:pPr>
    </w:p>
    <w:p w:rsidR="00563DAE" w:rsidRDefault="00563DAE" w:rsidP="008A7107">
      <w:pPr>
        <w:jc w:val="both"/>
      </w:pPr>
      <w:r>
        <w:t xml:space="preserve">In questo capitolo riportiamo i dati relativi alla struttura occupazionale di alcune parti del territorio lucchese, in particolare abbiamo la composizione dell’occupazione in alcuni dei comuni maggiori o più rappresentativi della provincia </w:t>
      </w:r>
    </w:p>
    <w:p w:rsidR="0050505B" w:rsidRDefault="0050505B" w:rsidP="008A7107">
      <w:pPr>
        <w:jc w:val="both"/>
      </w:pPr>
      <w:r>
        <w:t>L’occupazione manifatturiera continua ad essere quella prevalente, ma solo in una parte della piana lucchese e della Valle del Serchio; difficilmente supera il 50% (nei comuni esaminati, solo  a Porcari, 53%) e in quei casi si attesta sul 40% di Barga, sul 43% di Capannori, sul 49% di Gallicano. A Lucca, ma anche a Viareggio, Pietrasanta, Camaiore e Castelnuovo Garfagnana oscilla fra il 10% e il 20%). Nel complesso della provincia l’occupazione manifatturiera ()24%) è leggermente meno incisiva rispetto al dato regionale (25%), e viceversa il dato del settore del commercio (che comprende anche le riparazioni auto-moto) è un poco più “pesante” rispetto alla media regionale (21% contro 20%). Il settore turistico (alberghi e ristorazione, pubblici</w:t>
      </w:r>
      <w:r w:rsidR="00033866">
        <w:t xml:space="preserve"> </w:t>
      </w:r>
      <w:r>
        <w:t>esercizi) pesa per il 13-15%  nei comuni della Versilia (Viareggio, Cam</w:t>
      </w:r>
      <w:r w:rsidR="00033866">
        <w:t>aiore, Pietras</w:t>
      </w:r>
      <w:r>
        <w:t>anta), e, a pa</w:t>
      </w:r>
      <w:r w:rsidR="00033866">
        <w:t>rte i comuni prettamente indust</w:t>
      </w:r>
      <w:r>
        <w:t>r</w:t>
      </w:r>
      <w:r w:rsidR="00033866">
        <w:t>i</w:t>
      </w:r>
      <w:r>
        <w:t>ali di Altopascio e Porcari</w:t>
      </w:r>
      <w:r w:rsidR="003B24A3">
        <w:t>, occupa generalmente fra il 5% e il 10% dell’occupazione privata. L’occupazione</w:t>
      </w:r>
      <w:r w:rsidR="00033866">
        <w:t xml:space="preserve"> </w:t>
      </w:r>
      <w:r w:rsidR="003B24A3">
        <w:t>nell’edilizia raggiunge i livelli massimi in comuni piuttosto eterogenei, probabilmente insistendo su una pluralità di fattori, anche in relazione ad una crisi pervasiva: nelle aree turistiche (Camaiore 15%) costiere, in quelle agrituristiche (Castelnuovo G., 10%) o in quelle industriali (Altopascio 15%). La provincia di Lucca sembra gravemente carente sul piano della componente più avanzata del terziario (nessun comune supera il 2,4% medio della regione nel settore dei servizi di comunicazione). Invece per quanto riguarda i servizi più banali (vigilanza, pulizie, leasing) alcuni</w:t>
      </w:r>
      <w:r w:rsidR="00033866">
        <w:t xml:space="preserve"> </w:t>
      </w:r>
      <w:r w:rsidR="003B24A3">
        <w:t>comuni (Pietrasanta12%, Lucca, 9%) hanno una quota occupazionale di questo settore superiore a quella media regionale (6%). Lucca, (10,9%), Viareggio (8,2%), Castelnuovo Garfagnana (9,7%) sono i comuni in cui le attività di consulenza, servizi tecnic</w:t>
      </w:r>
      <w:r w:rsidR="00033866">
        <w:t>i</w:t>
      </w:r>
      <w:r w:rsidR="003B24A3">
        <w:t>, attività professionali, che hanno una certa rilevanza in quanto fattori strutturanti dello sviluppo, sono maggiormente rappresentate della media regionale (7,2%)</w:t>
      </w:r>
      <w:r w:rsidR="00E45074">
        <w:t>. Il settore dei trasporti e magazzinaggio i</w:t>
      </w:r>
      <w:r w:rsidR="00033866">
        <w:t>ndica che la maggiore rilevanza</w:t>
      </w:r>
      <w:r w:rsidR="00E45074">
        <w:t xml:space="preserve"> della logistica sul territorio si concretizza non nelle aree costiere, ma nelle aree </w:t>
      </w:r>
      <w:r w:rsidR="00033866">
        <w:t>industriali (Lucca 5%, Altopasc</w:t>
      </w:r>
      <w:r w:rsidR="00E45074">
        <w:t xml:space="preserve">io 6%), e comunque ad un livello inferiore a quello medio regionale (6%). Infine si può notare come le attività culturali, ricreative e sportive occupino una quota di addetti (3%) molto superiore a quella media regionale (1%), soprattutto in comuni come Porcari, Pietrasanta, </w:t>
      </w:r>
    </w:p>
    <w:p w:rsidR="0050505B" w:rsidRDefault="0050505B" w:rsidP="008A7107">
      <w:pPr>
        <w:jc w:val="both"/>
      </w:pPr>
    </w:p>
    <w:p w:rsidR="0050505B" w:rsidRDefault="0050505B" w:rsidP="008A7107">
      <w:pPr>
        <w:jc w:val="both"/>
      </w:pPr>
    </w:p>
    <w:p w:rsidR="00033866" w:rsidRDefault="00033866" w:rsidP="008A7107">
      <w:pPr>
        <w:jc w:val="both"/>
      </w:pPr>
    </w:p>
    <w:p w:rsidR="00033866" w:rsidRDefault="00033866" w:rsidP="008A7107">
      <w:pPr>
        <w:jc w:val="both"/>
      </w:pPr>
    </w:p>
    <w:p w:rsidR="00033866" w:rsidRDefault="00033866" w:rsidP="008A7107">
      <w:pPr>
        <w:jc w:val="both"/>
      </w:pPr>
    </w:p>
    <w:p w:rsidR="00033866" w:rsidRDefault="00033866" w:rsidP="008A7107">
      <w:pPr>
        <w:jc w:val="both"/>
      </w:pPr>
    </w:p>
    <w:p w:rsidR="00033866" w:rsidRDefault="00033866" w:rsidP="008A7107">
      <w:pPr>
        <w:jc w:val="both"/>
      </w:pPr>
    </w:p>
    <w:p w:rsidR="00033866" w:rsidRDefault="00033866" w:rsidP="008A7107">
      <w:pPr>
        <w:jc w:val="both"/>
      </w:pPr>
    </w:p>
    <w:p w:rsidR="00033866" w:rsidRDefault="00033866" w:rsidP="008A7107">
      <w:pPr>
        <w:jc w:val="both"/>
      </w:pPr>
    </w:p>
    <w:p w:rsidR="00033866" w:rsidRDefault="00033866" w:rsidP="008A7107">
      <w:pPr>
        <w:jc w:val="both"/>
      </w:pPr>
    </w:p>
    <w:p w:rsidR="00033866" w:rsidRDefault="00033866" w:rsidP="008A7107">
      <w:pPr>
        <w:jc w:val="both"/>
      </w:pPr>
    </w:p>
    <w:p w:rsidR="00033866" w:rsidRDefault="00033866" w:rsidP="008A7107">
      <w:pPr>
        <w:jc w:val="both"/>
      </w:pPr>
    </w:p>
    <w:p w:rsidR="00033866" w:rsidRPr="00033866" w:rsidRDefault="00033866" w:rsidP="008A7107">
      <w:pPr>
        <w:jc w:val="both"/>
        <w:rPr>
          <w:i/>
        </w:rPr>
      </w:pPr>
      <w:r w:rsidRPr="00033866">
        <w:rPr>
          <w:i/>
        </w:rPr>
        <w:t>Tab.16 -</w:t>
      </w:r>
    </w:p>
    <w:p w:rsidR="0050505B" w:rsidRDefault="0050505B" w:rsidP="008A7107">
      <w:pPr>
        <w:jc w:val="both"/>
      </w:pPr>
      <w:r w:rsidRPr="0050505B">
        <w:rPr>
          <w:noProof/>
          <w:lang w:eastAsia="it-IT"/>
        </w:rPr>
        <w:drawing>
          <wp:inline distT="0" distB="0" distL="0" distR="0">
            <wp:extent cx="6120130" cy="3362294"/>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3362294"/>
                    </a:xfrm>
                    <a:prstGeom prst="rect">
                      <a:avLst/>
                    </a:prstGeom>
                    <a:noFill/>
                    <a:ln>
                      <a:noFill/>
                    </a:ln>
                  </pic:spPr>
                </pic:pic>
              </a:graphicData>
            </a:graphic>
          </wp:inline>
        </w:drawing>
      </w:r>
    </w:p>
    <w:p w:rsidR="0050505B" w:rsidRDefault="0050505B" w:rsidP="008A7107">
      <w:pPr>
        <w:jc w:val="both"/>
        <w:rPr>
          <w:sz w:val="18"/>
          <w:szCs w:val="18"/>
        </w:rPr>
      </w:pPr>
      <w:r w:rsidRPr="0050505B">
        <w:rPr>
          <w:sz w:val="18"/>
          <w:szCs w:val="18"/>
        </w:rPr>
        <w:t>Fonte: ns. elaborazioni su dati ISTAT</w:t>
      </w:r>
    </w:p>
    <w:p w:rsidR="0050505B" w:rsidRDefault="0050505B" w:rsidP="008A7107">
      <w:pPr>
        <w:jc w:val="both"/>
        <w:rPr>
          <w:sz w:val="18"/>
          <w:szCs w:val="18"/>
        </w:rPr>
      </w:pPr>
    </w:p>
    <w:p w:rsidR="00E45074" w:rsidRDefault="00E45074" w:rsidP="008A7107">
      <w:pPr>
        <w:jc w:val="both"/>
        <w:rPr>
          <w:sz w:val="18"/>
          <w:szCs w:val="18"/>
        </w:rPr>
      </w:pPr>
      <w:r>
        <w:rPr>
          <w:sz w:val="18"/>
          <w:szCs w:val="18"/>
        </w:rPr>
        <w:t>Infine abbiamo delineato i comuni della provincia (fra quelli selezionati in</w:t>
      </w:r>
      <w:r w:rsidR="00033866">
        <w:rPr>
          <w:sz w:val="18"/>
          <w:szCs w:val="18"/>
        </w:rPr>
        <w:t xml:space="preserve"> precedenza) dove la quo</w:t>
      </w:r>
      <w:r>
        <w:rPr>
          <w:sz w:val="18"/>
          <w:szCs w:val="18"/>
        </w:rPr>
        <w:t>ta dei vari settori supera lo 0,5% del totale reginale. La specializzazione provinciale maggiormente emergente</w:t>
      </w:r>
      <w:r w:rsidR="00033866">
        <w:rPr>
          <w:sz w:val="18"/>
          <w:szCs w:val="18"/>
        </w:rPr>
        <w:t xml:space="preserve"> </w:t>
      </w:r>
      <w:r>
        <w:rPr>
          <w:sz w:val="18"/>
          <w:szCs w:val="18"/>
        </w:rPr>
        <w:t>è, con chiarezza, quella cartaria (in provincia io 60% dell’occupazione to</w:t>
      </w:r>
      <w:r w:rsidR="00033866">
        <w:rPr>
          <w:sz w:val="18"/>
          <w:szCs w:val="18"/>
        </w:rPr>
        <w:t>scana, di cui il 18% a Porcari,</w:t>
      </w:r>
      <w:r>
        <w:rPr>
          <w:sz w:val="18"/>
          <w:szCs w:val="18"/>
        </w:rPr>
        <w:t xml:space="preserve"> il 16,5%</w:t>
      </w:r>
      <w:r w:rsidR="00033866">
        <w:rPr>
          <w:sz w:val="18"/>
          <w:szCs w:val="18"/>
        </w:rPr>
        <w:t xml:space="preserve">  a Capannori e il 4,3%</w:t>
      </w:r>
      <w:r>
        <w:rPr>
          <w:sz w:val="18"/>
          <w:szCs w:val="18"/>
        </w:rPr>
        <w:t xml:space="preserve"> ad Al</w:t>
      </w:r>
      <w:r w:rsidR="00033866">
        <w:rPr>
          <w:sz w:val="18"/>
          <w:szCs w:val="18"/>
        </w:rPr>
        <w:t>topascio). Altri settori di spe</w:t>
      </w:r>
      <w:r>
        <w:rPr>
          <w:sz w:val="18"/>
          <w:szCs w:val="18"/>
        </w:rPr>
        <w:t>c</w:t>
      </w:r>
      <w:r w:rsidR="00033866">
        <w:rPr>
          <w:sz w:val="18"/>
          <w:szCs w:val="18"/>
        </w:rPr>
        <w:t>i</w:t>
      </w:r>
      <w:r>
        <w:rPr>
          <w:sz w:val="18"/>
          <w:szCs w:val="18"/>
        </w:rPr>
        <w:t>alizzazione sono, come già notato, quello delle attività ricreative-sportive-culturali e dello spettacolo (22,7% del totale regionale, di cui il 5% a Viareggio e il 3,7% a Pietrasanta), e quello della nautica da diporto (18,4%, di cui 16,4% a Viareggio).</w:t>
      </w:r>
    </w:p>
    <w:p w:rsidR="0050505B" w:rsidRDefault="0050505B" w:rsidP="008A7107">
      <w:pPr>
        <w:jc w:val="both"/>
        <w:rPr>
          <w:sz w:val="18"/>
          <w:szCs w:val="18"/>
        </w:rPr>
      </w:pPr>
    </w:p>
    <w:p w:rsidR="00033866" w:rsidRPr="00033866" w:rsidRDefault="00033866" w:rsidP="008A7107">
      <w:pPr>
        <w:jc w:val="both"/>
        <w:rPr>
          <w:i/>
          <w:sz w:val="18"/>
          <w:szCs w:val="18"/>
        </w:rPr>
      </w:pPr>
      <w:r w:rsidRPr="00033866">
        <w:rPr>
          <w:i/>
          <w:sz w:val="18"/>
          <w:szCs w:val="18"/>
        </w:rPr>
        <w:t>Tab. 17</w:t>
      </w:r>
    </w:p>
    <w:p w:rsidR="00E45074" w:rsidRPr="0050505B" w:rsidRDefault="00E45074" w:rsidP="008A7107">
      <w:pPr>
        <w:jc w:val="both"/>
        <w:rPr>
          <w:sz w:val="18"/>
          <w:szCs w:val="18"/>
        </w:rPr>
      </w:pPr>
      <w:r w:rsidRPr="00E45074">
        <w:rPr>
          <w:noProof/>
          <w:lang w:eastAsia="it-IT"/>
        </w:rPr>
        <w:drawing>
          <wp:inline distT="0" distB="0" distL="0" distR="0">
            <wp:extent cx="6120130" cy="3362294"/>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3362294"/>
                    </a:xfrm>
                    <a:prstGeom prst="rect">
                      <a:avLst/>
                    </a:prstGeom>
                    <a:noFill/>
                    <a:ln>
                      <a:noFill/>
                    </a:ln>
                  </pic:spPr>
                </pic:pic>
              </a:graphicData>
            </a:graphic>
          </wp:inline>
        </w:drawing>
      </w:r>
    </w:p>
    <w:sectPr w:rsidR="00E45074" w:rsidRPr="0050505B">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A4F" w:rsidRDefault="00D97A4F" w:rsidP="00CD0D10">
      <w:pPr>
        <w:spacing w:after="0" w:line="240" w:lineRule="auto"/>
      </w:pPr>
      <w:r>
        <w:separator/>
      </w:r>
    </w:p>
  </w:endnote>
  <w:endnote w:type="continuationSeparator" w:id="0">
    <w:p w:rsidR="00D97A4F" w:rsidRDefault="00D97A4F" w:rsidP="00CD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651912"/>
      <w:docPartObj>
        <w:docPartGallery w:val="Page Numbers (Bottom of Page)"/>
        <w:docPartUnique/>
      </w:docPartObj>
    </w:sdtPr>
    <w:sdtEndPr/>
    <w:sdtContent>
      <w:p w:rsidR="00D97A4F" w:rsidRDefault="00D97A4F">
        <w:pPr>
          <w:pStyle w:val="Pidipagina"/>
          <w:jc w:val="center"/>
        </w:pPr>
        <w:r>
          <w:fldChar w:fldCharType="begin"/>
        </w:r>
        <w:r>
          <w:instrText>PAGE   \* MERGEFORMAT</w:instrText>
        </w:r>
        <w:r>
          <w:fldChar w:fldCharType="separate"/>
        </w:r>
        <w:r w:rsidR="008002F6">
          <w:rPr>
            <w:noProof/>
          </w:rPr>
          <w:t>4</w:t>
        </w:r>
        <w:r>
          <w:fldChar w:fldCharType="end"/>
        </w:r>
      </w:p>
    </w:sdtContent>
  </w:sdt>
  <w:p w:rsidR="00D97A4F" w:rsidRDefault="00D97A4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A4F" w:rsidRDefault="00D97A4F" w:rsidP="00CD0D10">
      <w:pPr>
        <w:spacing w:after="0" w:line="240" w:lineRule="auto"/>
      </w:pPr>
      <w:r>
        <w:separator/>
      </w:r>
    </w:p>
  </w:footnote>
  <w:footnote w:type="continuationSeparator" w:id="0">
    <w:p w:rsidR="00D97A4F" w:rsidRDefault="00D97A4F" w:rsidP="00CD0D10">
      <w:pPr>
        <w:spacing w:after="0" w:line="240" w:lineRule="auto"/>
      </w:pPr>
      <w:r>
        <w:continuationSeparator/>
      </w:r>
    </w:p>
  </w:footnote>
  <w:footnote w:id="1">
    <w:p w:rsidR="00D97A4F" w:rsidRDefault="00D97A4F">
      <w:pPr>
        <w:pStyle w:val="Testonotaapidipagina"/>
      </w:pPr>
      <w:r>
        <w:rPr>
          <w:rStyle w:val="Rimandonotaapidipagina"/>
        </w:rPr>
        <w:footnoteRef/>
      </w:r>
      <w:r>
        <w:t xml:space="preserve"> Il  presente report è stato curato da Franco Bortolotti. Marco Batazzi ha fornito le elaborazioni</w:t>
      </w:r>
      <w:r w:rsidR="00FA1710">
        <w:t xml:space="preserve"> statistiche</w:t>
      </w:r>
      <w:r>
        <w:t xml:space="preserve"> relative al primo paragrafo.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B1CA5"/>
    <w:multiLevelType w:val="hybridMultilevel"/>
    <w:tmpl w:val="B43880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38"/>
    <w:rsid w:val="0000367F"/>
    <w:rsid w:val="00033866"/>
    <w:rsid w:val="00046867"/>
    <w:rsid w:val="00096493"/>
    <w:rsid w:val="0016402E"/>
    <w:rsid w:val="001C6952"/>
    <w:rsid w:val="0021437A"/>
    <w:rsid w:val="002225EC"/>
    <w:rsid w:val="002C1789"/>
    <w:rsid w:val="00376D53"/>
    <w:rsid w:val="0038772E"/>
    <w:rsid w:val="003B1A8B"/>
    <w:rsid w:val="003B24A3"/>
    <w:rsid w:val="0044476F"/>
    <w:rsid w:val="004A4928"/>
    <w:rsid w:val="0050505B"/>
    <w:rsid w:val="00561435"/>
    <w:rsid w:val="00561F38"/>
    <w:rsid w:val="00563DAE"/>
    <w:rsid w:val="005D1FDF"/>
    <w:rsid w:val="005F76B4"/>
    <w:rsid w:val="00761D4A"/>
    <w:rsid w:val="008002F6"/>
    <w:rsid w:val="00800EC0"/>
    <w:rsid w:val="00866E5D"/>
    <w:rsid w:val="008A7107"/>
    <w:rsid w:val="008F3452"/>
    <w:rsid w:val="00910EB7"/>
    <w:rsid w:val="009E79E2"/>
    <w:rsid w:val="00A46A6B"/>
    <w:rsid w:val="00AD1582"/>
    <w:rsid w:val="00B82253"/>
    <w:rsid w:val="00BD52FA"/>
    <w:rsid w:val="00C1250A"/>
    <w:rsid w:val="00C550BB"/>
    <w:rsid w:val="00CD0D10"/>
    <w:rsid w:val="00D57038"/>
    <w:rsid w:val="00D97A4F"/>
    <w:rsid w:val="00E04957"/>
    <w:rsid w:val="00E45074"/>
    <w:rsid w:val="00F27BE8"/>
    <w:rsid w:val="00F44174"/>
    <w:rsid w:val="00F575A9"/>
    <w:rsid w:val="00F65D4E"/>
    <w:rsid w:val="00FA17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383C7-7DFF-4DB9-A2C9-0D6D5B86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61F3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1F38"/>
    <w:rPr>
      <w:rFonts w:ascii="Segoe UI" w:hAnsi="Segoe UI" w:cs="Segoe UI"/>
      <w:sz w:val="18"/>
      <w:szCs w:val="18"/>
    </w:rPr>
  </w:style>
  <w:style w:type="table" w:styleId="Grigliatabella">
    <w:name w:val="Table Grid"/>
    <w:basedOn w:val="Tabellanormale"/>
    <w:uiPriority w:val="39"/>
    <w:rsid w:val="002C1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D0D10"/>
    <w:pPr>
      <w:ind w:left="720"/>
      <w:contextualSpacing/>
    </w:pPr>
  </w:style>
  <w:style w:type="paragraph" w:styleId="Testonotaapidipagina">
    <w:name w:val="footnote text"/>
    <w:basedOn w:val="Normale"/>
    <w:link w:val="TestonotaapidipaginaCarattere"/>
    <w:uiPriority w:val="99"/>
    <w:semiHidden/>
    <w:unhideWhenUsed/>
    <w:rsid w:val="00CD0D1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D0D10"/>
    <w:rPr>
      <w:sz w:val="20"/>
      <w:szCs w:val="20"/>
    </w:rPr>
  </w:style>
  <w:style w:type="character" w:styleId="Rimandonotaapidipagina">
    <w:name w:val="footnote reference"/>
    <w:basedOn w:val="Carpredefinitoparagrafo"/>
    <w:uiPriority w:val="99"/>
    <w:semiHidden/>
    <w:unhideWhenUsed/>
    <w:rsid w:val="00CD0D10"/>
    <w:rPr>
      <w:vertAlign w:val="superscript"/>
    </w:rPr>
  </w:style>
  <w:style w:type="paragraph" w:styleId="Intestazione">
    <w:name w:val="header"/>
    <w:basedOn w:val="Normale"/>
    <w:link w:val="IntestazioneCarattere"/>
    <w:uiPriority w:val="99"/>
    <w:unhideWhenUsed/>
    <w:rsid w:val="00D97A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7A4F"/>
  </w:style>
  <w:style w:type="paragraph" w:styleId="Pidipagina">
    <w:name w:val="footer"/>
    <w:basedOn w:val="Normale"/>
    <w:link w:val="PidipaginaCarattere"/>
    <w:uiPriority w:val="99"/>
    <w:unhideWhenUsed/>
    <w:rsid w:val="00D97A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2485">
      <w:bodyDiv w:val="1"/>
      <w:marLeft w:val="0"/>
      <w:marRight w:val="0"/>
      <w:marTop w:val="0"/>
      <w:marBottom w:val="0"/>
      <w:divBdr>
        <w:top w:val="none" w:sz="0" w:space="0" w:color="auto"/>
        <w:left w:val="none" w:sz="0" w:space="0" w:color="auto"/>
        <w:bottom w:val="none" w:sz="0" w:space="0" w:color="auto"/>
        <w:right w:val="none" w:sz="0" w:space="0" w:color="auto"/>
      </w:divBdr>
    </w:div>
    <w:div w:id="651838501">
      <w:bodyDiv w:val="1"/>
      <w:marLeft w:val="0"/>
      <w:marRight w:val="0"/>
      <w:marTop w:val="0"/>
      <w:marBottom w:val="0"/>
      <w:divBdr>
        <w:top w:val="none" w:sz="0" w:space="0" w:color="auto"/>
        <w:left w:val="none" w:sz="0" w:space="0" w:color="auto"/>
        <w:bottom w:val="none" w:sz="0" w:space="0" w:color="auto"/>
        <w:right w:val="none" w:sz="0" w:space="0" w:color="auto"/>
      </w:divBdr>
    </w:div>
    <w:div w:id="688069335">
      <w:bodyDiv w:val="1"/>
      <w:marLeft w:val="0"/>
      <w:marRight w:val="0"/>
      <w:marTop w:val="0"/>
      <w:marBottom w:val="0"/>
      <w:divBdr>
        <w:top w:val="none" w:sz="0" w:space="0" w:color="auto"/>
        <w:left w:val="none" w:sz="0" w:space="0" w:color="auto"/>
        <w:bottom w:val="none" w:sz="0" w:space="0" w:color="auto"/>
        <w:right w:val="none" w:sz="0" w:space="0" w:color="auto"/>
      </w:divBdr>
    </w:div>
    <w:div w:id="1250387771">
      <w:bodyDiv w:val="1"/>
      <w:marLeft w:val="0"/>
      <w:marRight w:val="0"/>
      <w:marTop w:val="0"/>
      <w:marBottom w:val="0"/>
      <w:divBdr>
        <w:top w:val="none" w:sz="0" w:space="0" w:color="auto"/>
        <w:left w:val="none" w:sz="0" w:space="0" w:color="auto"/>
        <w:bottom w:val="none" w:sz="0" w:space="0" w:color="auto"/>
        <w:right w:val="none" w:sz="0" w:space="0" w:color="auto"/>
      </w:divBdr>
    </w:div>
    <w:div w:id="1274630230">
      <w:bodyDiv w:val="1"/>
      <w:marLeft w:val="0"/>
      <w:marRight w:val="0"/>
      <w:marTop w:val="0"/>
      <w:marBottom w:val="0"/>
      <w:divBdr>
        <w:top w:val="none" w:sz="0" w:space="0" w:color="auto"/>
        <w:left w:val="none" w:sz="0" w:space="0" w:color="auto"/>
        <w:bottom w:val="none" w:sz="0" w:space="0" w:color="auto"/>
        <w:right w:val="none" w:sz="0" w:space="0" w:color="auto"/>
      </w:divBdr>
    </w:div>
    <w:div w:id="1360474632">
      <w:bodyDiv w:val="1"/>
      <w:marLeft w:val="0"/>
      <w:marRight w:val="0"/>
      <w:marTop w:val="0"/>
      <w:marBottom w:val="0"/>
      <w:divBdr>
        <w:top w:val="none" w:sz="0" w:space="0" w:color="auto"/>
        <w:left w:val="none" w:sz="0" w:space="0" w:color="auto"/>
        <w:bottom w:val="none" w:sz="0" w:space="0" w:color="auto"/>
        <w:right w:val="none" w:sz="0" w:space="0" w:color="auto"/>
      </w:divBdr>
    </w:div>
    <w:div w:id="1485665360">
      <w:bodyDiv w:val="1"/>
      <w:marLeft w:val="0"/>
      <w:marRight w:val="0"/>
      <w:marTop w:val="0"/>
      <w:marBottom w:val="0"/>
      <w:divBdr>
        <w:top w:val="none" w:sz="0" w:space="0" w:color="auto"/>
        <w:left w:val="none" w:sz="0" w:space="0" w:color="auto"/>
        <w:bottom w:val="none" w:sz="0" w:space="0" w:color="auto"/>
        <w:right w:val="none" w:sz="0" w:space="0" w:color="auto"/>
      </w:divBdr>
    </w:div>
    <w:div w:id="1947495619">
      <w:bodyDiv w:val="1"/>
      <w:marLeft w:val="0"/>
      <w:marRight w:val="0"/>
      <w:marTop w:val="0"/>
      <w:marBottom w:val="0"/>
      <w:divBdr>
        <w:top w:val="none" w:sz="0" w:space="0" w:color="auto"/>
        <w:left w:val="none" w:sz="0" w:space="0" w:color="auto"/>
        <w:bottom w:val="none" w:sz="0" w:space="0" w:color="auto"/>
        <w:right w:val="none" w:sz="0" w:space="0" w:color="auto"/>
      </w:divBdr>
    </w:div>
    <w:div w:id="2072262632">
      <w:bodyDiv w:val="1"/>
      <w:marLeft w:val="0"/>
      <w:marRight w:val="0"/>
      <w:marTop w:val="0"/>
      <w:marBottom w:val="0"/>
      <w:divBdr>
        <w:top w:val="none" w:sz="0" w:space="0" w:color="auto"/>
        <w:left w:val="none" w:sz="0" w:space="0" w:color="auto"/>
        <w:bottom w:val="none" w:sz="0" w:space="0" w:color="auto"/>
        <w:right w:val="none" w:sz="0" w:space="0" w:color="auto"/>
      </w:divBdr>
    </w:div>
    <w:div w:id="2122146045">
      <w:bodyDiv w:val="1"/>
      <w:marLeft w:val="0"/>
      <w:marRight w:val="0"/>
      <w:marTop w:val="0"/>
      <w:marBottom w:val="0"/>
      <w:divBdr>
        <w:top w:val="none" w:sz="0" w:space="0" w:color="auto"/>
        <w:left w:val="none" w:sz="0" w:space="0" w:color="auto"/>
        <w:bottom w:val="none" w:sz="0" w:space="0" w:color="auto"/>
        <w:right w:val="none" w:sz="0" w:space="0" w:color="auto"/>
      </w:divBdr>
    </w:div>
    <w:div w:id="214434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emf"/><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image" Target="media/image5.emf"/><Relationship Id="rId10" Type="http://schemas.openxmlformats.org/officeDocument/2006/relationships/chart" Target="charts/chart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ranco\AppData\Local\Temp\7zO897D80E6\Lucca.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Franco\AppData\Local\Temp\9PY9TT00.xls" TargetMode="External"/><Relationship Id="rId2" Type="http://schemas.microsoft.com/office/2011/relationships/chartColorStyle" Target="colors7.xml"/><Relationship Id="rId1" Type="http://schemas.microsoft.com/office/2011/relationships/chartStyle" Target="style7.xml"/></Relationships>
</file>

<file path=word/charts/_rels/chart11.xml.rels><?xml version="1.0" encoding="UTF-8" standalone="yes"?>
<Relationships xmlns="http://schemas.openxmlformats.org/package/2006/relationships"><Relationship Id="rId3" Type="http://schemas.openxmlformats.org/officeDocument/2006/relationships/package" Target="../embeddings/Foglio_di_lavoro_di_Microsoft_Excel1.xlsx"/><Relationship Id="rId2" Type="http://schemas.microsoft.com/office/2011/relationships/chartColorStyle" Target="colors8.xml"/><Relationship Id="rId1" Type="http://schemas.microsoft.com/office/2011/relationships/chartStyle" Target="style8.xml"/></Relationships>
</file>

<file path=word/charts/_rels/chart2.xml.rels><?xml version="1.0" encoding="UTF-8" standalone="yes"?>
<Relationships xmlns="http://schemas.openxmlformats.org/package/2006/relationships"><Relationship Id="rId1" Type="http://schemas.openxmlformats.org/officeDocument/2006/relationships/oleObject" Target="file:///\\192.168.1.100\Franco\Documenti\lucca%20cgil2018\Lucc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1.100\Franco\Documenti\lucca%20cgil2018\Lucca.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192.168.1.100\Franco\Documenti\dati%20lucca.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oleObject" Target="file:///\\192.168.1.100\Franco\Documenti\dati%20lucca.xlsx"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oleObject" Target="file:///\\192.168.1.100\Franco\Documenti\dati%20lucca.xlsx" TargetMode="External"/><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oleObject" Target="file:///\\192.168.1.100\Franco\Documenti\dati%20lucca.xlsx" TargetMode="External"/><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oleObject" Target="file:///\\192.168.1.100\Franco\Documenti\dati%20lucca.xlsx" TargetMode="External"/><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3" Type="http://schemas.openxmlformats.org/officeDocument/2006/relationships/oleObject" Target="file:///\\192.168.1.100\Franco\Documenti\dati%20lucca.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'[Lucca.xlsx]export import'!$B$21</c:f>
              <c:strCache>
                <c:ptCount val="1"/>
                <c:pt idx="0">
                  <c:v>Esportazioni</c:v>
                </c:pt>
              </c:strCache>
            </c:strRef>
          </c:tx>
          <c:spPr>
            <a:ln>
              <a:solidFill>
                <a:schemeClr val="accent1">
                  <a:lumMod val="75000"/>
                </a:schemeClr>
              </a:solidFill>
            </a:ln>
          </c:spPr>
          <c:marker>
            <c:symbol val="circle"/>
            <c:size val="9"/>
            <c:spPr>
              <a:solidFill>
                <a:schemeClr val="accent1">
                  <a:lumMod val="75000"/>
                </a:schemeClr>
              </a:solidFill>
              <a:ln>
                <a:solidFill>
                  <a:schemeClr val="accent1">
                    <a:lumMod val="75000"/>
                  </a:schemeClr>
                </a:solidFill>
              </a:ln>
            </c:spPr>
          </c:marker>
          <c:dPt>
            <c:idx val="3"/>
            <c:bubble3D val="0"/>
            <c:spPr>
              <a:ln>
                <a:solidFill>
                  <a:schemeClr val="accent1">
                    <a:lumMod val="75000"/>
                  </a:schemeClr>
                </a:solidFill>
              </a:ln>
            </c:spPr>
          </c:dPt>
          <c:cat>
            <c:numRef>
              <c:f>'[Lucca.xlsx]export import'!$A$22:$A$35</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'[Lucca.xlsx]export import'!$B$22:$B$35</c:f>
              <c:numCache>
                <c:formatCode>0.0%</c:formatCode>
                <c:ptCount val="14"/>
                <c:pt idx="0">
                  <c:v>9.8398456881119145E-3</c:v>
                </c:pt>
                <c:pt idx="1">
                  <c:v>-0.11148255295964193</c:v>
                </c:pt>
                <c:pt idx="2">
                  <c:v>-0.10603520556559132</c:v>
                </c:pt>
                <c:pt idx="3">
                  <c:v>0.17030524789944756</c:v>
                </c:pt>
                <c:pt idx="4">
                  <c:v>2.9880187363010791E-2</c:v>
                </c:pt>
                <c:pt idx="5">
                  <c:v>-8.3738279113113712E-2</c:v>
                </c:pt>
                <c:pt idx="6">
                  <c:v>4.2603757474125148E-2</c:v>
                </c:pt>
                <c:pt idx="7">
                  <c:v>3.974366079443703E-2</c:v>
                </c:pt>
                <c:pt idx="8">
                  <c:v>0.13188694148673941</c:v>
                </c:pt>
                <c:pt idx="9">
                  <c:v>-3.8632609676562568E-2</c:v>
                </c:pt>
                <c:pt idx="10">
                  <c:v>1.7005475404627157E-2</c:v>
                </c:pt>
                <c:pt idx="11">
                  <c:v>1.8202747181599532E-2</c:v>
                </c:pt>
                <c:pt idx="12">
                  <c:v>3.724044944606919E-2</c:v>
                </c:pt>
                <c:pt idx="13">
                  <c:v>2.8285728155462486E-2</c:v>
                </c:pt>
              </c:numCache>
            </c:numRef>
          </c:val>
          <c:smooth val="0"/>
        </c:ser>
        <c:ser>
          <c:idx val="1"/>
          <c:order val="1"/>
          <c:tx>
            <c:strRef>
              <c:f>'[Lucca.xlsx]export import'!$C$21</c:f>
              <c:strCache>
                <c:ptCount val="1"/>
                <c:pt idx="0">
                  <c:v>Importazioni</c:v>
                </c:pt>
              </c:strCache>
            </c:strRef>
          </c:tx>
          <c:spPr>
            <a:ln>
              <a:solidFill>
                <a:schemeClr val="accent6">
                  <a:lumMod val="75000"/>
                </a:schemeClr>
              </a:solidFill>
            </a:ln>
          </c:spPr>
          <c:marker>
            <c:symbol val="circle"/>
            <c:size val="9"/>
            <c:spPr>
              <a:solidFill>
                <a:schemeClr val="accent6">
                  <a:lumMod val="75000"/>
                </a:schemeClr>
              </a:solidFill>
              <a:ln>
                <a:solidFill>
                  <a:schemeClr val="accent6">
                    <a:lumMod val="75000"/>
                  </a:schemeClr>
                </a:solidFill>
              </a:ln>
            </c:spPr>
          </c:marker>
          <c:cat>
            <c:numRef>
              <c:f>'[Lucca.xlsx]export import'!$A$22:$A$35</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'[Lucca.xlsx]export import'!$C$22:$C$35</c:f>
              <c:numCache>
                <c:formatCode>0.0%</c:formatCode>
                <c:ptCount val="14"/>
                <c:pt idx="0">
                  <c:v>7.2743139267055446E-2</c:v>
                </c:pt>
                <c:pt idx="1">
                  <c:v>-8.9943355387897661E-2</c:v>
                </c:pt>
                <c:pt idx="2">
                  <c:v>-0.17586982741217283</c:v>
                </c:pt>
                <c:pt idx="3">
                  <c:v>0.28704172695946562</c:v>
                </c:pt>
                <c:pt idx="4">
                  <c:v>-5.67831192643099E-2</c:v>
                </c:pt>
                <c:pt idx="5">
                  <c:v>-5.3551473330057831E-2</c:v>
                </c:pt>
                <c:pt idx="6">
                  <c:v>4.0759432107722482E-2</c:v>
                </c:pt>
                <c:pt idx="7">
                  <c:v>6.447527322893376E-2</c:v>
                </c:pt>
                <c:pt idx="8">
                  <c:v>0.15487215802296972</c:v>
                </c:pt>
                <c:pt idx="9">
                  <c:v>-1.6456937418793949E-2</c:v>
                </c:pt>
                <c:pt idx="10">
                  <c:v>-2.5562981724596812E-2</c:v>
                </c:pt>
                <c:pt idx="11">
                  <c:v>-1.7705835065798259E-2</c:v>
                </c:pt>
                <c:pt idx="12">
                  <c:v>8.4407614219096372E-2</c:v>
                </c:pt>
                <c:pt idx="13">
                  <c:v>6.0997864625638387E-2</c:v>
                </c:pt>
              </c:numCache>
            </c:numRef>
          </c:val>
          <c:smooth val="0"/>
        </c:ser>
        <c:dLbls>
          <c:showLegendKey val="0"/>
          <c:showVal val="0"/>
          <c:showCatName val="0"/>
          <c:showSerName val="0"/>
          <c:showPercent val="0"/>
          <c:showBubbleSize val="0"/>
        </c:dLbls>
        <c:marker val="1"/>
        <c:smooth val="0"/>
        <c:axId val="767341624"/>
        <c:axId val="767342408"/>
      </c:lineChart>
      <c:catAx>
        <c:axId val="767341624"/>
        <c:scaling>
          <c:orientation val="minMax"/>
        </c:scaling>
        <c:delete val="0"/>
        <c:axPos val="b"/>
        <c:numFmt formatCode="General" sourceLinked="1"/>
        <c:majorTickMark val="none"/>
        <c:minorTickMark val="none"/>
        <c:tickLblPos val="low"/>
        <c:spPr>
          <a:ln w="22225"/>
        </c:spPr>
        <c:txPr>
          <a:bodyPr/>
          <a:lstStyle/>
          <a:p>
            <a:pPr>
              <a:defRPr b="1"/>
            </a:pPr>
            <a:endParaRPr lang="it-IT"/>
          </a:p>
        </c:txPr>
        <c:crossAx val="767342408"/>
        <c:crossesAt val="-0.2"/>
        <c:auto val="1"/>
        <c:lblAlgn val="ctr"/>
        <c:lblOffset val="100"/>
        <c:noMultiLvlLbl val="0"/>
      </c:catAx>
      <c:valAx>
        <c:axId val="767342408"/>
        <c:scaling>
          <c:orientation val="minMax"/>
          <c:max val="0.30000000000000032"/>
          <c:min val="-0.2"/>
        </c:scaling>
        <c:delete val="0"/>
        <c:axPos val="l"/>
        <c:majorGridlines>
          <c:spPr>
            <a:ln w="6350"/>
          </c:spPr>
        </c:majorGridlines>
        <c:numFmt formatCode="0%" sourceLinked="0"/>
        <c:majorTickMark val="out"/>
        <c:minorTickMark val="none"/>
        <c:tickLblPos val="nextTo"/>
        <c:spPr>
          <a:ln>
            <a:noFill/>
          </a:ln>
        </c:spPr>
        <c:crossAx val="767341624"/>
        <c:crosses val="autoZero"/>
        <c:crossBetween val="midCat"/>
        <c:majorUnit val="0.05"/>
      </c:valAx>
    </c:plotArea>
    <c:legend>
      <c:legendPos val="l"/>
      <c:layout/>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pieChart>
        <c:varyColors val="1"/>
        <c:ser>
          <c:idx val="0"/>
          <c:order val="0"/>
          <c:tx>
            <c:strRef>
              <c:f>'9PY9TT00'!$C$48</c:f>
              <c:strCache>
                <c:ptCount val="1"/>
                <c:pt idx="0">
                  <c:v>maschi</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mn-lt"/>
                    <a:ea typeface="+mn-ea"/>
                    <a:cs typeface="+mn-cs"/>
                  </a:defRPr>
                </a:pPr>
                <a:endParaRPr lang="it-IT"/>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'9PY9TT00'!$B$49:$B$52</c:f>
              <c:strCache>
                <c:ptCount val="4"/>
                <c:pt idx="0">
                  <c:v>standard</c:v>
                </c:pt>
                <c:pt idx="1">
                  <c:v>part time indet.</c:v>
                </c:pt>
                <c:pt idx="2">
                  <c:v>part time a termine</c:v>
                </c:pt>
                <c:pt idx="3">
                  <c:v>full time a termine</c:v>
                </c:pt>
              </c:strCache>
            </c:strRef>
          </c:cat>
          <c:val>
            <c:numRef>
              <c:f>'9PY9TT00'!$C$49:$C$52</c:f>
              <c:numCache>
                <c:formatCode>#,##0</c:formatCode>
                <c:ptCount val="4"/>
                <c:pt idx="0">
                  <c:v>37960</c:v>
                </c:pt>
                <c:pt idx="1">
                  <c:v>5811</c:v>
                </c:pt>
                <c:pt idx="2">
                  <c:v>5093</c:v>
                </c:pt>
                <c:pt idx="3">
                  <c:v>8413</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it-I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pieChart>
        <c:varyColors val="1"/>
        <c:ser>
          <c:idx val="0"/>
          <c:order val="0"/>
          <c:tx>
            <c:strRef>
              <c:f>'9PY9TT00'!$E$48</c:f>
              <c:strCache>
                <c:ptCount val="1"/>
                <c:pt idx="0">
                  <c:v>femmine</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it-IT"/>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'9PY9TT00'!$D$49:$D$52</c:f>
              <c:strCache>
                <c:ptCount val="4"/>
                <c:pt idx="0">
                  <c:v>standard</c:v>
                </c:pt>
                <c:pt idx="1">
                  <c:v>part time indet.</c:v>
                </c:pt>
                <c:pt idx="2">
                  <c:v>part time a termine</c:v>
                </c:pt>
                <c:pt idx="3">
                  <c:v>full time a termine</c:v>
                </c:pt>
              </c:strCache>
            </c:strRef>
          </c:cat>
          <c:val>
            <c:numRef>
              <c:f>'9PY9TT00'!$E$49:$E$52</c:f>
              <c:numCache>
                <c:formatCode>#,##0</c:formatCode>
                <c:ptCount val="4"/>
                <c:pt idx="0">
                  <c:v>13490</c:v>
                </c:pt>
                <c:pt idx="1">
                  <c:v>16581</c:v>
                </c:pt>
                <c:pt idx="2">
                  <c:v>7959</c:v>
                </c:pt>
                <c:pt idx="3">
                  <c:v>5617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ndard"/>
        <c:varyColors val="0"/>
        <c:ser>
          <c:idx val="0"/>
          <c:order val="0"/>
          <c:tx>
            <c:strRef>
              <c:f>lavoro!$B$2</c:f>
              <c:strCache>
                <c:ptCount val="1"/>
                <c:pt idx="0">
                  <c:v>tasso di disoccupazione</c:v>
                </c:pt>
              </c:strCache>
            </c:strRef>
          </c:tx>
          <c:cat>
            <c:numRef>
              <c:f>lavoro!$A$4:$A$16</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lavoro!$B$4:$B$16</c:f>
              <c:numCache>
                <c:formatCode>0.0</c:formatCode>
                <c:ptCount val="13"/>
                <c:pt idx="0">
                  <c:v>3.5562160292342835</c:v>
                </c:pt>
                <c:pt idx="1">
                  <c:v>4.7058811968479368</c:v>
                </c:pt>
                <c:pt idx="2">
                  <c:v>5.9310097785934053</c:v>
                </c:pt>
                <c:pt idx="3">
                  <c:v>7.8347587706218373</c:v>
                </c:pt>
                <c:pt idx="4">
                  <c:v>5.5002442207327933</c:v>
                </c:pt>
                <c:pt idx="5">
                  <c:v>7.9623321321558009</c:v>
                </c:pt>
                <c:pt idx="6">
                  <c:v>9.4442689348844748</c:v>
                </c:pt>
                <c:pt idx="7">
                  <c:v>17.397762271082648</c:v>
                </c:pt>
                <c:pt idx="8">
                  <c:v>11.365815723783456</c:v>
                </c:pt>
                <c:pt idx="9">
                  <c:v>9.7760761069188593</c:v>
                </c:pt>
                <c:pt idx="10">
                  <c:v>10.896682264932684</c:v>
                </c:pt>
                <c:pt idx="11">
                  <c:v>9.0546598566233882</c:v>
                </c:pt>
                <c:pt idx="12">
                  <c:v>8.593642816006879</c:v>
                </c:pt>
              </c:numCache>
            </c:numRef>
          </c:val>
          <c:smooth val="0"/>
        </c:ser>
        <c:dLbls>
          <c:showLegendKey val="0"/>
          <c:showVal val="0"/>
          <c:showCatName val="0"/>
          <c:showSerName val="0"/>
          <c:showPercent val="0"/>
          <c:showBubbleSize val="0"/>
        </c:dLbls>
        <c:marker val="1"/>
        <c:smooth val="0"/>
        <c:axId val="767343584"/>
        <c:axId val="767335352"/>
      </c:lineChart>
      <c:catAx>
        <c:axId val="767343584"/>
        <c:scaling>
          <c:orientation val="minMax"/>
        </c:scaling>
        <c:delete val="0"/>
        <c:axPos val="b"/>
        <c:numFmt formatCode="General" sourceLinked="1"/>
        <c:majorTickMark val="out"/>
        <c:minorTickMark val="none"/>
        <c:tickLblPos val="nextTo"/>
        <c:crossAx val="767335352"/>
        <c:crosses val="autoZero"/>
        <c:auto val="1"/>
        <c:lblAlgn val="ctr"/>
        <c:lblOffset val="100"/>
        <c:noMultiLvlLbl val="0"/>
      </c:catAx>
      <c:valAx>
        <c:axId val="767335352"/>
        <c:scaling>
          <c:orientation val="minMax"/>
        </c:scaling>
        <c:delete val="0"/>
        <c:axPos val="l"/>
        <c:majorGridlines/>
        <c:numFmt formatCode="0.0" sourceLinked="1"/>
        <c:majorTickMark val="out"/>
        <c:minorTickMark val="none"/>
        <c:tickLblPos val="nextTo"/>
        <c:crossAx val="76734358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t-IT"/>
              <a:t>Dinamica delle unità di</a:t>
            </a:r>
            <a:r>
              <a:rPr lang="it-IT" baseline="0"/>
              <a:t> lavoro</a:t>
            </a:r>
            <a:endParaRPr lang="it-IT"/>
          </a:p>
        </c:rich>
      </c:tx>
      <c:layout>
        <c:manualLayout>
          <c:xMode val="edge"/>
          <c:yMode val="edge"/>
          <c:x val="0.21421522309711338"/>
          <c:y val="3.7037037037037056E-2"/>
        </c:manualLayout>
      </c:layout>
      <c:overlay val="0"/>
    </c:title>
    <c:autoTitleDeleted val="0"/>
    <c:plotArea>
      <c:layout>
        <c:manualLayout>
          <c:layoutTarget val="inner"/>
          <c:xMode val="edge"/>
          <c:yMode val="edge"/>
          <c:x val="9.8571741032371027E-2"/>
          <c:y val="0.18103018372703475"/>
          <c:w val="0.78164829396325464"/>
          <c:h val="0.557100466608342"/>
        </c:manualLayout>
      </c:layout>
      <c:areaChart>
        <c:grouping val="standard"/>
        <c:varyColors val="0"/>
        <c:ser>
          <c:idx val="1"/>
          <c:order val="0"/>
          <c:tx>
            <c:strRef>
              <c:f>lavoro!$F$2</c:f>
              <c:strCache>
                <c:ptCount val="1"/>
                <c:pt idx="0">
                  <c:v>valori assoluti</c:v>
                </c:pt>
              </c:strCache>
            </c:strRef>
          </c:tx>
          <c:cat>
            <c:numRef>
              <c:f>lavoro!$E$4:$E$16</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lavoro!$F$4:$F$16</c:f>
              <c:numCache>
                <c:formatCode>0.0</c:formatCode>
                <c:ptCount val="13"/>
                <c:pt idx="0">
                  <c:v>162.20742017246937</c:v>
                </c:pt>
                <c:pt idx="1">
                  <c:v>159.25798156872912</c:v>
                </c:pt>
                <c:pt idx="2">
                  <c:v>160.65885206323009</c:v>
                </c:pt>
                <c:pt idx="3">
                  <c:v>160.47892861757515</c:v>
                </c:pt>
                <c:pt idx="4">
                  <c:v>158.2326960607777</c:v>
                </c:pt>
                <c:pt idx="5">
                  <c:v>153.39409434636295</c:v>
                </c:pt>
                <c:pt idx="6">
                  <c:v>147.77389363017591</c:v>
                </c:pt>
                <c:pt idx="7">
                  <c:v>148.32117671156973</c:v>
                </c:pt>
                <c:pt idx="8">
                  <c:v>148.46761739339951</c:v>
                </c:pt>
                <c:pt idx="9">
                  <c:v>149.00996133082793</c:v>
                </c:pt>
                <c:pt idx="10">
                  <c:v>150.40239012283951</c:v>
                </c:pt>
                <c:pt idx="11">
                  <c:v>150.71777361749321</c:v>
                </c:pt>
                <c:pt idx="12">
                  <c:v>150.76044685724673</c:v>
                </c:pt>
              </c:numCache>
            </c:numRef>
          </c:val>
        </c:ser>
        <c:dLbls>
          <c:showLegendKey val="0"/>
          <c:showVal val="0"/>
          <c:showCatName val="0"/>
          <c:showSerName val="0"/>
          <c:showPercent val="0"/>
          <c:showBubbleSize val="0"/>
        </c:dLbls>
        <c:axId val="767336528"/>
        <c:axId val="767337312"/>
      </c:areaChart>
      <c:lineChart>
        <c:grouping val="standard"/>
        <c:varyColors val="0"/>
        <c:ser>
          <c:idx val="0"/>
          <c:order val="1"/>
          <c:tx>
            <c:strRef>
              <c:f>lavoro!$G$2</c:f>
              <c:strCache>
                <c:ptCount val="1"/>
                <c:pt idx="0">
                  <c:v>var%</c:v>
                </c:pt>
              </c:strCache>
            </c:strRef>
          </c:tx>
          <c:cat>
            <c:numRef>
              <c:f>lavoro!$E$4:$E$16</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lavoro!$G$4:$G$16</c:f>
              <c:numCache>
                <c:formatCode>0.0%</c:formatCode>
                <c:ptCount val="13"/>
                <c:pt idx="0">
                  <c:v>6.5724647925080371E-2</c:v>
                </c:pt>
                <c:pt idx="1">
                  <c:v>-1.8183129973981527E-2</c:v>
                </c:pt>
                <c:pt idx="2">
                  <c:v>8.7962341397400667E-3</c:v>
                </c:pt>
                <c:pt idx="3">
                  <c:v>-1.1199099417449343E-3</c:v>
                </c:pt>
                <c:pt idx="4">
                  <c:v>-1.3997056038118738E-2</c:v>
                </c:pt>
                <c:pt idx="5">
                  <c:v>-3.0579025921142255E-2</c:v>
                </c:pt>
                <c:pt idx="6">
                  <c:v>-3.663896410181644E-2</c:v>
                </c:pt>
                <c:pt idx="7">
                  <c:v>3.7035166899199723E-3</c:v>
                </c:pt>
                <c:pt idx="8">
                  <c:v>9.8732146734881177E-4</c:v>
                </c:pt>
                <c:pt idx="9">
                  <c:v>3.6529443049615473E-3</c:v>
                </c:pt>
                <c:pt idx="10">
                  <c:v>9.3445349530703048E-3</c:v>
                </c:pt>
                <c:pt idx="11">
                  <c:v>2.0969314011307638E-3</c:v>
                </c:pt>
                <c:pt idx="12">
                  <c:v>2.8313342699592958E-4</c:v>
                </c:pt>
              </c:numCache>
            </c:numRef>
          </c:val>
          <c:smooth val="0"/>
        </c:ser>
        <c:dLbls>
          <c:showLegendKey val="0"/>
          <c:showVal val="0"/>
          <c:showCatName val="0"/>
          <c:showSerName val="0"/>
          <c:showPercent val="0"/>
          <c:showBubbleSize val="0"/>
        </c:dLbls>
        <c:marker val="1"/>
        <c:smooth val="0"/>
        <c:axId val="767340056"/>
        <c:axId val="767344368"/>
      </c:lineChart>
      <c:catAx>
        <c:axId val="767336528"/>
        <c:scaling>
          <c:orientation val="minMax"/>
        </c:scaling>
        <c:delete val="0"/>
        <c:axPos val="b"/>
        <c:numFmt formatCode="General" sourceLinked="1"/>
        <c:majorTickMark val="out"/>
        <c:minorTickMark val="none"/>
        <c:tickLblPos val="nextTo"/>
        <c:crossAx val="767337312"/>
        <c:crosses val="autoZero"/>
        <c:auto val="1"/>
        <c:lblAlgn val="ctr"/>
        <c:lblOffset val="100"/>
        <c:noMultiLvlLbl val="0"/>
      </c:catAx>
      <c:valAx>
        <c:axId val="767337312"/>
        <c:scaling>
          <c:orientation val="minMax"/>
        </c:scaling>
        <c:delete val="0"/>
        <c:axPos val="l"/>
        <c:majorGridlines/>
        <c:numFmt formatCode="0.0" sourceLinked="1"/>
        <c:majorTickMark val="out"/>
        <c:minorTickMark val="none"/>
        <c:tickLblPos val="nextTo"/>
        <c:crossAx val="767336528"/>
        <c:crosses val="autoZero"/>
        <c:crossBetween val="between"/>
      </c:valAx>
      <c:valAx>
        <c:axId val="767344368"/>
        <c:scaling>
          <c:orientation val="minMax"/>
        </c:scaling>
        <c:delete val="0"/>
        <c:axPos val="r"/>
        <c:numFmt formatCode="0.0%" sourceLinked="1"/>
        <c:majorTickMark val="out"/>
        <c:minorTickMark val="none"/>
        <c:tickLblPos val="nextTo"/>
        <c:crossAx val="767340056"/>
        <c:crosses val="max"/>
        <c:crossBetween val="between"/>
      </c:valAx>
      <c:catAx>
        <c:axId val="767340056"/>
        <c:scaling>
          <c:orientation val="minMax"/>
        </c:scaling>
        <c:delete val="1"/>
        <c:axPos val="b"/>
        <c:numFmt formatCode="General" sourceLinked="1"/>
        <c:majorTickMark val="out"/>
        <c:minorTickMark val="none"/>
        <c:tickLblPos val="none"/>
        <c:crossAx val="767344368"/>
        <c:crosses val="autoZero"/>
        <c:auto val="1"/>
        <c:lblAlgn val="ctr"/>
        <c:lblOffset val="100"/>
        <c:noMultiLvlLbl val="0"/>
      </c:catAx>
    </c:plotArea>
    <c:legend>
      <c:legendPos val="b"/>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lineChart>
        <c:grouping val="standard"/>
        <c:varyColors val="0"/>
        <c:ser>
          <c:idx val="0"/>
          <c:order val="0"/>
          <c:tx>
            <c:strRef>
              <c:f>'[dati lucca.xlsx]UZH5GMT5'!$A$30</c:f>
              <c:strCache>
                <c:ptCount val="1"/>
                <c:pt idx="0">
                  <c:v>Dipendenti Lucca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'[dati lucca.xlsx]UZH5GMT5'!$B$29:$J$29</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'[dati lucca.xlsx]UZH5GMT5'!$B$30:$J$30</c:f>
              <c:numCache>
                <c:formatCode>#,##0</c:formatCode>
                <c:ptCount val="9"/>
                <c:pt idx="0">
                  <c:v>102768</c:v>
                </c:pt>
                <c:pt idx="1">
                  <c:v>102034</c:v>
                </c:pt>
                <c:pt idx="2">
                  <c:v>101590</c:v>
                </c:pt>
                <c:pt idx="3">
                  <c:v>101590</c:v>
                </c:pt>
                <c:pt idx="4">
                  <c:v>100188</c:v>
                </c:pt>
                <c:pt idx="5">
                  <c:v>96853</c:v>
                </c:pt>
                <c:pt idx="6">
                  <c:v>96523</c:v>
                </c:pt>
                <c:pt idx="7">
                  <c:v>98654</c:v>
                </c:pt>
                <c:pt idx="8">
                  <c:v>100924</c:v>
                </c:pt>
              </c:numCache>
            </c:numRef>
          </c:val>
          <c:smooth val="0"/>
        </c:ser>
        <c:dLbls>
          <c:showLegendKey val="0"/>
          <c:showVal val="0"/>
          <c:showCatName val="0"/>
          <c:showSerName val="0"/>
          <c:showPercent val="0"/>
          <c:showBubbleSize val="0"/>
        </c:dLbls>
        <c:marker val="1"/>
        <c:smooth val="0"/>
        <c:axId val="767346720"/>
        <c:axId val="767337704"/>
      </c:lineChart>
      <c:catAx>
        <c:axId val="767346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767337704"/>
        <c:crosses val="autoZero"/>
        <c:auto val="1"/>
        <c:lblAlgn val="ctr"/>
        <c:lblOffset val="100"/>
        <c:noMultiLvlLbl val="0"/>
      </c:catAx>
      <c:valAx>
        <c:axId val="767337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767346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dipendenti per categoria (2008=100)</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lineChart>
        <c:grouping val="standard"/>
        <c:varyColors val="0"/>
        <c:ser>
          <c:idx val="0"/>
          <c:order val="0"/>
          <c:tx>
            <c:strRef>
              <c:f>'[dati lucca.xlsx]UZH5GMT5'!$L$36</c:f>
              <c:strCache>
                <c:ptCount val="1"/>
                <c:pt idx="0">
                  <c:v>operai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'[dati lucca.xlsx]UZH5GMT5'!$M$35:$U$35</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'[dati lucca.xlsx]UZH5GMT5'!$M$36:$U$36</c:f>
              <c:numCache>
                <c:formatCode>#,##0</c:formatCode>
                <c:ptCount val="9"/>
                <c:pt idx="0">
                  <c:v>100</c:v>
                </c:pt>
                <c:pt idx="1">
                  <c:v>98.754281651909778</c:v>
                </c:pt>
                <c:pt idx="2">
                  <c:v>98.414980934531116</c:v>
                </c:pt>
                <c:pt idx="3">
                  <c:v>99.961222775156727</c:v>
                </c:pt>
                <c:pt idx="4">
                  <c:v>100.09855877980999</c:v>
                </c:pt>
                <c:pt idx="5">
                  <c:v>95.841142635558725</c:v>
                </c:pt>
                <c:pt idx="6">
                  <c:v>95.059135267885992</c:v>
                </c:pt>
                <c:pt idx="7">
                  <c:v>97.466554643572678</c:v>
                </c:pt>
                <c:pt idx="8">
                  <c:v>98.914237704388285</c:v>
                </c:pt>
              </c:numCache>
            </c:numRef>
          </c:val>
          <c:smooth val="0"/>
        </c:ser>
        <c:ser>
          <c:idx val="1"/>
          <c:order val="1"/>
          <c:tx>
            <c:strRef>
              <c:f>'[dati lucca.xlsx]UZH5GMT5'!$L$37</c:f>
              <c:strCache>
                <c:ptCount val="1"/>
                <c:pt idx="0">
                  <c:v>impiegati</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'[dati lucca.xlsx]UZH5GMT5'!$M$35:$U$35</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'[dati lucca.xlsx]UZH5GMT5'!$M$37:$U$37</c:f>
              <c:numCache>
                <c:formatCode>#,##0</c:formatCode>
                <c:ptCount val="9"/>
                <c:pt idx="0">
                  <c:v>100</c:v>
                </c:pt>
                <c:pt idx="1">
                  <c:v>102.19337363327057</c:v>
                </c:pt>
                <c:pt idx="2">
                  <c:v>102.18016053909425</c:v>
                </c:pt>
                <c:pt idx="3">
                  <c:v>102.45102896970899</c:v>
                </c:pt>
                <c:pt idx="4">
                  <c:v>100.47567139034783</c:v>
                </c:pt>
                <c:pt idx="5">
                  <c:v>99.696098833944433</c:v>
                </c:pt>
                <c:pt idx="6">
                  <c:v>101.10989991081161</c:v>
                </c:pt>
                <c:pt idx="7">
                  <c:v>104.47263237868727</c:v>
                </c:pt>
                <c:pt idx="8">
                  <c:v>108.9551745780068</c:v>
                </c:pt>
              </c:numCache>
            </c:numRef>
          </c:val>
          <c:smooth val="0"/>
        </c:ser>
        <c:ser>
          <c:idx val="2"/>
          <c:order val="2"/>
          <c:tx>
            <c:strRef>
              <c:f>'[dati lucca.xlsx]UZH5GMT5'!$L$38</c:f>
              <c:strCache>
                <c:ptCount val="1"/>
                <c:pt idx="0">
                  <c:v>quadri</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'[dati lucca.xlsx]UZH5GMT5'!$M$35:$U$35</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'[dati lucca.xlsx]UZH5GMT5'!$M$38:$U$38</c:f>
              <c:numCache>
                <c:formatCode>#,##0</c:formatCode>
                <c:ptCount val="9"/>
                <c:pt idx="0">
                  <c:v>100</c:v>
                </c:pt>
                <c:pt idx="1">
                  <c:v>106.71692940370117</c:v>
                </c:pt>
                <c:pt idx="2">
                  <c:v>112.40575736806031</c:v>
                </c:pt>
                <c:pt idx="3">
                  <c:v>116.86086360520905</c:v>
                </c:pt>
                <c:pt idx="4">
                  <c:v>117.68334475668266</c:v>
                </c:pt>
                <c:pt idx="5">
                  <c:v>119.05414667580534</c:v>
                </c:pt>
                <c:pt idx="6">
                  <c:v>120.1507882111035</c:v>
                </c:pt>
                <c:pt idx="7">
                  <c:v>131.66552433173408</c:v>
                </c:pt>
                <c:pt idx="8">
                  <c:v>129.81494174091844</c:v>
                </c:pt>
              </c:numCache>
            </c:numRef>
          </c:val>
          <c:smooth val="0"/>
        </c:ser>
        <c:ser>
          <c:idx val="3"/>
          <c:order val="3"/>
          <c:tx>
            <c:strRef>
              <c:f>'[dati lucca.xlsx]UZH5GMT5'!$L$39</c:f>
              <c:strCache>
                <c:ptCount val="1"/>
                <c:pt idx="0">
                  <c:v>dirigenti</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'[dati lucca.xlsx]UZH5GMT5'!$M$35:$U$35</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'[dati lucca.xlsx]UZH5GMT5'!$M$39:$U$39</c:f>
              <c:numCache>
                <c:formatCode>#,##0</c:formatCode>
                <c:ptCount val="9"/>
                <c:pt idx="0">
                  <c:v>100</c:v>
                </c:pt>
                <c:pt idx="1">
                  <c:v>100.63559322033899</c:v>
                </c:pt>
                <c:pt idx="2">
                  <c:v>101.48305084745763</c:v>
                </c:pt>
                <c:pt idx="3">
                  <c:v>100.63559322033899</c:v>
                </c:pt>
                <c:pt idx="4">
                  <c:v>94.915254237288138</c:v>
                </c:pt>
                <c:pt idx="5">
                  <c:v>97.881355932203391</c:v>
                </c:pt>
                <c:pt idx="6">
                  <c:v>97.669491525423723</c:v>
                </c:pt>
                <c:pt idx="7">
                  <c:v>102.33050847457628</c:v>
                </c:pt>
                <c:pt idx="8">
                  <c:v>102.33050847457628</c:v>
                </c:pt>
              </c:numCache>
            </c:numRef>
          </c:val>
          <c:smooth val="0"/>
        </c:ser>
        <c:ser>
          <c:idx val="4"/>
          <c:order val="4"/>
          <c:tx>
            <c:strRef>
              <c:f>'[dati lucca.xlsx]UZH5GMT5'!$L$40</c:f>
              <c:strCache>
                <c:ptCount val="1"/>
                <c:pt idx="0">
                  <c:v>apprendisti</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'[dati lucca.xlsx]UZH5GMT5'!$M$35:$U$35</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'[dati lucca.xlsx]UZH5GMT5'!$M$40:$U$40</c:f>
              <c:numCache>
                <c:formatCode>#,##0</c:formatCode>
                <c:ptCount val="9"/>
                <c:pt idx="0">
                  <c:v>100</c:v>
                </c:pt>
                <c:pt idx="1">
                  <c:v>91.66183462831961</c:v>
                </c:pt>
                <c:pt idx="2">
                  <c:v>83.358459932738029</c:v>
                </c:pt>
                <c:pt idx="3">
                  <c:v>75.159457265452858</c:v>
                </c:pt>
                <c:pt idx="4">
                  <c:v>65.035370520700454</c:v>
                </c:pt>
                <c:pt idx="5">
                  <c:v>59.202133828134066</c:v>
                </c:pt>
                <c:pt idx="6">
                  <c:v>55.920213382813408</c:v>
                </c:pt>
                <c:pt idx="7">
                  <c:v>49.333178708106232</c:v>
                </c:pt>
                <c:pt idx="8">
                  <c:v>49.913023309752987</c:v>
                </c:pt>
              </c:numCache>
            </c:numRef>
          </c:val>
          <c:smooth val="0"/>
        </c:ser>
        <c:ser>
          <c:idx val="5"/>
          <c:order val="5"/>
          <c:tx>
            <c:strRef>
              <c:f>'[dati lucca.xlsx]UZH5GMT5'!$L$41</c:f>
              <c:strCache>
                <c:ptCount val="1"/>
                <c:pt idx="0">
                  <c:v>altro</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'[dati lucca.xlsx]UZH5GMT5'!$M$35:$U$35</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'[dati lucca.xlsx]UZH5GMT5'!$M$41:$U$41</c:f>
              <c:numCache>
                <c:formatCode>#,##0</c:formatCode>
                <c:ptCount val="9"/>
                <c:pt idx="0">
                  <c:v>100</c:v>
                </c:pt>
                <c:pt idx="1">
                  <c:v>81.632653061224488</c:v>
                </c:pt>
                <c:pt idx="2">
                  <c:v>89.795918367346943</c:v>
                </c:pt>
                <c:pt idx="3">
                  <c:v>93.877551020408163</c:v>
                </c:pt>
                <c:pt idx="4">
                  <c:v>91.83673469387756</c:v>
                </c:pt>
                <c:pt idx="5">
                  <c:v>102.04081632653062</c:v>
                </c:pt>
                <c:pt idx="6">
                  <c:v>89.795918367346943</c:v>
                </c:pt>
                <c:pt idx="7">
                  <c:v>91.83673469387756</c:v>
                </c:pt>
                <c:pt idx="8">
                  <c:v>79.591836734693871</c:v>
                </c:pt>
              </c:numCache>
            </c:numRef>
          </c:val>
          <c:smooth val="0"/>
        </c:ser>
        <c:dLbls>
          <c:showLegendKey val="0"/>
          <c:showVal val="0"/>
          <c:showCatName val="0"/>
          <c:showSerName val="0"/>
          <c:showPercent val="0"/>
          <c:showBubbleSize val="0"/>
        </c:dLbls>
        <c:marker val="1"/>
        <c:smooth val="0"/>
        <c:axId val="767338096"/>
        <c:axId val="767344760"/>
      </c:lineChart>
      <c:catAx>
        <c:axId val="76733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767344760"/>
        <c:crosses val="autoZero"/>
        <c:auto val="1"/>
        <c:lblAlgn val="ctr"/>
        <c:lblOffset val="100"/>
        <c:noMultiLvlLbl val="0"/>
      </c:catAx>
      <c:valAx>
        <c:axId val="767344760"/>
        <c:scaling>
          <c:orientation val="minMax"/>
          <c:min val="4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7673380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it-IT" sz="1600"/>
              <a:t>composizione  lavoraTORI DIPENDENTI 2008 E 2014</a:t>
            </a:r>
          </a:p>
        </c:rich>
      </c:tx>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it-IT"/>
        </a:p>
      </c:txPr>
    </c:title>
    <c:autoTitleDeleted val="0"/>
    <c:view3D>
      <c:rotX val="15"/>
      <c:rotY val="20"/>
      <c:depthPercent val="100"/>
      <c:rAngAx val="1"/>
    </c:view3D>
    <c:floor>
      <c:thickness val="0"/>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7469816272965873E-2"/>
          <c:y val="0.37932925051035288"/>
          <c:w val="0.89141907261592301"/>
          <c:h val="0.53641951006124233"/>
        </c:manualLayout>
      </c:layout>
      <c:bar3DChart>
        <c:barDir val="col"/>
        <c:grouping val="percentStacked"/>
        <c:varyColors val="0"/>
        <c:ser>
          <c:idx val="0"/>
          <c:order val="0"/>
          <c:tx>
            <c:strRef>
              <c:f>'[dati lucca.xlsx]UZH5GMT5'!$V$36</c:f>
              <c:strCache>
                <c:ptCount val="1"/>
                <c:pt idx="0">
                  <c:v>operai</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'[dati lucca.xlsx]UZH5GMT5'!$W$35:$X$35</c:f>
              <c:numCache>
                <c:formatCode>0</c:formatCode>
                <c:ptCount val="2"/>
                <c:pt idx="0">
                  <c:v>2008</c:v>
                </c:pt>
                <c:pt idx="1">
                  <c:v>2014</c:v>
                </c:pt>
              </c:numCache>
            </c:numRef>
          </c:cat>
          <c:val>
            <c:numRef>
              <c:f>'[dati lucca.xlsx]UZH5GMT5'!$W$36:$X$36</c:f>
              <c:numCache>
                <c:formatCode>0.0%</c:formatCode>
                <c:ptCount val="2"/>
                <c:pt idx="0">
                  <c:v>0.60224972754164718</c:v>
                </c:pt>
                <c:pt idx="1">
                  <c:v>0.60659506163053389</c:v>
                </c:pt>
              </c:numCache>
            </c:numRef>
          </c:val>
        </c:ser>
        <c:ser>
          <c:idx val="1"/>
          <c:order val="1"/>
          <c:tx>
            <c:strRef>
              <c:f>'[dati lucca.xlsx]UZH5GMT5'!$V$37</c:f>
              <c:strCache>
                <c:ptCount val="1"/>
                <c:pt idx="0">
                  <c:v>impiegati</c:v>
                </c:pt>
              </c:strCache>
            </c:strRef>
          </c:tx>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'[dati lucca.xlsx]UZH5GMT5'!$W$35:$X$35</c:f>
              <c:numCache>
                <c:formatCode>0</c:formatCode>
                <c:ptCount val="2"/>
                <c:pt idx="0">
                  <c:v>2008</c:v>
                </c:pt>
                <c:pt idx="1">
                  <c:v>2014</c:v>
                </c:pt>
              </c:numCache>
            </c:numRef>
          </c:cat>
          <c:val>
            <c:numRef>
              <c:f>'[dati lucca.xlsx]UZH5GMT5'!$W$37:$X$37</c:f>
              <c:numCache>
                <c:formatCode>0.0%</c:formatCode>
                <c:ptCount val="2"/>
                <c:pt idx="0">
                  <c:v>0.29457613264829519</c:v>
                </c:pt>
                <c:pt idx="1">
                  <c:v>0.32682018152272996</c:v>
                </c:pt>
              </c:numCache>
            </c:numRef>
          </c:val>
        </c:ser>
        <c:ser>
          <c:idx val="2"/>
          <c:order val="2"/>
          <c:tx>
            <c:strRef>
              <c:f>'[dati lucca.xlsx]UZH5GMT5'!$V$38</c:f>
              <c:strCache>
                <c:ptCount val="1"/>
                <c:pt idx="0">
                  <c:v>quadri</c:v>
                </c:pt>
              </c:strCache>
            </c:strRef>
          </c:tx>
          <c:spPr>
            <a:pattFill prst="ltDnDiag">
              <a:fgClr>
                <a:schemeClr val="accent3"/>
              </a:fgClr>
              <a:bgClr>
                <a:schemeClr val="accent3">
                  <a:lumMod val="20000"/>
                  <a:lumOff val="80000"/>
                </a:schemeClr>
              </a:bgClr>
            </a:pattFill>
            <a:ln>
              <a:solidFill>
                <a:schemeClr val="accent3"/>
              </a:solidFill>
            </a:ln>
            <a:effectLst/>
            <a:sp3d>
              <a:contourClr>
                <a:schemeClr val="accent3"/>
              </a:contourClr>
            </a:sp3d>
          </c:spPr>
          <c:invertIfNegative val="0"/>
          <c:dLbls>
            <c:dLbl>
              <c:idx val="0"/>
              <c:layout>
                <c:manualLayout>
                  <c:x val="0.21388888888888888"/>
                  <c:y val="-2.77777777777778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21666666666666667"/>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'[dati lucca.xlsx]UZH5GMT5'!$W$35:$X$35</c:f>
              <c:numCache>
                <c:formatCode>0</c:formatCode>
                <c:ptCount val="2"/>
                <c:pt idx="0">
                  <c:v>2008</c:v>
                </c:pt>
                <c:pt idx="1">
                  <c:v>2014</c:v>
                </c:pt>
              </c:numCache>
            </c:numRef>
          </c:cat>
          <c:val>
            <c:numRef>
              <c:f>'[dati lucca.xlsx]UZH5GMT5'!$W$38:$X$38</c:f>
              <c:numCache>
                <c:formatCode>0.0%</c:formatCode>
                <c:ptCount val="2"/>
                <c:pt idx="0">
                  <c:v>1.4197026311692356E-2</c:v>
                </c:pt>
                <c:pt idx="1">
                  <c:v>1.8766596646981888E-2</c:v>
                </c:pt>
              </c:numCache>
            </c:numRef>
          </c:val>
        </c:ser>
        <c:ser>
          <c:idx val="3"/>
          <c:order val="3"/>
          <c:tx>
            <c:strRef>
              <c:f>'[dati lucca.xlsx]UZH5GMT5'!$V$39</c:f>
              <c:strCache>
                <c:ptCount val="1"/>
                <c:pt idx="0">
                  <c:v>dirigenti</c:v>
                </c:pt>
              </c:strCache>
            </c:strRef>
          </c:tx>
          <c:spPr>
            <a:pattFill prst="ltDnDiag">
              <a:fgClr>
                <a:schemeClr val="accent4"/>
              </a:fgClr>
              <a:bgClr>
                <a:schemeClr val="accent4">
                  <a:lumMod val="20000"/>
                  <a:lumOff val="80000"/>
                </a:schemeClr>
              </a:bgClr>
            </a:pattFill>
            <a:ln>
              <a:solidFill>
                <a:schemeClr val="accent4"/>
              </a:solidFill>
            </a:ln>
            <a:effectLst/>
            <a:sp3d>
              <a:contourClr>
                <a:schemeClr val="accent4"/>
              </a:contourClr>
            </a:sp3d>
          </c:spPr>
          <c:invertIfNegative val="0"/>
          <c:dLbls>
            <c:dLbl>
              <c:idx val="0"/>
              <c:layout>
                <c:manualLayout>
                  <c:x val="0.21111111111111111"/>
                  <c:y val="-0.10185185185185185"/>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21111111111111111"/>
                  <c:y val="-6.94444444444444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'[dati lucca.xlsx]UZH5GMT5'!$W$35:$X$35</c:f>
              <c:numCache>
                <c:formatCode>0</c:formatCode>
                <c:ptCount val="2"/>
                <c:pt idx="0">
                  <c:v>2008</c:v>
                </c:pt>
                <c:pt idx="1">
                  <c:v>2014</c:v>
                </c:pt>
              </c:numCache>
            </c:numRef>
          </c:cat>
          <c:val>
            <c:numRef>
              <c:f>'[dati lucca.xlsx]UZH5GMT5'!$W$39:$X$39</c:f>
              <c:numCache>
                <c:formatCode>0.0%</c:formatCode>
                <c:ptCount val="2"/>
                <c:pt idx="0">
                  <c:v>4.5928693756811462E-3</c:v>
                </c:pt>
                <c:pt idx="1">
                  <c:v>4.7857793983591612E-3</c:v>
                </c:pt>
              </c:numCache>
            </c:numRef>
          </c:val>
        </c:ser>
        <c:ser>
          <c:idx val="4"/>
          <c:order val="4"/>
          <c:tx>
            <c:strRef>
              <c:f>'[dati lucca.xlsx]UZH5GMT5'!$V$40</c:f>
              <c:strCache>
                <c:ptCount val="1"/>
                <c:pt idx="0">
                  <c:v>apprendisti</c:v>
                </c:pt>
              </c:strCache>
            </c:strRef>
          </c:tx>
          <c:spPr>
            <a:pattFill prst="ltDnDiag">
              <a:fgClr>
                <a:schemeClr val="accent5"/>
              </a:fgClr>
              <a:bgClr>
                <a:schemeClr val="accent5">
                  <a:lumMod val="20000"/>
                  <a:lumOff val="80000"/>
                </a:schemeClr>
              </a:bgClr>
            </a:pattFill>
            <a:ln>
              <a:solidFill>
                <a:schemeClr val="accent5"/>
              </a:solidFill>
            </a:ln>
            <a:effectLst/>
            <a:sp3d>
              <a:contourClr>
                <a:schemeClr val="accent5"/>
              </a:contourClr>
            </a:sp3d>
          </c:spPr>
          <c:invertIfNegative val="0"/>
          <c:dLbls>
            <c:dLbl>
              <c:idx val="0"/>
              <c:layout>
                <c:manualLayout>
                  <c:x val="0.18888888888888888"/>
                  <c:y val="-0.12500000000000006"/>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5277777777777768"/>
                  <c:y val="-0.1203703703703704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'[dati lucca.xlsx]UZH5GMT5'!$W$35:$X$35</c:f>
              <c:numCache>
                <c:formatCode>0</c:formatCode>
                <c:ptCount val="2"/>
                <c:pt idx="0">
                  <c:v>2008</c:v>
                </c:pt>
                <c:pt idx="1">
                  <c:v>2014</c:v>
                </c:pt>
              </c:numCache>
            </c:numRef>
          </c:cat>
          <c:val>
            <c:numRef>
              <c:f>'[dati lucca.xlsx]UZH5GMT5'!$W$40:$X$40</c:f>
              <c:numCache>
                <c:formatCode>0.0%</c:formatCode>
                <c:ptCount val="2"/>
                <c:pt idx="0">
                  <c:v>8.3907442005293473E-2</c:v>
                </c:pt>
                <c:pt idx="1">
                  <c:v>4.2645951408981017E-2</c:v>
                </c:pt>
              </c:numCache>
            </c:numRef>
          </c:val>
        </c:ser>
        <c:ser>
          <c:idx val="5"/>
          <c:order val="5"/>
          <c:tx>
            <c:strRef>
              <c:f>'[dati lucca.xlsx]UZH5GMT5'!$V$41</c:f>
              <c:strCache>
                <c:ptCount val="1"/>
                <c:pt idx="0">
                  <c:v>altro</c:v>
                </c:pt>
              </c:strCache>
            </c:strRef>
          </c:tx>
          <c:spPr>
            <a:pattFill prst="ltDnDiag">
              <a:fgClr>
                <a:schemeClr val="accent6"/>
              </a:fgClr>
              <a:bgClr>
                <a:schemeClr val="accent6">
                  <a:lumMod val="20000"/>
                  <a:lumOff val="80000"/>
                </a:schemeClr>
              </a:bgClr>
            </a:pattFill>
            <a:ln>
              <a:solidFill>
                <a:schemeClr val="accent6"/>
              </a:solidFill>
            </a:ln>
            <a:effectLst/>
            <a:sp3d>
              <a:contourClr>
                <a:schemeClr val="accent6"/>
              </a:contourClr>
            </a:sp3d>
          </c:spPr>
          <c:invertIfNegative val="0"/>
          <c:dLbls>
            <c:delete val="1"/>
          </c:dLbls>
          <c:cat>
            <c:numRef>
              <c:f>'[dati lucca.xlsx]UZH5GMT5'!$W$35:$X$35</c:f>
              <c:numCache>
                <c:formatCode>0</c:formatCode>
                <c:ptCount val="2"/>
                <c:pt idx="0">
                  <c:v>2008</c:v>
                </c:pt>
                <c:pt idx="1">
                  <c:v>2014</c:v>
                </c:pt>
              </c:numCache>
            </c:numRef>
          </c:cat>
          <c:val>
            <c:numRef>
              <c:f>'[dati lucca.xlsx]UZH5GMT5'!$W$41:$X$41</c:f>
              <c:numCache>
                <c:formatCode>0.0%</c:formatCode>
                <c:ptCount val="2"/>
                <c:pt idx="0">
                  <c:v>4.7680211739062746E-4</c:v>
                </c:pt>
                <c:pt idx="1">
                  <c:v>3.8642939241409377E-4</c:v>
                </c:pt>
              </c:numCache>
            </c:numRef>
          </c:val>
        </c:ser>
        <c:dLbls>
          <c:showLegendKey val="0"/>
          <c:showVal val="1"/>
          <c:showCatName val="0"/>
          <c:showSerName val="0"/>
          <c:showPercent val="0"/>
          <c:showBubbleSize val="0"/>
        </c:dLbls>
        <c:gapWidth val="150"/>
        <c:shape val="box"/>
        <c:axId val="767338880"/>
        <c:axId val="767345936"/>
        <c:axId val="0"/>
      </c:bar3DChart>
      <c:catAx>
        <c:axId val="767338880"/>
        <c:scaling>
          <c:orientation val="minMax"/>
        </c:scaling>
        <c:delete val="0"/>
        <c:axPos val="b"/>
        <c:numFmt formatCode="0"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it-IT"/>
          </a:p>
        </c:txPr>
        <c:crossAx val="767345936"/>
        <c:crosses val="autoZero"/>
        <c:auto val="1"/>
        <c:lblAlgn val="ctr"/>
        <c:lblOffset val="100"/>
        <c:noMultiLvlLbl val="0"/>
      </c:catAx>
      <c:valAx>
        <c:axId val="767345936"/>
        <c:scaling>
          <c:orientation val="minMax"/>
        </c:scaling>
        <c:delete val="0"/>
        <c:axPos val="l"/>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it-IT"/>
          </a:p>
        </c:txPr>
        <c:crossAx val="76733888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it-I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giorni lavorati totali LU</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manualLayout>
          <c:layoutTarget val="inner"/>
          <c:xMode val="edge"/>
          <c:yMode val="edge"/>
          <c:x val="0.15134832696811101"/>
          <c:y val="0.16245370370370371"/>
          <c:w val="0.82203823324479652"/>
          <c:h val="0.72088764946048411"/>
        </c:manualLayout>
      </c:layout>
      <c:lineChart>
        <c:grouping val="standard"/>
        <c:varyColors val="0"/>
        <c:ser>
          <c:idx val="0"/>
          <c:order val="0"/>
          <c:tx>
            <c:strRef>
              <c:f>'[dati lucca.xlsx]UZH5GMT5'!$A$32</c:f>
              <c:strCache>
                <c:ptCount val="1"/>
                <c:pt idx="0">
                  <c:v>giorni lavorati LU</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'[dati lucca.xlsx]UZH5GMT5'!$B$31:$J$31</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'[dati lucca.xlsx]UZH5GMT5'!$B$32:$J$32</c:f>
              <c:numCache>
                <c:formatCode>#,##0</c:formatCode>
                <c:ptCount val="9"/>
                <c:pt idx="0">
                  <c:v>24973792</c:v>
                </c:pt>
                <c:pt idx="1">
                  <c:v>24613844</c:v>
                </c:pt>
                <c:pt idx="2">
                  <c:v>24330419</c:v>
                </c:pt>
                <c:pt idx="3">
                  <c:v>24243195</c:v>
                </c:pt>
                <c:pt idx="4">
                  <c:v>23497055</c:v>
                </c:pt>
                <c:pt idx="5">
                  <c:v>22953533</c:v>
                </c:pt>
                <c:pt idx="6">
                  <c:v>22998224</c:v>
                </c:pt>
                <c:pt idx="7">
                  <c:v>23384848</c:v>
                </c:pt>
                <c:pt idx="8">
                  <c:v>24371117</c:v>
                </c:pt>
              </c:numCache>
            </c:numRef>
          </c:val>
          <c:smooth val="0"/>
        </c:ser>
        <c:dLbls>
          <c:showLegendKey val="0"/>
          <c:showVal val="0"/>
          <c:showCatName val="0"/>
          <c:showSerName val="0"/>
          <c:showPercent val="0"/>
          <c:showBubbleSize val="0"/>
        </c:dLbls>
        <c:marker val="1"/>
        <c:smooth val="0"/>
        <c:axId val="767348680"/>
        <c:axId val="767347504"/>
      </c:lineChart>
      <c:catAx>
        <c:axId val="767348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767347504"/>
        <c:crosses val="autoZero"/>
        <c:auto val="1"/>
        <c:lblAlgn val="ctr"/>
        <c:lblOffset val="100"/>
        <c:noMultiLvlLbl val="0"/>
      </c:catAx>
      <c:valAx>
        <c:axId val="767347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767348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giorni lavorati pro capite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lineChart>
        <c:grouping val="standard"/>
        <c:varyColors val="0"/>
        <c:ser>
          <c:idx val="0"/>
          <c:order val="0"/>
          <c:tx>
            <c:strRef>
              <c:f>'[dati lucca.xlsx]UZH5GMT5'!$A$34</c:f>
              <c:strCache>
                <c:ptCount val="1"/>
                <c:pt idx="0">
                  <c:v>giorni lavorati</c:v>
                </c:pt>
              </c:strCache>
            </c:strRef>
          </c:tx>
          <c:spPr>
            <a:ln w="28575" cap="rnd">
              <a:solidFill>
                <a:schemeClr val="accent1"/>
              </a:solidFill>
              <a:round/>
            </a:ln>
            <a:effectLst/>
          </c:spPr>
          <c:marker>
            <c:symbol val="none"/>
          </c:marker>
          <c:cat>
            <c:numRef>
              <c:f>'[dati lucca.xlsx]UZH5GMT5'!$B$33:$J$33</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'[dati lucca.xlsx]UZH5GMT5'!$B$34:$J$34</c:f>
              <c:numCache>
                <c:formatCode>0</c:formatCode>
                <c:ptCount val="9"/>
                <c:pt idx="0">
                  <c:v>243.01136540557371</c:v>
                </c:pt>
                <c:pt idx="1">
                  <c:v>241.23178548327027</c:v>
                </c:pt>
                <c:pt idx="2">
                  <c:v>239.49620041342652</c:v>
                </c:pt>
                <c:pt idx="3">
                  <c:v>238.63761196968207</c:v>
                </c:pt>
                <c:pt idx="4">
                  <c:v>234.52963428753944</c:v>
                </c:pt>
                <c:pt idx="5">
                  <c:v>236.99351594684728</c:v>
                </c:pt>
                <c:pt idx="6">
                  <c:v>238.26677579437026</c:v>
                </c:pt>
                <c:pt idx="7">
                  <c:v>237.03902528027245</c:v>
                </c:pt>
                <c:pt idx="8">
                  <c:v>241.47989576314851</c:v>
                </c:pt>
              </c:numCache>
            </c:numRef>
          </c:val>
          <c:smooth val="0"/>
        </c:ser>
        <c:dLbls>
          <c:showLegendKey val="0"/>
          <c:showVal val="0"/>
          <c:showCatName val="0"/>
          <c:showSerName val="0"/>
          <c:showPercent val="0"/>
          <c:showBubbleSize val="0"/>
        </c:dLbls>
        <c:smooth val="0"/>
        <c:axId val="767347896"/>
        <c:axId val="767348288"/>
      </c:lineChart>
      <c:catAx>
        <c:axId val="767347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767348288"/>
        <c:crosses val="autoZero"/>
        <c:auto val="1"/>
        <c:lblAlgn val="ctr"/>
        <c:lblOffset val="100"/>
        <c:noMultiLvlLbl val="0"/>
      </c:catAx>
      <c:valAx>
        <c:axId val="767348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767347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lineChart>
        <c:grouping val="standard"/>
        <c:varyColors val="0"/>
        <c:ser>
          <c:idx val="0"/>
          <c:order val="0"/>
          <c:tx>
            <c:strRef>
              <c:f>'[dati lucca.xlsx]UZH5GMT5'!$A$48</c:f>
              <c:strCache>
                <c:ptCount val="1"/>
                <c:pt idx="0">
                  <c:v>donne %</c:v>
                </c:pt>
              </c:strCache>
            </c:strRef>
          </c:tx>
          <c:spPr>
            <a:ln w="28575" cap="rnd">
              <a:solidFill>
                <a:schemeClr val="accent1"/>
              </a:solidFill>
              <a:round/>
            </a:ln>
            <a:effectLst/>
          </c:spPr>
          <c:marker>
            <c:symbol val="none"/>
          </c:marker>
          <c:val>
            <c:numRef>
              <c:f>'[dati lucca.xlsx]UZH5GMT5'!$B$48:$J$48</c:f>
              <c:numCache>
                <c:formatCode>0.0%</c:formatCode>
                <c:ptCount val="9"/>
                <c:pt idx="0">
                  <c:v>0.42054919819399034</c:v>
                </c:pt>
                <c:pt idx="1">
                  <c:v>0.42741635141227435</c:v>
                </c:pt>
                <c:pt idx="2">
                  <c:v>0.43239290478778597</c:v>
                </c:pt>
                <c:pt idx="3">
                  <c:v>0.4343931489319815</c:v>
                </c:pt>
                <c:pt idx="4">
                  <c:v>0.43644947498702441</c:v>
                </c:pt>
                <c:pt idx="5">
                  <c:v>0.43318224525827803</c:v>
                </c:pt>
                <c:pt idx="6">
                  <c:v>0.43579250541321757</c:v>
                </c:pt>
                <c:pt idx="7">
                  <c:v>0.43366715997323979</c:v>
                </c:pt>
                <c:pt idx="8">
                  <c:v>0.43247394078712692</c:v>
                </c:pt>
              </c:numCache>
            </c:numRef>
          </c:val>
          <c:smooth val="0"/>
        </c:ser>
        <c:dLbls>
          <c:showLegendKey val="0"/>
          <c:showVal val="0"/>
          <c:showCatName val="0"/>
          <c:showSerName val="0"/>
          <c:showPercent val="0"/>
          <c:showBubbleSize val="0"/>
        </c:dLbls>
        <c:smooth val="0"/>
        <c:axId val="767349464"/>
        <c:axId val="768426056"/>
      </c:lineChart>
      <c:catAx>
        <c:axId val="7673494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768426056"/>
        <c:crosses val="autoZero"/>
        <c:auto val="1"/>
        <c:lblAlgn val="ctr"/>
        <c:lblOffset val="100"/>
        <c:noMultiLvlLbl val="0"/>
      </c:catAx>
      <c:valAx>
        <c:axId val="7684260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767349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37D51-3FA2-4B12-8DE5-8CA7C27E5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5006</Words>
  <Characters>28535</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dc:creator>
  <cp:keywords/>
  <dc:description/>
  <cp:lastModifiedBy>Franco</cp:lastModifiedBy>
  <cp:revision>2</cp:revision>
  <cp:lastPrinted>2018-06-18T14:15:00Z</cp:lastPrinted>
  <dcterms:created xsi:type="dcterms:W3CDTF">2018-10-26T13:39:00Z</dcterms:created>
  <dcterms:modified xsi:type="dcterms:W3CDTF">2018-10-26T13:39:00Z</dcterms:modified>
</cp:coreProperties>
</file>