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072" w:rsidRDefault="00CD214C">
      <w:r>
        <w:rPr>
          <w:noProof/>
          <w:lang w:eastAsia="it-IT"/>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30.35pt;width:162pt;height:159.95pt;z-index:251658240;mso-wrap-edited:f" wrapcoords="-96 0 -96 21537 21600 21537 21600 0 -96 0" fillcolor="#0c9">
            <v:fill o:detectmouseclick="t"/>
            <v:stroke o:forcedash="t"/>
            <v:imagedata r:id="rId8" o:title=""/>
          </v:shape>
          <o:OLEObject Type="Embed" ProgID="Unknown" ShapeID="_x0000_s1026" DrawAspect="Content" ObjectID="_1575290690" r:id="rId9"/>
        </w:object>
      </w:r>
    </w:p>
    <w:p w:rsidR="00132072" w:rsidRDefault="00132072"/>
    <w:p w:rsidR="00132072" w:rsidRDefault="00132072"/>
    <w:p w:rsidR="00132072" w:rsidRDefault="00132072"/>
    <w:p w:rsidR="00132072" w:rsidRDefault="00132072"/>
    <w:p w:rsidR="00132072" w:rsidRDefault="00132072"/>
    <w:p w:rsidR="00132072" w:rsidRDefault="00132072"/>
    <w:p w:rsidR="00132072" w:rsidRDefault="00132072">
      <w:pPr>
        <w:rPr>
          <w:b/>
          <w:sz w:val="108"/>
          <w:szCs w:val="108"/>
        </w:rPr>
      </w:pPr>
      <w:r w:rsidRPr="00132072">
        <w:rPr>
          <w:b/>
          <w:sz w:val="108"/>
          <w:szCs w:val="108"/>
        </w:rPr>
        <w:t>Il settore orafo aretino. Territorio, lavoro, imprese</w:t>
      </w:r>
    </w:p>
    <w:p w:rsidR="00132072" w:rsidRDefault="00132072">
      <w:pPr>
        <w:rPr>
          <w:b/>
          <w:sz w:val="108"/>
          <w:szCs w:val="108"/>
        </w:rPr>
      </w:pPr>
    </w:p>
    <w:p w:rsidR="00132072" w:rsidRPr="00132072" w:rsidRDefault="00132072" w:rsidP="00132072">
      <w:pPr>
        <w:jc w:val="center"/>
        <w:rPr>
          <w:b/>
          <w:i/>
          <w:sz w:val="48"/>
          <w:szCs w:val="48"/>
        </w:rPr>
      </w:pPr>
      <w:r w:rsidRPr="00132072">
        <w:rPr>
          <w:b/>
          <w:i/>
          <w:sz w:val="48"/>
          <w:szCs w:val="48"/>
        </w:rPr>
        <w:t>Franco Bortolotti, Enrico Fabbri</w:t>
      </w:r>
    </w:p>
    <w:p w:rsidR="002B14DE" w:rsidRPr="00132072" w:rsidRDefault="00132072" w:rsidP="00132072">
      <w:pPr>
        <w:jc w:val="center"/>
        <w:rPr>
          <w:b/>
          <w:sz w:val="48"/>
          <w:szCs w:val="48"/>
        </w:rPr>
      </w:pPr>
      <w:r w:rsidRPr="00132072">
        <w:rPr>
          <w:b/>
          <w:sz w:val="48"/>
          <w:szCs w:val="48"/>
        </w:rPr>
        <w:t>2017</w:t>
      </w:r>
      <w:r w:rsidR="002B14DE" w:rsidRPr="00132072">
        <w:rPr>
          <w:b/>
          <w:sz w:val="48"/>
          <w:szCs w:val="48"/>
        </w:rPr>
        <w:br w:type="page"/>
      </w:r>
    </w:p>
    <w:p w:rsidR="002B14DE" w:rsidRPr="002B14DE" w:rsidRDefault="002B14DE" w:rsidP="009E35BE">
      <w:pPr>
        <w:pStyle w:val="Titolo1"/>
      </w:pPr>
      <w:r w:rsidRPr="002B14DE">
        <w:lastRenderedPageBreak/>
        <w:t>PREMESSA</w:t>
      </w:r>
    </w:p>
    <w:p w:rsidR="002B14DE" w:rsidRDefault="002B14DE" w:rsidP="002B14DE">
      <w:pPr>
        <w:jc w:val="both"/>
      </w:pPr>
    </w:p>
    <w:p w:rsidR="002B14DE" w:rsidRDefault="002B14DE" w:rsidP="002B14DE">
      <w:pPr>
        <w:jc w:val="both"/>
      </w:pPr>
      <w:r>
        <w:t xml:space="preserve">In questo report focalizziamo le tematiche dello sviluppo del settore orafo aretino, e in particolare della sua componente artigiana, sulla base di due direttrici, a cui corrispondono le due parti del report. </w:t>
      </w:r>
    </w:p>
    <w:p w:rsidR="002B14DE" w:rsidRDefault="002B14DE" w:rsidP="002B14DE">
      <w:pPr>
        <w:jc w:val="both"/>
      </w:pPr>
      <w:r>
        <w:t xml:space="preserve">La prima direttrice è di carattere settoriale-territoriale, e analizza i principali dati macro a disposizione, scontando peraltro l’eterogeneità della loro composizione. Un primo inquadramento riguarda l’analisi economica del segmento delle società di capitali: si tratta indubbiamente delle aziende leader, e, anche se il dato non è aggiornatissimo, è utile per un primo inquadramento del settore. Disponiamo poi dei dati occupazionali delle aziende artigiane, fotografati dall’archivio delle aziende iscritte ad </w:t>
      </w:r>
      <w:proofErr w:type="spellStart"/>
      <w:r>
        <w:t>Ebret</w:t>
      </w:r>
      <w:proofErr w:type="spellEnd"/>
      <w:r>
        <w:t>. Tale dato consente un approfondimento dell’identikit del lavoro nel settore, almeno nella sua componente artigiana.  Un ampio approfondimento è poi condotto sul dato dei flussi nel mercato del lavoro, considerando tutti gli avviamenti e cessazioni dei rapporti di lavoro sulla base dei dati provenienti dalle “comunicazioni obbligatorie”. Abbiamo così un quadro di insieme della collocazione del settore nel territorio.</w:t>
      </w:r>
    </w:p>
    <w:p w:rsidR="002B14DE" w:rsidRDefault="002B14DE" w:rsidP="002B14DE">
      <w:pPr>
        <w:jc w:val="both"/>
      </w:pPr>
      <w:r>
        <w:t>Con la seconda direttrice entriamo dentro alle caratteristiche delle componenti prime del settore: le imprese, viste in particolare nei loro fattori di dinamica e trasformazione, a partire dal lavoro e dalle tecnologie; esponiamo qui i risultati di una ricognizione presso le imprese, che seppure non ha permesso di raggiungere un ambito statisticamente significativo di aziende, nondimeno consente uno sguardo sulle principali tipologie di imprese, l’analisi è completata da uno studio delle caratteristiche del settore a livello mondiale e di alcuni dei suoi attori principali, per ricostruire il quadro competitivo in cui si muovono gli attori aretini del settore.</w:t>
      </w:r>
    </w:p>
    <w:p w:rsidR="002B14DE" w:rsidRDefault="002B14DE" w:rsidP="002B14DE">
      <w:pPr>
        <w:jc w:val="both"/>
      </w:pPr>
      <w:r>
        <w:t>L’industria orafa negli ultimi anni si è confermata come il principale “motore dello sviluppo” della provincia di Arezzo: 1200 aziende, 8000 addetti, 268 milioni di valore aggiunto e 1,7 miliardi di export, secondo l’osservatorio dei distretti</w:t>
      </w:r>
      <w:proofErr w:type="gramStart"/>
      <w:r>
        <w:t xml:space="preserve">, </w:t>
      </w:r>
      <w:r>
        <w:rPr>
          <w:rStyle w:val="Rimandonotaapidipagina"/>
        </w:rPr>
        <w:footnoteReference w:id="1"/>
      </w:r>
      <w:r>
        <w:t>;</w:t>
      </w:r>
      <w:proofErr w:type="gramEnd"/>
      <w:r>
        <w:t xml:space="preserve"> 5300 addetti dipendenti al 2013 per la banca dati </w:t>
      </w:r>
      <w:proofErr w:type="spellStart"/>
      <w:r>
        <w:t>I.Istat</w:t>
      </w:r>
      <w:proofErr w:type="spellEnd"/>
      <w:r>
        <w:t>. Si tratta in ogni caso dell’aggregato economico di maggior rilevanza locale.</w:t>
      </w:r>
    </w:p>
    <w:p w:rsidR="002B14DE" w:rsidRDefault="002B14DE" w:rsidP="002B14DE">
      <w:pPr>
        <w:jc w:val="both"/>
      </w:pPr>
      <w:r>
        <w:t>Il risultato del lavoro è una radiografia del lavoro nel settore orafo (in specie nel comparto artigiano) e un primo tentativo di lavoro pilota sul campo riguardo ai percorsi lavorativi, alle competenze e alle figure professionali, verificando quali sono le figure professionali di maggiore ruolo strategico e interesse evolutivo, lavoro da approfondire ed estendere negli anni successivi.</w:t>
      </w:r>
    </w:p>
    <w:p w:rsidR="002B14DE" w:rsidRDefault="002B14DE" w:rsidP="002B14DE">
      <w:pPr>
        <w:jc w:val="both"/>
      </w:pPr>
      <w:r>
        <w:t xml:space="preserve">Il risultato è una analisi dell’inserimento del distretto orafo nella divisione internazionale del lavoro del settore, una verifica della solidità delle imprese alla luce della crisi finanziaria internazionale avviatasi nel 2008, e una valutazione sulle tendenze del lavoro nel sistema delle imprese. </w:t>
      </w:r>
    </w:p>
    <w:p w:rsidR="00132072" w:rsidRDefault="00132072" w:rsidP="002B14DE">
      <w:pPr>
        <w:jc w:val="both"/>
      </w:pPr>
      <w:r>
        <w:t xml:space="preserve">Franco Bortolotti ha steso </w:t>
      </w:r>
      <w:r w:rsidR="009228CF">
        <w:t xml:space="preserve">la premessa, le conclusioni, </w:t>
      </w:r>
      <w:r>
        <w:t>i cap</w:t>
      </w:r>
      <w:r w:rsidR="00CD214C">
        <w:t>itoli 1 e 2 della prima parte; 4 e 5</w:t>
      </w:r>
      <w:r>
        <w:t xml:space="preserve"> della seconda parte e gli allegati II e II della stessa.</w:t>
      </w:r>
    </w:p>
    <w:p w:rsidR="00132072" w:rsidRDefault="00132072" w:rsidP="002B14DE">
      <w:pPr>
        <w:jc w:val="both"/>
      </w:pPr>
      <w:r>
        <w:t>Enrico Fabbri ha steso i capit</w:t>
      </w:r>
      <w:r w:rsidR="00CD214C">
        <w:t>oli 3 e 4 della prima parte, e 6</w:t>
      </w:r>
      <w:r>
        <w:t xml:space="preserve"> della seconda (e l’allegato della stessa).</w:t>
      </w:r>
    </w:p>
    <w:p w:rsidR="00132072" w:rsidRDefault="00132072" w:rsidP="002B14DE">
      <w:pPr>
        <w:jc w:val="both"/>
      </w:pPr>
      <w:r>
        <w:t xml:space="preserve">Stefano </w:t>
      </w:r>
      <w:proofErr w:type="spellStart"/>
      <w:r>
        <w:t>Bettini</w:t>
      </w:r>
      <w:proofErr w:type="spellEnd"/>
      <w:r>
        <w:t xml:space="preserve"> ha collaborato alle interviste alle imprese.</w:t>
      </w:r>
    </w:p>
    <w:p w:rsidR="002B14DE" w:rsidRDefault="002B14DE" w:rsidP="002B14DE">
      <w:pPr>
        <w:jc w:val="both"/>
        <w:rPr>
          <w:b/>
        </w:rPr>
      </w:pPr>
      <w:r>
        <w:rPr>
          <w:b/>
        </w:rPr>
        <w:br w:type="page"/>
      </w:r>
    </w:p>
    <w:p w:rsidR="002B14DE" w:rsidRDefault="002B14DE" w:rsidP="009E35BE">
      <w:pPr>
        <w:pStyle w:val="Titolo"/>
      </w:pPr>
      <w:r>
        <w:lastRenderedPageBreak/>
        <w:t>Parte I – IL SETTORE ORAFO NEL TERRITORIO ARETINO</w:t>
      </w:r>
    </w:p>
    <w:p w:rsidR="002B14DE" w:rsidRDefault="002B14DE" w:rsidP="002B14DE">
      <w:pPr>
        <w:rPr>
          <w:b/>
        </w:rPr>
      </w:pPr>
    </w:p>
    <w:p w:rsidR="002B14DE" w:rsidRPr="0076343C" w:rsidRDefault="002B14DE" w:rsidP="009E35BE">
      <w:pPr>
        <w:pStyle w:val="Titolo1"/>
      </w:pPr>
      <w:r>
        <w:t>1. - L</w:t>
      </w:r>
      <w:r w:rsidRPr="0076343C">
        <w:t>e imprese di cap</w:t>
      </w:r>
      <w:r>
        <w:t>itali orafe della provincia di A</w:t>
      </w:r>
      <w:r w:rsidRPr="0076343C">
        <w:t>rezzo: alcune considerazioni</w:t>
      </w:r>
    </w:p>
    <w:p w:rsidR="002B14DE" w:rsidRDefault="002B14DE" w:rsidP="002B14DE">
      <w:pPr>
        <w:jc w:val="both"/>
      </w:pPr>
      <w:r>
        <w:t>Le imprese di capitale aretine del settore orafo hanno</w:t>
      </w:r>
      <w:r w:rsidR="00832031">
        <w:rPr>
          <w:rStyle w:val="Rimandonotaapidipagina"/>
        </w:rPr>
        <w:footnoteReference w:id="2"/>
      </w:r>
      <w:r>
        <w:t xml:space="preserve"> un fatturato “consolidato” annuale di circa un miliardo di euro, con oscillazioni molto forti da un anno all’altro. Infatti il fatturato è cresciuto del 26,6% nel 2013, per poi ridimensionarsi del -6,1% nel 2014 e poi ricrescere lentamente (+1,3% nel 2015 e +6,1% nel 2016). Più stabile, e forse più significativa, è la dinamica del valore aggiunto, che nei due anni in questione è cresciuto del 18,5% e del 2,1%, ma poi è diminuito dell1,2% e del 9% nel 2015-16. Il risultato di esercizio aggregato delle annualità considerate è positivo, ma sostanz</w:t>
      </w:r>
      <w:r w:rsidR="00832031">
        <w:t>i</w:t>
      </w:r>
      <w:r>
        <w:t>almente decrescente per un valore di 9, 25, 23, 18 e 15 milioni.</w:t>
      </w:r>
    </w:p>
    <w:p w:rsidR="002B14DE" w:rsidRDefault="002B14DE" w:rsidP="002B14DE">
      <w:pPr>
        <w:jc w:val="both"/>
      </w:pPr>
      <w:r>
        <w:rPr>
          <w:noProof/>
          <w:lang w:eastAsia="it-IT"/>
        </w:rPr>
        <w:drawing>
          <wp:inline distT="0" distB="0" distL="0" distR="0" wp14:anchorId="5933C093" wp14:editId="316FB194">
            <wp:extent cx="4343400" cy="1895475"/>
            <wp:effectExtent l="0" t="0" r="0" b="9525"/>
            <wp:docPr id="4" name="Gra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B14DE" w:rsidRDefault="002B14DE" w:rsidP="002B14DE">
      <w:pPr>
        <w:jc w:val="both"/>
      </w:pPr>
    </w:p>
    <w:p w:rsidR="002B14DE" w:rsidRDefault="002B14DE" w:rsidP="002B14DE">
      <w:pPr>
        <w:jc w:val="both"/>
      </w:pPr>
      <w:r>
        <w:rPr>
          <w:noProof/>
          <w:lang w:eastAsia="it-IT"/>
        </w:rPr>
        <w:drawing>
          <wp:inline distT="0" distB="0" distL="0" distR="0" wp14:anchorId="24FC3D01" wp14:editId="7BBD18B7">
            <wp:extent cx="4572000" cy="2743200"/>
            <wp:effectExtent l="0" t="0" r="0" b="0"/>
            <wp:docPr id="3" name="Gra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B14DE" w:rsidRDefault="002B14DE" w:rsidP="002B14DE">
      <w:pPr>
        <w:jc w:val="both"/>
      </w:pPr>
      <w:r>
        <w:lastRenderedPageBreak/>
        <w:t>Il modesto valore delle poste di bilancio (variazione delle scorte, altri ricavi, lavori in economia) che distinguono il fatturato dal valore della produzione, fa sì che questa ultima entità segua più o meno le variazioni del fatturato senza rilevanti alterazioni.</w:t>
      </w:r>
    </w:p>
    <w:p w:rsidR="002B14DE" w:rsidRDefault="002B14DE" w:rsidP="002B14DE">
      <w:pPr>
        <w:jc w:val="both"/>
      </w:pPr>
    </w:p>
    <w:tbl>
      <w:tblPr>
        <w:tblW w:w="7460" w:type="dxa"/>
        <w:tblCellMar>
          <w:left w:w="70" w:type="dxa"/>
          <w:right w:w="70" w:type="dxa"/>
        </w:tblCellMar>
        <w:tblLook w:val="04A0" w:firstRow="1" w:lastRow="0" w:firstColumn="1" w:lastColumn="0" w:noHBand="0" w:noVBand="1"/>
      </w:tblPr>
      <w:tblGrid>
        <w:gridCol w:w="1940"/>
        <w:gridCol w:w="980"/>
        <w:gridCol w:w="1180"/>
        <w:gridCol w:w="780"/>
        <w:gridCol w:w="860"/>
        <w:gridCol w:w="860"/>
        <w:gridCol w:w="860"/>
      </w:tblGrid>
      <w:tr w:rsidR="002B14DE" w:rsidRPr="005123FC" w:rsidTr="002B14DE">
        <w:trPr>
          <w:trHeight w:val="240"/>
        </w:trPr>
        <w:tc>
          <w:tcPr>
            <w:tcW w:w="1940" w:type="dxa"/>
            <w:tcBorders>
              <w:top w:val="nil"/>
              <w:left w:val="nil"/>
              <w:bottom w:val="nil"/>
              <w:right w:val="nil"/>
            </w:tcBorders>
            <w:shd w:val="clear" w:color="auto" w:fill="auto"/>
            <w:noWrap/>
            <w:vAlign w:val="bottom"/>
          </w:tcPr>
          <w:p w:rsidR="002B14DE" w:rsidRPr="005123FC" w:rsidRDefault="002B14DE" w:rsidP="002B14DE">
            <w:pPr>
              <w:spacing w:after="0" w:line="240" w:lineRule="auto"/>
              <w:rPr>
                <w:rFonts w:ascii="Tms Rmn" w:eastAsia="Times New Roman" w:hAnsi="Tms Rmn" w:cs="Times New Roman"/>
                <w:sz w:val="18"/>
                <w:szCs w:val="18"/>
                <w:lang w:eastAsia="it-IT"/>
              </w:rPr>
            </w:pPr>
          </w:p>
        </w:tc>
        <w:tc>
          <w:tcPr>
            <w:tcW w:w="980" w:type="dxa"/>
            <w:tcBorders>
              <w:top w:val="nil"/>
              <w:left w:val="nil"/>
              <w:bottom w:val="nil"/>
              <w:right w:val="nil"/>
            </w:tcBorders>
            <w:shd w:val="clear" w:color="auto" w:fill="auto"/>
            <w:noWrap/>
            <w:vAlign w:val="bottom"/>
          </w:tcPr>
          <w:p w:rsidR="002B14DE" w:rsidRPr="005123FC" w:rsidRDefault="002B14DE" w:rsidP="002B14DE">
            <w:pPr>
              <w:spacing w:after="0" w:line="240" w:lineRule="auto"/>
              <w:rPr>
                <w:rFonts w:ascii="Tms Rmn" w:eastAsia="Times New Roman" w:hAnsi="Tms Rmn" w:cs="Times New Roman"/>
                <w:sz w:val="18"/>
                <w:szCs w:val="18"/>
                <w:lang w:eastAsia="it-IT"/>
              </w:rPr>
            </w:pPr>
          </w:p>
        </w:tc>
        <w:tc>
          <w:tcPr>
            <w:tcW w:w="1180" w:type="dxa"/>
            <w:tcBorders>
              <w:top w:val="nil"/>
              <w:left w:val="nil"/>
              <w:bottom w:val="nil"/>
              <w:right w:val="nil"/>
            </w:tcBorders>
            <w:shd w:val="clear" w:color="auto" w:fill="auto"/>
            <w:noWrap/>
            <w:vAlign w:val="bottom"/>
          </w:tcPr>
          <w:p w:rsidR="002B14DE" w:rsidRPr="005123FC" w:rsidRDefault="002B14DE" w:rsidP="002B14DE">
            <w:pPr>
              <w:spacing w:after="0" w:line="240" w:lineRule="auto"/>
              <w:jc w:val="right"/>
              <w:rPr>
                <w:rFonts w:ascii="Tms Rmn" w:eastAsia="Times New Roman" w:hAnsi="Tms Rmn" w:cs="Times New Roman"/>
                <w:sz w:val="18"/>
                <w:szCs w:val="18"/>
                <w:lang w:eastAsia="it-IT"/>
              </w:rPr>
            </w:pPr>
            <w:r>
              <w:rPr>
                <w:rFonts w:ascii="Tms Rmn" w:eastAsia="Times New Roman" w:hAnsi="Tms Rmn" w:cs="Times New Roman"/>
                <w:sz w:val="18"/>
                <w:szCs w:val="18"/>
                <w:lang w:eastAsia="it-IT"/>
              </w:rPr>
              <w:t>2012</w:t>
            </w:r>
          </w:p>
        </w:tc>
        <w:tc>
          <w:tcPr>
            <w:tcW w:w="780" w:type="dxa"/>
            <w:tcBorders>
              <w:top w:val="nil"/>
              <w:left w:val="nil"/>
              <w:bottom w:val="nil"/>
              <w:right w:val="nil"/>
            </w:tcBorders>
            <w:shd w:val="clear" w:color="auto" w:fill="auto"/>
            <w:noWrap/>
            <w:vAlign w:val="bottom"/>
          </w:tcPr>
          <w:p w:rsidR="002B14DE" w:rsidRPr="005123FC" w:rsidRDefault="002B14DE" w:rsidP="002B14DE">
            <w:pPr>
              <w:spacing w:after="0" w:line="240" w:lineRule="auto"/>
              <w:jc w:val="right"/>
              <w:rPr>
                <w:rFonts w:ascii="Tms Rmn" w:eastAsia="Times New Roman" w:hAnsi="Tms Rmn" w:cs="Times New Roman"/>
                <w:sz w:val="18"/>
                <w:szCs w:val="18"/>
                <w:lang w:eastAsia="it-IT"/>
              </w:rPr>
            </w:pPr>
            <w:r>
              <w:rPr>
                <w:rFonts w:ascii="Tms Rmn" w:eastAsia="Times New Roman" w:hAnsi="Tms Rmn" w:cs="Times New Roman"/>
                <w:sz w:val="18"/>
                <w:szCs w:val="18"/>
                <w:lang w:eastAsia="it-IT"/>
              </w:rPr>
              <w:t>2013</w:t>
            </w:r>
          </w:p>
        </w:tc>
        <w:tc>
          <w:tcPr>
            <w:tcW w:w="860" w:type="dxa"/>
            <w:tcBorders>
              <w:top w:val="nil"/>
              <w:left w:val="nil"/>
              <w:bottom w:val="nil"/>
              <w:right w:val="nil"/>
            </w:tcBorders>
            <w:shd w:val="clear" w:color="auto" w:fill="auto"/>
            <w:noWrap/>
            <w:vAlign w:val="bottom"/>
          </w:tcPr>
          <w:p w:rsidR="002B14DE" w:rsidRPr="005123FC" w:rsidRDefault="002B14DE" w:rsidP="002B14DE">
            <w:pPr>
              <w:spacing w:after="0" w:line="240" w:lineRule="auto"/>
              <w:jc w:val="right"/>
              <w:rPr>
                <w:rFonts w:ascii="Tms Rmn" w:eastAsia="Times New Roman" w:hAnsi="Tms Rmn" w:cs="Times New Roman"/>
                <w:sz w:val="18"/>
                <w:szCs w:val="18"/>
                <w:lang w:eastAsia="it-IT"/>
              </w:rPr>
            </w:pPr>
            <w:r>
              <w:rPr>
                <w:rFonts w:ascii="Tms Rmn" w:eastAsia="Times New Roman" w:hAnsi="Tms Rmn" w:cs="Times New Roman"/>
                <w:sz w:val="18"/>
                <w:szCs w:val="18"/>
                <w:lang w:eastAsia="it-IT"/>
              </w:rPr>
              <w:t>2014</w:t>
            </w:r>
          </w:p>
        </w:tc>
        <w:tc>
          <w:tcPr>
            <w:tcW w:w="860" w:type="dxa"/>
            <w:tcBorders>
              <w:top w:val="nil"/>
              <w:left w:val="nil"/>
              <w:bottom w:val="nil"/>
              <w:right w:val="nil"/>
            </w:tcBorders>
          </w:tcPr>
          <w:p w:rsidR="002B14DE" w:rsidRDefault="002B14DE" w:rsidP="002B14DE">
            <w:pPr>
              <w:spacing w:after="0" w:line="240" w:lineRule="auto"/>
              <w:jc w:val="right"/>
              <w:rPr>
                <w:rFonts w:ascii="Tms Rmn" w:eastAsia="Times New Roman" w:hAnsi="Tms Rmn" w:cs="Times New Roman"/>
                <w:sz w:val="18"/>
                <w:szCs w:val="18"/>
                <w:lang w:eastAsia="it-IT"/>
              </w:rPr>
            </w:pPr>
            <w:r>
              <w:rPr>
                <w:rFonts w:ascii="Tms Rmn" w:eastAsia="Times New Roman" w:hAnsi="Tms Rmn" w:cs="Times New Roman"/>
                <w:sz w:val="18"/>
                <w:szCs w:val="18"/>
                <w:lang w:eastAsia="it-IT"/>
              </w:rPr>
              <w:t>2015</w:t>
            </w:r>
          </w:p>
        </w:tc>
        <w:tc>
          <w:tcPr>
            <w:tcW w:w="860" w:type="dxa"/>
            <w:tcBorders>
              <w:top w:val="nil"/>
              <w:left w:val="nil"/>
              <w:bottom w:val="nil"/>
              <w:right w:val="nil"/>
            </w:tcBorders>
          </w:tcPr>
          <w:p w:rsidR="002B14DE" w:rsidRDefault="002B14DE" w:rsidP="002B14DE">
            <w:pPr>
              <w:spacing w:after="0" w:line="240" w:lineRule="auto"/>
              <w:jc w:val="right"/>
              <w:rPr>
                <w:rFonts w:ascii="Tms Rmn" w:eastAsia="Times New Roman" w:hAnsi="Tms Rmn" w:cs="Times New Roman"/>
                <w:sz w:val="18"/>
                <w:szCs w:val="18"/>
                <w:lang w:eastAsia="it-IT"/>
              </w:rPr>
            </w:pPr>
            <w:r>
              <w:rPr>
                <w:rFonts w:ascii="Tms Rmn" w:eastAsia="Times New Roman" w:hAnsi="Tms Rmn" w:cs="Times New Roman"/>
                <w:sz w:val="18"/>
                <w:szCs w:val="18"/>
                <w:lang w:eastAsia="it-IT"/>
              </w:rPr>
              <w:t>2016</w:t>
            </w:r>
          </w:p>
        </w:tc>
      </w:tr>
      <w:tr w:rsidR="002B14DE" w:rsidRPr="005123FC" w:rsidTr="002B14DE">
        <w:trPr>
          <w:trHeight w:val="240"/>
        </w:trPr>
        <w:tc>
          <w:tcPr>
            <w:tcW w:w="1940" w:type="dxa"/>
            <w:tcBorders>
              <w:top w:val="nil"/>
              <w:left w:val="nil"/>
              <w:bottom w:val="nil"/>
              <w:right w:val="nil"/>
            </w:tcBorders>
            <w:shd w:val="clear" w:color="auto" w:fill="auto"/>
            <w:noWrap/>
            <w:vAlign w:val="bottom"/>
            <w:hideMark/>
          </w:tcPr>
          <w:p w:rsidR="002B14DE" w:rsidRPr="005123FC" w:rsidRDefault="002B14DE" w:rsidP="002B14DE">
            <w:pPr>
              <w:spacing w:after="0" w:line="240" w:lineRule="auto"/>
              <w:rPr>
                <w:rFonts w:ascii="Tms Rmn" w:eastAsia="Times New Roman" w:hAnsi="Tms Rmn" w:cs="Times New Roman"/>
                <w:sz w:val="18"/>
                <w:szCs w:val="18"/>
                <w:lang w:eastAsia="it-IT"/>
              </w:rPr>
            </w:pPr>
            <w:r w:rsidRPr="005123FC">
              <w:rPr>
                <w:rFonts w:ascii="Tms Rmn" w:eastAsia="Times New Roman" w:hAnsi="Tms Rmn" w:cs="Times New Roman"/>
                <w:sz w:val="18"/>
                <w:szCs w:val="18"/>
                <w:lang w:eastAsia="it-IT"/>
              </w:rPr>
              <w:t>Fatturato</w:t>
            </w:r>
          </w:p>
        </w:tc>
        <w:tc>
          <w:tcPr>
            <w:tcW w:w="980" w:type="dxa"/>
            <w:tcBorders>
              <w:top w:val="nil"/>
              <w:left w:val="nil"/>
              <w:bottom w:val="nil"/>
              <w:right w:val="nil"/>
            </w:tcBorders>
            <w:shd w:val="clear" w:color="auto" w:fill="auto"/>
            <w:noWrap/>
            <w:vAlign w:val="bottom"/>
            <w:hideMark/>
          </w:tcPr>
          <w:p w:rsidR="002B14DE" w:rsidRPr="005123FC" w:rsidRDefault="002B14DE" w:rsidP="002B14DE">
            <w:pPr>
              <w:spacing w:after="0" w:line="240" w:lineRule="auto"/>
              <w:rPr>
                <w:rFonts w:ascii="Tms Rmn" w:eastAsia="Times New Roman" w:hAnsi="Tms Rmn" w:cs="Times New Roman"/>
                <w:sz w:val="18"/>
                <w:szCs w:val="18"/>
                <w:lang w:eastAsia="it-IT"/>
              </w:rPr>
            </w:pPr>
          </w:p>
        </w:tc>
        <w:tc>
          <w:tcPr>
            <w:tcW w:w="1180" w:type="dxa"/>
            <w:tcBorders>
              <w:top w:val="nil"/>
              <w:left w:val="nil"/>
              <w:bottom w:val="nil"/>
              <w:right w:val="nil"/>
            </w:tcBorders>
            <w:shd w:val="clear" w:color="auto" w:fill="auto"/>
            <w:noWrap/>
            <w:vAlign w:val="bottom"/>
            <w:hideMark/>
          </w:tcPr>
          <w:p w:rsidR="002B14DE" w:rsidRPr="005123FC" w:rsidRDefault="002B14DE" w:rsidP="002B14DE">
            <w:pPr>
              <w:spacing w:after="0" w:line="240" w:lineRule="auto"/>
              <w:jc w:val="right"/>
              <w:rPr>
                <w:rFonts w:ascii="Tms Rmn" w:eastAsia="Times New Roman" w:hAnsi="Tms Rmn" w:cs="Times New Roman"/>
                <w:sz w:val="18"/>
                <w:szCs w:val="18"/>
                <w:lang w:eastAsia="it-IT"/>
              </w:rPr>
            </w:pPr>
            <w:r w:rsidRPr="005123FC">
              <w:rPr>
                <w:rFonts w:ascii="Tms Rmn" w:eastAsia="Times New Roman" w:hAnsi="Tms Rmn" w:cs="Times New Roman"/>
                <w:sz w:val="18"/>
                <w:szCs w:val="18"/>
                <w:lang w:eastAsia="it-IT"/>
              </w:rPr>
              <w:t>99,0%</w:t>
            </w:r>
          </w:p>
        </w:tc>
        <w:tc>
          <w:tcPr>
            <w:tcW w:w="780" w:type="dxa"/>
            <w:tcBorders>
              <w:top w:val="nil"/>
              <w:left w:val="nil"/>
              <w:bottom w:val="nil"/>
              <w:right w:val="nil"/>
            </w:tcBorders>
            <w:shd w:val="clear" w:color="auto" w:fill="auto"/>
            <w:noWrap/>
            <w:vAlign w:val="bottom"/>
            <w:hideMark/>
          </w:tcPr>
          <w:p w:rsidR="002B14DE" w:rsidRPr="005123FC" w:rsidRDefault="002B14DE" w:rsidP="002B14DE">
            <w:pPr>
              <w:spacing w:after="0" w:line="240" w:lineRule="auto"/>
              <w:jc w:val="right"/>
              <w:rPr>
                <w:rFonts w:ascii="Tms Rmn" w:eastAsia="Times New Roman" w:hAnsi="Tms Rmn" w:cs="Times New Roman"/>
                <w:sz w:val="18"/>
                <w:szCs w:val="18"/>
                <w:lang w:eastAsia="it-IT"/>
              </w:rPr>
            </w:pPr>
            <w:r w:rsidRPr="005123FC">
              <w:rPr>
                <w:rFonts w:ascii="Tms Rmn" w:eastAsia="Times New Roman" w:hAnsi="Tms Rmn" w:cs="Times New Roman"/>
                <w:sz w:val="18"/>
                <w:szCs w:val="18"/>
                <w:lang w:eastAsia="it-IT"/>
              </w:rPr>
              <w:t>98,8%</w:t>
            </w:r>
          </w:p>
        </w:tc>
        <w:tc>
          <w:tcPr>
            <w:tcW w:w="860" w:type="dxa"/>
            <w:tcBorders>
              <w:top w:val="nil"/>
              <w:left w:val="nil"/>
              <w:bottom w:val="nil"/>
              <w:right w:val="nil"/>
            </w:tcBorders>
            <w:shd w:val="clear" w:color="auto" w:fill="auto"/>
            <w:noWrap/>
            <w:vAlign w:val="bottom"/>
            <w:hideMark/>
          </w:tcPr>
          <w:p w:rsidR="002B14DE" w:rsidRPr="005123FC" w:rsidRDefault="002B14DE" w:rsidP="002B14DE">
            <w:pPr>
              <w:spacing w:after="0" w:line="240" w:lineRule="auto"/>
              <w:jc w:val="right"/>
              <w:rPr>
                <w:rFonts w:ascii="Tms Rmn" w:eastAsia="Times New Roman" w:hAnsi="Tms Rmn" w:cs="Times New Roman"/>
                <w:sz w:val="18"/>
                <w:szCs w:val="18"/>
                <w:lang w:eastAsia="it-IT"/>
              </w:rPr>
            </w:pPr>
            <w:r w:rsidRPr="005123FC">
              <w:rPr>
                <w:rFonts w:ascii="Tms Rmn" w:eastAsia="Times New Roman" w:hAnsi="Tms Rmn" w:cs="Times New Roman"/>
                <w:sz w:val="18"/>
                <w:szCs w:val="18"/>
                <w:lang w:eastAsia="it-IT"/>
              </w:rPr>
              <w:t>98,6%</w:t>
            </w:r>
          </w:p>
        </w:tc>
        <w:tc>
          <w:tcPr>
            <w:tcW w:w="860" w:type="dxa"/>
            <w:tcBorders>
              <w:top w:val="nil"/>
              <w:left w:val="nil"/>
              <w:bottom w:val="nil"/>
              <w:right w:val="nil"/>
            </w:tcBorders>
          </w:tcPr>
          <w:p w:rsidR="002B14DE" w:rsidRPr="005123FC" w:rsidRDefault="002B14DE" w:rsidP="002B14DE">
            <w:pPr>
              <w:spacing w:after="0" w:line="240" w:lineRule="auto"/>
              <w:jc w:val="right"/>
              <w:rPr>
                <w:rFonts w:ascii="Tms Rmn" w:eastAsia="Times New Roman" w:hAnsi="Tms Rmn" w:cs="Times New Roman"/>
                <w:sz w:val="18"/>
                <w:szCs w:val="18"/>
                <w:lang w:eastAsia="it-IT"/>
              </w:rPr>
            </w:pPr>
            <w:r>
              <w:rPr>
                <w:rFonts w:ascii="Tms Rmn" w:eastAsia="Times New Roman" w:hAnsi="Tms Rmn" w:cs="Times New Roman"/>
                <w:sz w:val="18"/>
                <w:szCs w:val="18"/>
                <w:lang w:eastAsia="it-IT"/>
              </w:rPr>
              <w:t>98,9%</w:t>
            </w:r>
          </w:p>
        </w:tc>
        <w:tc>
          <w:tcPr>
            <w:tcW w:w="860" w:type="dxa"/>
            <w:tcBorders>
              <w:top w:val="nil"/>
              <w:left w:val="nil"/>
              <w:bottom w:val="nil"/>
              <w:right w:val="nil"/>
            </w:tcBorders>
          </w:tcPr>
          <w:p w:rsidR="002B14DE" w:rsidRPr="005123FC" w:rsidRDefault="002B14DE" w:rsidP="002B14DE">
            <w:pPr>
              <w:spacing w:after="0" w:line="240" w:lineRule="auto"/>
              <w:jc w:val="right"/>
              <w:rPr>
                <w:rFonts w:ascii="Tms Rmn" w:eastAsia="Times New Roman" w:hAnsi="Tms Rmn" w:cs="Times New Roman"/>
                <w:sz w:val="18"/>
                <w:szCs w:val="18"/>
                <w:lang w:eastAsia="it-IT"/>
              </w:rPr>
            </w:pPr>
            <w:r>
              <w:rPr>
                <w:rFonts w:ascii="Tms Rmn" w:eastAsia="Times New Roman" w:hAnsi="Tms Rmn" w:cs="Times New Roman"/>
                <w:sz w:val="18"/>
                <w:szCs w:val="18"/>
                <w:lang w:eastAsia="it-IT"/>
              </w:rPr>
              <w:t>98,8%</w:t>
            </w:r>
          </w:p>
        </w:tc>
      </w:tr>
      <w:tr w:rsidR="002B14DE" w:rsidRPr="005123FC" w:rsidTr="002B14DE">
        <w:trPr>
          <w:trHeight w:val="240"/>
        </w:trPr>
        <w:tc>
          <w:tcPr>
            <w:tcW w:w="1940" w:type="dxa"/>
            <w:tcBorders>
              <w:top w:val="nil"/>
              <w:left w:val="nil"/>
              <w:bottom w:val="nil"/>
              <w:right w:val="nil"/>
            </w:tcBorders>
            <w:shd w:val="clear" w:color="auto" w:fill="auto"/>
            <w:noWrap/>
            <w:vAlign w:val="bottom"/>
            <w:hideMark/>
          </w:tcPr>
          <w:p w:rsidR="002B14DE" w:rsidRPr="005123FC" w:rsidRDefault="002B14DE" w:rsidP="002B14DE">
            <w:pPr>
              <w:spacing w:after="0" w:line="240" w:lineRule="auto"/>
              <w:rPr>
                <w:rFonts w:ascii="Tms Rmn" w:eastAsia="Times New Roman" w:hAnsi="Tms Rmn" w:cs="Times New Roman"/>
                <w:sz w:val="18"/>
                <w:szCs w:val="18"/>
                <w:lang w:eastAsia="it-IT"/>
              </w:rPr>
            </w:pPr>
            <w:r w:rsidRPr="005123FC">
              <w:rPr>
                <w:rFonts w:ascii="Tms Rmn" w:eastAsia="Times New Roman" w:hAnsi="Tms Rmn" w:cs="Times New Roman"/>
                <w:sz w:val="18"/>
                <w:szCs w:val="18"/>
                <w:lang w:eastAsia="it-IT"/>
              </w:rPr>
              <w:t xml:space="preserve">Altri </w:t>
            </w:r>
            <w:proofErr w:type="spellStart"/>
            <w:r w:rsidRPr="005123FC">
              <w:rPr>
                <w:rFonts w:ascii="Tms Rmn" w:eastAsia="Times New Roman" w:hAnsi="Tms Rmn" w:cs="Times New Roman"/>
                <w:sz w:val="18"/>
                <w:szCs w:val="18"/>
                <w:lang w:eastAsia="it-IT"/>
              </w:rPr>
              <w:t>ric.op</w:t>
            </w:r>
            <w:proofErr w:type="spellEnd"/>
            <w:r w:rsidRPr="005123FC">
              <w:rPr>
                <w:rFonts w:ascii="Tms Rmn" w:eastAsia="Times New Roman" w:hAnsi="Tms Rmn" w:cs="Times New Roman"/>
                <w:sz w:val="18"/>
                <w:szCs w:val="18"/>
                <w:lang w:eastAsia="it-IT"/>
              </w:rPr>
              <w:t>.</w:t>
            </w:r>
          </w:p>
        </w:tc>
        <w:tc>
          <w:tcPr>
            <w:tcW w:w="980" w:type="dxa"/>
            <w:tcBorders>
              <w:top w:val="nil"/>
              <w:left w:val="nil"/>
              <w:bottom w:val="nil"/>
              <w:right w:val="nil"/>
            </w:tcBorders>
            <w:shd w:val="clear" w:color="auto" w:fill="auto"/>
            <w:noWrap/>
            <w:vAlign w:val="bottom"/>
            <w:hideMark/>
          </w:tcPr>
          <w:p w:rsidR="002B14DE" w:rsidRPr="005123FC" w:rsidRDefault="002B14DE" w:rsidP="002B14DE">
            <w:pPr>
              <w:spacing w:after="0" w:line="240" w:lineRule="auto"/>
              <w:rPr>
                <w:rFonts w:ascii="Tms Rmn" w:eastAsia="Times New Roman" w:hAnsi="Tms Rmn" w:cs="Times New Roman"/>
                <w:sz w:val="18"/>
                <w:szCs w:val="18"/>
                <w:lang w:eastAsia="it-IT"/>
              </w:rPr>
            </w:pPr>
          </w:p>
        </w:tc>
        <w:tc>
          <w:tcPr>
            <w:tcW w:w="1180" w:type="dxa"/>
            <w:tcBorders>
              <w:top w:val="nil"/>
              <w:left w:val="nil"/>
              <w:bottom w:val="nil"/>
              <w:right w:val="nil"/>
            </w:tcBorders>
            <w:shd w:val="clear" w:color="auto" w:fill="auto"/>
            <w:noWrap/>
            <w:vAlign w:val="bottom"/>
            <w:hideMark/>
          </w:tcPr>
          <w:p w:rsidR="002B14DE" w:rsidRPr="005123FC" w:rsidRDefault="002B14DE" w:rsidP="002B14DE">
            <w:pPr>
              <w:spacing w:after="0" w:line="240" w:lineRule="auto"/>
              <w:jc w:val="right"/>
              <w:rPr>
                <w:rFonts w:ascii="Tms Rmn" w:eastAsia="Times New Roman" w:hAnsi="Tms Rmn" w:cs="Times New Roman"/>
                <w:sz w:val="18"/>
                <w:szCs w:val="18"/>
                <w:lang w:eastAsia="it-IT"/>
              </w:rPr>
            </w:pPr>
            <w:r w:rsidRPr="005123FC">
              <w:rPr>
                <w:rFonts w:ascii="Tms Rmn" w:eastAsia="Times New Roman" w:hAnsi="Tms Rmn" w:cs="Times New Roman"/>
                <w:sz w:val="18"/>
                <w:szCs w:val="18"/>
                <w:lang w:eastAsia="it-IT"/>
              </w:rPr>
              <w:t>0,8%</w:t>
            </w:r>
          </w:p>
        </w:tc>
        <w:tc>
          <w:tcPr>
            <w:tcW w:w="780" w:type="dxa"/>
            <w:tcBorders>
              <w:top w:val="nil"/>
              <w:left w:val="nil"/>
              <w:bottom w:val="nil"/>
              <w:right w:val="nil"/>
            </w:tcBorders>
            <w:shd w:val="clear" w:color="auto" w:fill="auto"/>
            <w:noWrap/>
            <w:vAlign w:val="bottom"/>
            <w:hideMark/>
          </w:tcPr>
          <w:p w:rsidR="002B14DE" w:rsidRPr="005123FC" w:rsidRDefault="002B14DE" w:rsidP="002B14DE">
            <w:pPr>
              <w:spacing w:after="0" w:line="240" w:lineRule="auto"/>
              <w:jc w:val="right"/>
              <w:rPr>
                <w:rFonts w:ascii="Tms Rmn" w:eastAsia="Times New Roman" w:hAnsi="Tms Rmn" w:cs="Times New Roman"/>
                <w:sz w:val="18"/>
                <w:szCs w:val="18"/>
                <w:lang w:eastAsia="it-IT"/>
              </w:rPr>
            </w:pPr>
            <w:r w:rsidRPr="005123FC">
              <w:rPr>
                <w:rFonts w:ascii="Tms Rmn" w:eastAsia="Times New Roman" w:hAnsi="Tms Rmn" w:cs="Times New Roman"/>
                <w:sz w:val="18"/>
                <w:szCs w:val="18"/>
                <w:lang w:eastAsia="it-IT"/>
              </w:rPr>
              <w:t>0,6%</w:t>
            </w:r>
          </w:p>
        </w:tc>
        <w:tc>
          <w:tcPr>
            <w:tcW w:w="860" w:type="dxa"/>
            <w:tcBorders>
              <w:top w:val="nil"/>
              <w:left w:val="nil"/>
              <w:bottom w:val="nil"/>
              <w:right w:val="nil"/>
            </w:tcBorders>
            <w:shd w:val="clear" w:color="auto" w:fill="auto"/>
            <w:noWrap/>
            <w:vAlign w:val="bottom"/>
            <w:hideMark/>
          </w:tcPr>
          <w:p w:rsidR="002B14DE" w:rsidRPr="005123FC" w:rsidRDefault="002B14DE" w:rsidP="002B14DE">
            <w:pPr>
              <w:spacing w:after="0" w:line="240" w:lineRule="auto"/>
              <w:jc w:val="right"/>
              <w:rPr>
                <w:rFonts w:ascii="Tms Rmn" w:eastAsia="Times New Roman" w:hAnsi="Tms Rmn" w:cs="Times New Roman"/>
                <w:sz w:val="18"/>
                <w:szCs w:val="18"/>
                <w:lang w:eastAsia="it-IT"/>
              </w:rPr>
            </w:pPr>
            <w:r w:rsidRPr="005123FC">
              <w:rPr>
                <w:rFonts w:ascii="Tms Rmn" w:eastAsia="Times New Roman" w:hAnsi="Tms Rmn" w:cs="Times New Roman"/>
                <w:sz w:val="18"/>
                <w:szCs w:val="18"/>
                <w:lang w:eastAsia="it-IT"/>
              </w:rPr>
              <w:t>0,8%</w:t>
            </w:r>
          </w:p>
        </w:tc>
        <w:tc>
          <w:tcPr>
            <w:tcW w:w="860" w:type="dxa"/>
            <w:tcBorders>
              <w:top w:val="nil"/>
              <w:left w:val="nil"/>
              <w:bottom w:val="nil"/>
              <w:right w:val="nil"/>
            </w:tcBorders>
          </w:tcPr>
          <w:p w:rsidR="002B14DE" w:rsidRPr="005123FC" w:rsidRDefault="002B14DE" w:rsidP="002B14DE">
            <w:pPr>
              <w:spacing w:after="0" w:line="240" w:lineRule="auto"/>
              <w:jc w:val="right"/>
              <w:rPr>
                <w:rFonts w:ascii="Tms Rmn" w:eastAsia="Times New Roman" w:hAnsi="Tms Rmn" w:cs="Times New Roman"/>
                <w:sz w:val="18"/>
                <w:szCs w:val="18"/>
                <w:lang w:eastAsia="it-IT"/>
              </w:rPr>
            </w:pPr>
            <w:r>
              <w:rPr>
                <w:rFonts w:ascii="Tms Rmn" w:eastAsia="Times New Roman" w:hAnsi="Tms Rmn" w:cs="Times New Roman"/>
                <w:sz w:val="18"/>
                <w:szCs w:val="18"/>
                <w:lang w:eastAsia="it-IT"/>
              </w:rPr>
              <w:t>0,8%</w:t>
            </w:r>
          </w:p>
        </w:tc>
        <w:tc>
          <w:tcPr>
            <w:tcW w:w="860" w:type="dxa"/>
            <w:tcBorders>
              <w:top w:val="nil"/>
              <w:left w:val="nil"/>
              <w:bottom w:val="nil"/>
              <w:right w:val="nil"/>
            </w:tcBorders>
          </w:tcPr>
          <w:p w:rsidR="002B14DE" w:rsidRPr="005123FC" w:rsidRDefault="002B14DE" w:rsidP="002B14DE">
            <w:pPr>
              <w:spacing w:after="0" w:line="240" w:lineRule="auto"/>
              <w:jc w:val="right"/>
              <w:rPr>
                <w:rFonts w:ascii="Tms Rmn" w:eastAsia="Times New Roman" w:hAnsi="Tms Rmn" w:cs="Times New Roman"/>
                <w:sz w:val="18"/>
                <w:szCs w:val="18"/>
                <w:lang w:eastAsia="it-IT"/>
              </w:rPr>
            </w:pPr>
            <w:r>
              <w:rPr>
                <w:rFonts w:ascii="Tms Rmn" w:eastAsia="Times New Roman" w:hAnsi="Tms Rmn" w:cs="Times New Roman"/>
                <w:sz w:val="18"/>
                <w:szCs w:val="18"/>
                <w:lang w:eastAsia="it-IT"/>
              </w:rPr>
              <w:t>1,1%</w:t>
            </w:r>
          </w:p>
        </w:tc>
      </w:tr>
      <w:tr w:rsidR="002B14DE" w:rsidRPr="005123FC" w:rsidTr="002B14DE">
        <w:trPr>
          <w:trHeight w:val="240"/>
        </w:trPr>
        <w:tc>
          <w:tcPr>
            <w:tcW w:w="1940" w:type="dxa"/>
            <w:tcBorders>
              <w:top w:val="nil"/>
              <w:left w:val="nil"/>
              <w:bottom w:val="nil"/>
              <w:right w:val="nil"/>
            </w:tcBorders>
            <w:shd w:val="clear" w:color="auto" w:fill="auto"/>
            <w:noWrap/>
            <w:vAlign w:val="bottom"/>
            <w:hideMark/>
          </w:tcPr>
          <w:p w:rsidR="002B14DE" w:rsidRPr="005123FC" w:rsidRDefault="002B14DE" w:rsidP="002B14DE">
            <w:pPr>
              <w:spacing w:after="0" w:line="240" w:lineRule="auto"/>
              <w:rPr>
                <w:rFonts w:ascii="Tms Rmn" w:eastAsia="Times New Roman" w:hAnsi="Tms Rmn" w:cs="Times New Roman"/>
                <w:sz w:val="18"/>
                <w:szCs w:val="18"/>
                <w:lang w:eastAsia="it-IT"/>
              </w:rPr>
            </w:pPr>
            <w:r w:rsidRPr="005123FC">
              <w:rPr>
                <w:rFonts w:ascii="Tms Rmn" w:eastAsia="Times New Roman" w:hAnsi="Tms Rmn" w:cs="Times New Roman"/>
                <w:sz w:val="18"/>
                <w:szCs w:val="18"/>
                <w:lang w:eastAsia="it-IT"/>
              </w:rPr>
              <w:t xml:space="preserve">Lavori in </w:t>
            </w:r>
            <w:proofErr w:type="spellStart"/>
            <w:r w:rsidRPr="005123FC">
              <w:rPr>
                <w:rFonts w:ascii="Tms Rmn" w:eastAsia="Times New Roman" w:hAnsi="Tms Rmn" w:cs="Times New Roman"/>
                <w:sz w:val="18"/>
                <w:szCs w:val="18"/>
                <w:lang w:eastAsia="it-IT"/>
              </w:rPr>
              <w:t>econ</w:t>
            </w:r>
            <w:proofErr w:type="spellEnd"/>
            <w:r w:rsidRPr="005123FC">
              <w:rPr>
                <w:rFonts w:ascii="Tms Rmn" w:eastAsia="Times New Roman" w:hAnsi="Tms Rmn" w:cs="Times New Roman"/>
                <w:sz w:val="18"/>
                <w:szCs w:val="18"/>
                <w:lang w:eastAsia="it-IT"/>
              </w:rPr>
              <w:t>.</w:t>
            </w:r>
          </w:p>
        </w:tc>
        <w:tc>
          <w:tcPr>
            <w:tcW w:w="980" w:type="dxa"/>
            <w:tcBorders>
              <w:top w:val="nil"/>
              <w:left w:val="nil"/>
              <w:bottom w:val="nil"/>
              <w:right w:val="nil"/>
            </w:tcBorders>
            <w:shd w:val="clear" w:color="auto" w:fill="auto"/>
            <w:noWrap/>
            <w:vAlign w:val="bottom"/>
            <w:hideMark/>
          </w:tcPr>
          <w:p w:rsidR="002B14DE" w:rsidRPr="005123FC" w:rsidRDefault="002B14DE" w:rsidP="002B14DE">
            <w:pPr>
              <w:spacing w:after="0" w:line="240" w:lineRule="auto"/>
              <w:rPr>
                <w:rFonts w:ascii="Tms Rmn" w:eastAsia="Times New Roman" w:hAnsi="Tms Rmn" w:cs="Times New Roman"/>
                <w:sz w:val="18"/>
                <w:szCs w:val="18"/>
                <w:lang w:eastAsia="it-IT"/>
              </w:rPr>
            </w:pPr>
          </w:p>
        </w:tc>
        <w:tc>
          <w:tcPr>
            <w:tcW w:w="1180" w:type="dxa"/>
            <w:tcBorders>
              <w:top w:val="nil"/>
              <w:left w:val="nil"/>
              <w:bottom w:val="nil"/>
              <w:right w:val="nil"/>
            </w:tcBorders>
            <w:shd w:val="clear" w:color="auto" w:fill="auto"/>
            <w:noWrap/>
            <w:vAlign w:val="bottom"/>
            <w:hideMark/>
          </w:tcPr>
          <w:p w:rsidR="002B14DE" w:rsidRPr="005123FC" w:rsidRDefault="002B14DE" w:rsidP="002B14DE">
            <w:pPr>
              <w:spacing w:after="0" w:line="240" w:lineRule="auto"/>
              <w:jc w:val="right"/>
              <w:rPr>
                <w:rFonts w:ascii="Tms Rmn" w:eastAsia="Times New Roman" w:hAnsi="Tms Rmn" w:cs="Times New Roman"/>
                <w:sz w:val="18"/>
                <w:szCs w:val="18"/>
                <w:lang w:eastAsia="it-IT"/>
              </w:rPr>
            </w:pPr>
            <w:r w:rsidRPr="005123FC">
              <w:rPr>
                <w:rFonts w:ascii="Tms Rmn" w:eastAsia="Times New Roman" w:hAnsi="Tms Rmn" w:cs="Times New Roman"/>
                <w:sz w:val="18"/>
                <w:szCs w:val="18"/>
                <w:lang w:eastAsia="it-IT"/>
              </w:rPr>
              <w:t>0,3%</w:t>
            </w:r>
          </w:p>
        </w:tc>
        <w:tc>
          <w:tcPr>
            <w:tcW w:w="780" w:type="dxa"/>
            <w:tcBorders>
              <w:top w:val="nil"/>
              <w:left w:val="nil"/>
              <w:bottom w:val="nil"/>
              <w:right w:val="nil"/>
            </w:tcBorders>
            <w:shd w:val="clear" w:color="auto" w:fill="auto"/>
            <w:noWrap/>
            <w:vAlign w:val="bottom"/>
            <w:hideMark/>
          </w:tcPr>
          <w:p w:rsidR="002B14DE" w:rsidRPr="005123FC" w:rsidRDefault="002B14DE" w:rsidP="002B14DE">
            <w:pPr>
              <w:spacing w:after="0" w:line="240" w:lineRule="auto"/>
              <w:jc w:val="right"/>
              <w:rPr>
                <w:rFonts w:ascii="Tms Rmn" w:eastAsia="Times New Roman" w:hAnsi="Tms Rmn" w:cs="Times New Roman"/>
                <w:sz w:val="18"/>
                <w:szCs w:val="18"/>
                <w:lang w:eastAsia="it-IT"/>
              </w:rPr>
            </w:pPr>
            <w:r w:rsidRPr="005123FC">
              <w:rPr>
                <w:rFonts w:ascii="Tms Rmn" w:eastAsia="Times New Roman" w:hAnsi="Tms Rmn" w:cs="Times New Roman"/>
                <w:sz w:val="18"/>
                <w:szCs w:val="18"/>
                <w:lang w:eastAsia="it-IT"/>
              </w:rPr>
              <w:t>0,2%</w:t>
            </w:r>
          </w:p>
        </w:tc>
        <w:tc>
          <w:tcPr>
            <w:tcW w:w="860" w:type="dxa"/>
            <w:tcBorders>
              <w:top w:val="nil"/>
              <w:left w:val="nil"/>
              <w:bottom w:val="nil"/>
              <w:right w:val="nil"/>
            </w:tcBorders>
            <w:shd w:val="clear" w:color="auto" w:fill="auto"/>
            <w:noWrap/>
            <w:vAlign w:val="bottom"/>
            <w:hideMark/>
          </w:tcPr>
          <w:p w:rsidR="002B14DE" w:rsidRPr="005123FC" w:rsidRDefault="002B14DE" w:rsidP="002B14DE">
            <w:pPr>
              <w:spacing w:after="0" w:line="240" w:lineRule="auto"/>
              <w:jc w:val="right"/>
              <w:rPr>
                <w:rFonts w:ascii="Tms Rmn" w:eastAsia="Times New Roman" w:hAnsi="Tms Rmn" w:cs="Times New Roman"/>
                <w:sz w:val="18"/>
                <w:szCs w:val="18"/>
                <w:lang w:eastAsia="it-IT"/>
              </w:rPr>
            </w:pPr>
            <w:r w:rsidRPr="005123FC">
              <w:rPr>
                <w:rFonts w:ascii="Tms Rmn" w:eastAsia="Times New Roman" w:hAnsi="Tms Rmn" w:cs="Times New Roman"/>
                <w:sz w:val="18"/>
                <w:szCs w:val="18"/>
                <w:lang w:eastAsia="it-IT"/>
              </w:rPr>
              <w:t>0,2%</w:t>
            </w:r>
          </w:p>
        </w:tc>
        <w:tc>
          <w:tcPr>
            <w:tcW w:w="860" w:type="dxa"/>
            <w:tcBorders>
              <w:top w:val="nil"/>
              <w:left w:val="nil"/>
              <w:bottom w:val="nil"/>
              <w:right w:val="nil"/>
            </w:tcBorders>
          </w:tcPr>
          <w:p w:rsidR="002B14DE" w:rsidRPr="005123FC" w:rsidRDefault="002B14DE" w:rsidP="002B14DE">
            <w:pPr>
              <w:spacing w:after="0" w:line="240" w:lineRule="auto"/>
              <w:jc w:val="right"/>
              <w:rPr>
                <w:rFonts w:ascii="Tms Rmn" w:eastAsia="Times New Roman" w:hAnsi="Tms Rmn" w:cs="Times New Roman"/>
                <w:sz w:val="18"/>
                <w:szCs w:val="18"/>
                <w:lang w:eastAsia="it-IT"/>
              </w:rPr>
            </w:pPr>
            <w:r>
              <w:rPr>
                <w:rFonts w:ascii="Tms Rmn" w:eastAsia="Times New Roman" w:hAnsi="Tms Rmn" w:cs="Times New Roman"/>
                <w:sz w:val="18"/>
                <w:szCs w:val="18"/>
                <w:lang w:eastAsia="it-IT"/>
              </w:rPr>
              <w:t>0,2%</w:t>
            </w:r>
          </w:p>
        </w:tc>
        <w:tc>
          <w:tcPr>
            <w:tcW w:w="860" w:type="dxa"/>
            <w:tcBorders>
              <w:top w:val="nil"/>
              <w:left w:val="nil"/>
              <w:bottom w:val="nil"/>
              <w:right w:val="nil"/>
            </w:tcBorders>
          </w:tcPr>
          <w:p w:rsidR="002B14DE" w:rsidRPr="005123FC" w:rsidRDefault="002B14DE" w:rsidP="002B14DE">
            <w:pPr>
              <w:spacing w:after="0" w:line="240" w:lineRule="auto"/>
              <w:jc w:val="right"/>
              <w:rPr>
                <w:rFonts w:ascii="Tms Rmn" w:eastAsia="Times New Roman" w:hAnsi="Tms Rmn" w:cs="Times New Roman"/>
                <w:sz w:val="18"/>
                <w:szCs w:val="18"/>
                <w:lang w:eastAsia="it-IT"/>
              </w:rPr>
            </w:pPr>
            <w:r>
              <w:rPr>
                <w:rFonts w:ascii="Tms Rmn" w:eastAsia="Times New Roman" w:hAnsi="Tms Rmn" w:cs="Times New Roman"/>
                <w:sz w:val="18"/>
                <w:szCs w:val="18"/>
                <w:lang w:eastAsia="it-IT"/>
              </w:rPr>
              <w:t>0,2%</w:t>
            </w:r>
          </w:p>
        </w:tc>
      </w:tr>
      <w:tr w:rsidR="002B14DE" w:rsidRPr="005123FC" w:rsidTr="002B14DE">
        <w:trPr>
          <w:trHeight w:val="240"/>
        </w:trPr>
        <w:tc>
          <w:tcPr>
            <w:tcW w:w="1940" w:type="dxa"/>
            <w:tcBorders>
              <w:top w:val="nil"/>
              <w:left w:val="nil"/>
              <w:bottom w:val="nil"/>
              <w:right w:val="nil"/>
            </w:tcBorders>
            <w:shd w:val="clear" w:color="auto" w:fill="auto"/>
            <w:noWrap/>
            <w:vAlign w:val="bottom"/>
            <w:hideMark/>
          </w:tcPr>
          <w:p w:rsidR="002B14DE" w:rsidRPr="005123FC" w:rsidRDefault="002B14DE" w:rsidP="002B14DE">
            <w:pPr>
              <w:spacing w:after="0" w:line="240" w:lineRule="auto"/>
              <w:rPr>
                <w:rFonts w:ascii="Tms Rmn" w:eastAsia="Times New Roman" w:hAnsi="Tms Rmn" w:cs="Times New Roman"/>
                <w:sz w:val="18"/>
                <w:szCs w:val="18"/>
                <w:lang w:eastAsia="it-IT"/>
              </w:rPr>
            </w:pPr>
            <w:proofErr w:type="spellStart"/>
            <w:r w:rsidRPr="005123FC">
              <w:rPr>
                <w:rFonts w:ascii="Tms Rmn" w:eastAsia="Times New Roman" w:hAnsi="Tms Rmn" w:cs="Times New Roman"/>
                <w:sz w:val="18"/>
                <w:szCs w:val="18"/>
                <w:lang w:eastAsia="it-IT"/>
              </w:rPr>
              <w:t>Var</w:t>
            </w:r>
            <w:proofErr w:type="spellEnd"/>
            <w:r w:rsidRPr="005123FC">
              <w:rPr>
                <w:rFonts w:ascii="Tms Rmn" w:eastAsia="Times New Roman" w:hAnsi="Tms Rmn" w:cs="Times New Roman"/>
                <w:sz w:val="18"/>
                <w:szCs w:val="18"/>
                <w:lang w:eastAsia="it-IT"/>
              </w:rPr>
              <w:t>. scorte</w:t>
            </w:r>
          </w:p>
        </w:tc>
        <w:tc>
          <w:tcPr>
            <w:tcW w:w="980" w:type="dxa"/>
            <w:tcBorders>
              <w:top w:val="nil"/>
              <w:left w:val="nil"/>
              <w:bottom w:val="nil"/>
              <w:right w:val="nil"/>
            </w:tcBorders>
            <w:shd w:val="clear" w:color="auto" w:fill="auto"/>
            <w:noWrap/>
            <w:vAlign w:val="bottom"/>
            <w:hideMark/>
          </w:tcPr>
          <w:p w:rsidR="002B14DE" w:rsidRPr="005123FC" w:rsidRDefault="002B14DE" w:rsidP="002B14DE">
            <w:pPr>
              <w:spacing w:after="0" w:line="240" w:lineRule="auto"/>
              <w:rPr>
                <w:rFonts w:ascii="Tms Rmn" w:eastAsia="Times New Roman" w:hAnsi="Tms Rmn" w:cs="Times New Roman"/>
                <w:sz w:val="18"/>
                <w:szCs w:val="18"/>
                <w:lang w:eastAsia="it-IT"/>
              </w:rPr>
            </w:pPr>
            <w:r w:rsidRPr="005123FC">
              <w:rPr>
                <w:rFonts w:ascii="Tms Rmn" w:eastAsia="Times New Roman" w:hAnsi="Tms Rmn" w:cs="Times New Roman"/>
                <w:sz w:val="18"/>
                <w:szCs w:val="18"/>
                <w:lang w:eastAsia="it-IT"/>
              </w:rPr>
              <w:t>/</w:t>
            </w:r>
            <w:proofErr w:type="spellStart"/>
            <w:r w:rsidRPr="005123FC">
              <w:rPr>
                <w:rFonts w:ascii="Tms Rmn" w:eastAsia="Times New Roman" w:hAnsi="Tms Rmn" w:cs="Times New Roman"/>
                <w:sz w:val="18"/>
                <w:szCs w:val="18"/>
                <w:lang w:eastAsia="it-IT"/>
              </w:rPr>
              <w:t>Prod</w:t>
            </w:r>
            <w:proofErr w:type="spellEnd"/>
            <w:r w:rsidRPr="005123FC">
              <w:rPr>
                <w:rFonts w:ascii="Tms Rmn" w:eastAsia="Times New Roman" w:hAnsi="Tms Rmn" w:cs="Times New Roman"/>
                <w:sz w:val="18"/>
                <w:szCs w:val="18"/>
                <w:lang w:eastAsia="it-IT"/>
              </w:rPr>
              <w:t>.</w:t>
            </w:r>
          </w:p>
        </w:tc>
        <w:tc>
          <w:tcPr>
            <w:tcW w:w="1180" w:type="dxa"/>
            <w:tcBorders>
              <w:top w:val="nil"/>
              <w:left w:val="nil"/>
              <w:bottom w:val="nil"/>
              <w:right w:val="nil"/>
            </w:tcBorders>
            <w:shd w:val="clear" w:color="auto" w:fill="auto"/>
            <w:noWrap/>
            <w:vAlign w:val="bottom"/>
            <w:hideMark/>
          </w:tcPr>
          <w:p w:rsidR="002B14DE" w:rsidRPr="005123FC" w:rsidRDefault="002B14DE" w:rsidP="002B14DE">
            <w:pPr>
              <w:spacing w:after="0" w:line="240" w:lineRule="auto"/>
              <w:jc w:val="right"/>
              <w:rPr>
                <w:rFonts w:ascii="Tms Rmn" w:eastAsia="Times New Roman" w:hAnsi="Tms Rmn" w:cs="Times New Roman"/>
                <w:sz w:val="18"/>
                <w:szCs w:val="18"/>
                <w:lang w:eastAsia="it-IT"/>
              </w:rPr>
            </w:pPr>
            <w:r w:rsidRPr="005123FC">
              <w:rPr>
                <w:rFonts w:ascii="Tms Rmn" w:eastAsia="Times New Roman" w:hAnsi="Tms Rmn" w:cs="Times New Roman"/>
                <w:sz w:val="18"/>
                <w:szCs w:val="18"/>
                <w:lang w:eastAsia="it-IT"/>
              </w:rPr>
              <w:t>-0,1%</w:t>
            </w:r>
          </w:p>
        </w:tc>
        <w:tc>
          <w:tcPr>
            <w:tcW w:w="780" w:type="dxa"/>
            <w:tcBorders>
              <w:top w:val="nil"/>
              <w:left w:val="nil"/>
              <w:bottom w:val="nil"/>
              <w:right w:val="nil"/>
            </w:tcBorders>
            <w:shd w:val="clear" w:color="auto" w:fill="auto"/>
            <w:noWrap/>
            <w:vAlign w:val="bottom"/>
            <w:hideMark/>
          </w:tcPr>
          <w:p w:rsidR="002B14DE" w:rsidRPr="005123FC" w:rsidRDefault="002B14DE" w:rsidP="002B14DE">
            <w:pPr>
              <w:spacing w:after="0" w:line="240" w:lineRule="auto"/>
              <w:jc w:val="right"/>
              <w:rPr>
                <w:rFonts w:ascii="Tms Rmn" w:eastAsia="Times New Roman" w:hAnsi="Tms Rmn" w:cs="Times New Roman"/>
                <w:sz w:val="18"/>
                <w:szCs w:val="18"/>
                <w:lang w:eastAsia="it-IT"/>
              </w:rPr>
            </w:pPr>
            <w:r w:rsidRPr="005123FC">
              <w:rPr>
                <w:rFonts w:ascii="Tms Rmn" w:eastAsia="Times New Roman" w:hAnsi="Tms Rmn" w:cs="Times New Roman"/>
                <w:sz w:val="18"/>
                <w:szCs w:val="18"/>
                <w:lang w:eastAsia="it-IT"/>
              </w:rPr>
              <w:t>0,3%</w:t>
            </w:r>
          </w:p>
        </w:tc>
        <w:tc>
          <w:tcPr>
            <w:tcW w:w="860" w:type="dxa"/>
            <w:tcBorders>
              <w:top w:val="nil"/>
              <w:left w:val="nil"/>
              <w:bottom w:val="nil"/>
              <w:right w:val="nil"/>
            </w:tcBorders>
            <w:shd w:val="clear" w:color="auto" w:fill="auto"/>
            <w:noWrap/>
            <w:vAlign w:val="bottom"/>
            <w:hideMark/>
          </w:tcPr>
          <w:p w:rsidR="002B14DE" w:rsidRPr="005123FC" w:rsidRDefault="002B14DE" w:rsidP="002B14DE">
            <w:pPr>
              <w:spacing w:after="0" w:line="240" w:lineRule="auto"/>
              <w:jc w:val="right"/>
              <w:rPr>
                <w:rFonts w:ascii="Tms Rmn" w:eastAsia="Times New Roman" w:hAnsi="Tms Rmn" w:cs="Times New Roman"/>
                <w:sz w:val="18"/>
                <w:szCs w:val="18"/>
                <w:lang w:eastAsia="it-IT"/>
              </w:rPr>
            </w:pPr>
            <w:r w:rsidRPr="005123FC">
              <w:rPr>
                <w:rFonts w:ascii="Tms Rmn" w:eastAsia="Times New Roman" w:hAnsi="Tms Rmn" w:cs="Times New Roman"/>
                <w:sz w:val="18"/>
                <w:szCs w:val="18"/>
                <w:lang w:eastAsia="it-IT"/>
              </w:rPr>
              <w:t>0,4%</w:t>
            </w:r>
          </w:p>
        </w:tc>
        <w:tc>
          <w:tcPr>
            <w:tcW w:w="860" w:type="dxa"/>
            <w:tcBorders>
              <w:top w:val="nil"/>
              <w:left w:val="nil"/>
              <w:bottom w:val="nil"/>
              <w:right w:val="nil"/>
            </w:tcBorders>
          </w:tcPr>
          <w:p w:rsidR="002B14DE" w:rsidRPr="005123FC" w:rsidRDefault="002B14DE" w:rsidP="002B14DE">
            <w:pPr>
              <w:spacing w:after="0" w:line="240" w:lineRule="auto"/>
              <w:jc w:val="right"/>
              <w:rPr>
                <w:rFonts w:ascii="Tms Rmn" w:eastAsia="Times New Roman" w:hAnsi="Tms Rmn" w:cs="Times New Roman"/>
                <w:sz w:val="18"/>
                <w:szCs w:val="18"/>
                <w:lang w:eastAsia="it-IT"/>
              </w:rPr>
            </w:pPr>
            <w:r>
              <w:rPr>
                <w:rFonts w:ascii="Tms Rmn" w:eastAsia="Times New Roman" w:hAnsi="Tms Rmn" w:cs="Times New Roman"/>
                <w:sz w:val="18"/>
                <w:szCs w:val="18"/>
                <w:lang w:eastAsia="it-IT"/>
              </w:rPr>
              <w:t>0,1%</w:t>
            </w:r>
          </w:p>
        </w:tc>
        <w:tc>
          <w:tcPr>
            <w:tcW w:w="860" w:type="dxa"/>
            <w:tcBorders>
              <w:top w:val="nil"/>
              <w:left w:val="nil"/>
              <w:bottom w:val="nil"/>
              <w:right w:val="nil"/>
            </w:tcBorders>
          </w:tcPr>
          <w:p w:rsidR="002B14DE" w:rsidRPr="005123FC" w:rsidRDefault="002B14DE" w:rsidP="002B14DE">
            <w:pPr>
              <w:spacing w:after="0" w:line="240" w:lineRule="auto"/>
              <w:jc w:val="right"/>
              <w:rPr>
                <w:rFonts w:ascii="Tms Rmn" w:eastAsia="Times New Roman" w:hAnsi="Tms Rmn" w:cs="Times New Roman"/>
                <w:sz w:val="18"/>
                <w:szCs w:val="18"/>
                <w:lang w:eastAsia="it-IT"/>
              </w:rPr>
            </w:pPr>
            <w:r>
              <w:rPr>
                <w:rFonts w:ascii="Tms Rmn" w:eastAsia="Times New Roman" w:hAnsi="Tms Rmn" w:cs="Times New Roman"/>
                <w:sz w:val="18"/>
                <w:szCs w:val="18"/>
                <w:lang w:eastAsia="it-IT"/>
              </w:rPr>
              <w:t>0,0%</w:t>
            </w:r>
          </w:p>
        </w:tc>
      </w:tr>
    </w:tbl>
    <w:p w:rsidR="002B14DE" w:rsidRDefault="002B14DE" w:rsidP="002B14DE">
      <w:pPr>
        <w:jc w:val="both"/>
      </w:pPr>
    </w:p>
    <w:p w:rsidR="002B14DE" w:rsidRDefault="002B14DE" w:rsidP="002B14DE">
      <w:pPr>
        <w:jc w:val="both"/>
      </w:pPr>
      <w:r>
        <w:t>Nella tabella seguente possiamo considerare la formazione del valore aggiunto a partire dal valore della produzione. Fatto 100 il valore della produzione, una parte assolutamente preponderante, almeno del 70% è costituita dal costo delle materie prime (l’oro, perlopiù), le cui oscillazioni di valore sul mercato internazionale “gonfiano” il valore della produzione determinandone le variazioni. Circa l’1% del valore del prodotto viene speso in “godimento di beni da terzi”, ovvero, sostanzialmente, in rate del macchinario preso a leasing, che incide meno negli anni in cui la dinamica della produzione e del valore aggiunto è più sostenuta. La quota delle spese sostenute in servizi e oneri diversi è del 13-15% negli anni in questione. La quota di valore aggiunto che residua dalle voci dei costi gravita fra il 13% e il 15% del valore della produzione.</w:t>
      </w:r>
    </w:p>
    <w:p w:rsidR="002B14DE" w:rsidRDefault="002B14DE" w:rsidP="002B14DE">
      <w:pPr>
        <w:jc w:val="both"/>
      </w:pPr>
    </w:p>
    <w:tbl>
      <w:tblPr>
        <w:tblW w:w="7460" w:type="dxa"/>
        <w:tblCellMar>
          <w:left w:w="70" w:type="dxa"/>
          <w:right w:w="70" w:type="dxa"/>
        </w:tblCellMar>
        <w:tblLook w:val="04A0" w:firstRow="1" w:lastRow="0" w:firstColumn="1" w:lastColumn="0" w:noHBand="0" w:noVBand="1"/>
      </w:tblPr>
      <w:tblGrid>
        <w:gridCol w:w="2694"/>
        <w:gridCol w:w="226"/>
        <w:gridCol w:w="1180"/>
        <w:gridCol w:w="780"/>
        <w:gridCol w:w="860"/>
        <w:gridCol w:w="860"/>
        <w:gridCol w:w="860"/>
      </w:tblGrid>
      <w:tr w:rsidR="002B14DE" w:rsidRPr="00BA08A5" w:rsidTr="002B14DE">
        <w:trPr>
          <w:trHeight w:val="240"/>
        </w:trPr>
        <w:tc>
          <w:tcPr>
            <w:tcW w:w="2694" w:type="dxa"/>
            <w:tcBorders>
              <w:top w:val="nil"/>
              <w:left w:val="nil"/>
              <w:bottom w:val="nil"/>
              <w:right w:val="nil"/>
            </w:tcBorders>
            <w:shd w:val="clear" w:color="000000" w:fill="FFFFFF"/>
            <w:noWrap/>
            <w:vAlign w:val="bottom"/>
            <w:hideMark/>
          </w:tcPr>
          <w:p w:rsidR="002B14DE" w:rsidRPr="00BA08A5" w:rsidRDefault="002B14DE" w:rsidP="002B14DE">
            <w:pPr>
              <w:spacing w:after="0" w:line="240" w:lineRule="auto"/>
              <w:rPr>
                <w:rFonts w:ascii="Tms Rmn" w:eastAsia="Times New Roman" w:hAnsi="Tms Rmn" w:cs="Times New Roman"/>
                <w:sz w:val="18"/>
                <w:szCs w:val="18"/>
                <w:lang w:eastAsia="it-IT"/>
              </w:rPr>
            </w:pPr>
            <w:r w:rsidRPr="00BA08A5">
              <w:rPr>
                <w:rFonts w:ascii="Tms Rmn" w:eastAsia="Times New Roman" w:hAnsi="Tms Rmn" w:cs="Times New Roman"/>
                <w:sz w:val="18"/>
                <w:szCs w:val="18"/>
                <w:lang w:eastAsia="it-IT"/>
              </w:rPr>
              <w:t> </w:t>
            </w:r>
          </w:p>
        </w:tc>
        <w:tc>
          <w:tcPr>
            <w:tcW w:w="226" w:type="dxa"/>
            <w:tcBorders>
              <w:top w:val="nil"/>
              <w:left w:val="nil"/>
              <w:bottom w:val="nil"/>
              <w:right w:val="nil"/>
            </w:tcBorders>
            <w:shd w:val="clear" w:color="000000" w:fill="FFFFFF"/>
            <w:noWrap/>
            <w:vAlign w:val="bottom"/>
            <w:hideMark/>
          </w:tcPr>
          <w:p w:rsidR="002B14DE" w:rsidRPr="00BA08A5" w:rsidRDefault="002B14DE" w:rsidP="002B14DE">
            <w:pPr>
              <w:spacing w:after="0" w:line="240" w:lineRule="auto"/>
              <w:rPr>
                <w:rFonts w:ascii="Tms Rmn" w:eastAsia="Times New Roman" w:hAnsi="Tms Rmn" w:cs="Times New Roman"/>
                <w:sz w:val="18"/>
                <w:szCs w:val="18"/>
                <w:lang w:eastAsia="it-IT"/>
              </w:rPr>
            </w:pPr>
            <w:r w:rsidRPr="00BA08A5">
              <w:rPr>
                <w:rFonts w:ascii="Tms Rmn" w:eastAsia="Times New Roman" w:hAnsi="Tms Rmn" w:cs="Times New Roman"/>
                <w:sz w:val="18"/>
                <w:szCs w:val="18"/>
                <w:lang w:eastAsia="it-IT"/>
              </w:rPr>
              <w:t> </w:t>
            </w:r>
          </w:p>
        </w:tc>
        <w:tc>
          <w:tcPr>
            <w:tcW w:w="1180" w:type="dxa"/>
            <w:tcBorders>
              <w:top w:val="nil"/>
              <w:left w:val="nil"/>
              <w:bottom w:val="nil"/>
              <w:right w:val="nil"/>
            </w:tcBorders>
            <w:shd w:val="clear" w:color="000000" w:fill="FFFFFF"/>
            <w:noWrap/>
            <w:vAlign w:val="bottom"/>
            <w:hideMark/>
          </w:tcPr>
          <w:p w:rsidR="002B14DE" w:rsidRPr="00BA08A5" w:rsidRDefault="002B14DE" w:rsidP="002B14DE">
            <w:pPr>
              <w:spacing w:after="0" w:line="240" w:lineRule="auto"/>
              <w:jc w:val="right"/>
              <w:rPr>
                <w:rFonts w:ascii="Tms Rmn" w:eastAsia="Times New Roman" w:hAnsi="Tms Rmn" w:cs="Times New Roman"/>
                <w:sz w:val="18"/>
                <w:szCs w:val="18"/>
                <w:lang w:eastAsia="it-IT"/>
              </w:rPr>
            </w:pPr>
            <w:r w:rsidRPr="00BA08A5">
              <w:rPr>
                <w:rFonts w:ascii="Tms Rmn" w:eastAsia="Times New Roman" w:hAnsi="Tms Rmn" w:cs="Times New Roman"/>
                <w:sz w:val="18"/>
                <w:szCs w:val="18"/>
                <w:lang w:eastAsia="it-IT"/>
              </w:rPr>
              <w:t>2012</w:t>
            </w:r>
          </w:p>
        </w:tc>
        <w:tc>
          <w:tcPr>
            <w:tcW w:w="780" w:type="dxa"/>
            <w:tcBorders>
              <w:top w:val="nil"/>
              <w:left w:val="nil"/>
              <w:bottom w:val="nil"/>
              <w:right w:val="nil"/>
            </w:tcBorders>
            <w:shd w:val="clear" w:color="000000" w:fill="FFFFFF"/>
            <w:noWrap/>
            <w:vAlign w:val="bottom"/>
            <w:hideMark/>
          </w:tcPr>
          <w:p w:rsidR="002B14DE" w:rsidRPr="00BA08A5" w:rsidRDefault="002B14DE" w:rsidP="002B14DE">
            <w:pPr>
              <w:spacing w:after="0" w:line="240" w:lineRule="auto"/>
              <w:jc w:val="right"/>
              <w:rPr>
                <w:rFonts w:ascii="Tms Rmn" w:eastAsia="Times New Roman" w:hAnsi="Tms Rmn" w:cs="Times New Roman"/>
                <w:sz w:val="18"/>
                <w:szCs w:val="18"/>
                <w:lang w:eastAsia="it-IT"/>
              </w:rPr>
            </w:pPr>
            <w:r w:rsidRPr="00BA08A5">
              <w:rPr>
                <w:rFonts w:ascii="Tms Rmn" w:eastAsia="Times New Roman" w:hAnsi="Tms Rmn" w:cs="Times New Roman"/>
                <w:sz w:val="18"/>
                <w:szCs w:val="18"/>
                <w:lang w:eastAsia="it-IT"/>
              </w:rPr>
              <w:t>2013</w:t>
            </w:r>
          </w:p>
        </w:tc>
        <w:tc>
          <w:tcPr>
            <w:tcW w:w="860" w:type="dxa"/>
            <w:tcBorders>
              <w:top w:val="nil"/>
              <w:left w:val="nil"/>
              <w:bottom w:val="nil"/>
              <w:right w:val="nil"/>
            </w:tcBorders>
            <w:shd w:val="clear" w:color="000000" w:fill="FFFFFF"/>
            <w:noWrap/>
            <w:vAlign w:val="bottom"/>
            <w:hideMark/>
          </w:tcPr>
          <w:p w:rsidR="002B14DE" w:rsidRPr="00BA08A5" w:rsidRDefault="002B14DE" w:rsidP="002B14DE">
            <w:pPr>
              <w:spacing w:after="0" w:line="240" w:lineRule="auto"/>
              <w:jc w:val="right"/>
              <w:rPr>
                <w:rFonts w:ascii="Tms Rmn" w:eastAsia="Times New Roman" w:hAnsi="Tms Rmn" w:cs="Times New Roman"/>
                <w:sz w:val="18"/>
                <w:szCs w:val="18"/>
                <w:lang w:eastAsia="it-IT"/>
              </w:rPr>
            </w:pPr>
            <w:r w:rsidRPr="00BA08A5">
              <w:rPr>
                <w:rFonts w:ascii="Tms Rmn" w:eastAsia="Times New Roman" w:hAnsi="Tms Rmn" w:cs="Times New Roman"/>
                <w:sz w:val="18"/>
                <w:szCs w:val="18"/>
                <w:lang w:eastAsia="it-IT"/>
              </w:rPr>
              <w:t>2014</w:t>
            </w:r>
          </w:p>
        </w:tc>
        <w:tc>
          <w:tcPr>
            <w:tcW w:w="860" w:type="dxa"/>
            <w:tcBorders>
              <w:top w:val="nil"/>
              <w:left w:val="nil"/>
              <w:bottom w:val="nil"/>
              <w:right w:val="nil"/>
            </w:tcBorders>
            <w:shd w:val="clear" w:color="000000" w:fill="FFFFFF"/>
          </w:tcPr>
          <w:p w:rsidR="002B14DE" w:rsidRPr="00BA08A5" w:rsidRDefault="002B14DE" w:rsidP="002B14DE">
            <w:pPr>
              <w:spacing w:after="0" w:line="240" w:lineRule="auto"/>
              <w:jc w:val="right"/>
              <w:rPr>
                <w:rFonts w:ascii="Tms Rmn" w:eastAsia="Times New Roman" w:hAnsi="Tms Rmn" w:cs="Times New Roman"/>
                <w:sz w:val="18"/>
                <w:szCs w:val="18"/>
                <w:lang w:eastAsia="it-IT"/>
              </w:rPr>
            </w:pPr>
            <w:r>
              <w:rPr>
                <w:rFonts w:ascii="Tms Rmn" w:eastAsia="Times New Roman" w:hAnsi="Tms Rmn" w:cs="Times New Roman"/>
                <w:sz w:val="18"/>
                <w:szCs w:val="18"/>
                <w:lang w:eastAsia="it-IT"/>
              </w:rPr>
              <w:t>2015</w:t>
            </w:r>
          </w:p>
        </w:tc>
        <w:tc>
          <w:tcPr>
            <w:tcW w:w="860" w:type="dxa"/>
            <w:tcBorders>
              <w:top w:val="nil"/>
              <w:left w:val="nil"/>
              <w:bottom w:val="nil"/>
              <w:right w:val="nil"/>
            </w:tcBorders>
            <w:shd w:val="clear" w:color="000000" w:fill="FFFFFF"/>
          </w:tcPr>
          <w:p w:rsidR="002B14DE" w:rsidRPr="00BA08A5" w:rsidRDefault="002B14DE" w:rsidP="002B14DE">
            <w:pPr>
              <w:spacing w:after="0" w:line="240" w:lineRule="auto"/>
              <w:jc w:val="right"/>
              <w:rPr>
                <w:rFonts w:ascii="Tms Rmn" w:eastAsia="Times New Roman" w:hAnsi="Tms Rmn" w:cs="Times New Roman"/>
                <w:sz w:val="18"/>
                <w:szCs w:val="18"/>
                <w:lang w:eastAsia="it-IT"/>
              </w:rPr>
            </w:pPr>
            <w:r>
              <w:rPr>
                <w:rFonts w:ascii="Tms Rmn" w:eastAsia="Times New Roman" w:hAnsi="Tms Rmn" w:cs="Times New Roman"/>
                <w:sz w:val="18"/>
                <w:szCs w:val="18"/>
                <w:lang w:eastAsia="it-IT"/>
              </w:rPr>
              <w:t>2016</w:t>
            </w:r>
          </w:p>
        </w:tc>
      </w:tr>
      <w:tr w:rsidR="002B14DE" w:rsidRPr="00BA08A5" w:rsidTr="002B14DE">
        <w:trPr>
          <w:trHeight w:val="255"/>
        </w:trPr>
        <w:tc>
          <w:tcPr>
            <w:tcW w:w="2694" w:type="dxa"/>
            <w:tcBorders>
              <w:top w:val="nil"/>
              <w:left w:val="nil"/>
              <w:bottom w:val="nil"/>
              <w:right w:val="nil"/>
            </w:tcBorders>
            <w:shd w:val="clear" w:color="000000" w:fill="FFFFFF"/>
            <w:noWrap/>
            <w:vAlign w:val="bottom"/>
            <w:hideMark/>
          </w:tcPr>
          <w:p w:rsidR="002B14DE" w:rsidRPr="00BA08A5" w:rsidRDefault="002B14DE" w:rsidP="002B14DE">
            <w:pPr>
              <w:spacing w:after="0" w:line="240" w:lineRule="auto"/>
              <w:rPr>
                <w:rFonts w:ascii="Tms Rmn" w:eastAsia="Times New Roman" w:hAnsi="Tms Rmn" w:cs="Times New Roman"/>
                <w:sz w:val="18"/>
                <w:szCs w:val="18"/>
                <w:lang w:eastAsia="it-IT"/>
              </w:rPr>
            </w:pPr>
            <w:r w:rsidRPr="00BA08A5">
              <w:rPr>
                <w:rFonts w:ascii="Tms Rmn" w:eastAsia="Times New Roman" w:hAnsi="Tms Rmn" w:cs="Times New Roman"/>
                <w:sz w:val="18"/>
                <w:szCs w:val="18"/>
                <w:lang w:eastAsia="it-IT"/>
              </w:rPr>
              <w:t>PRODOTTO</w:t>
            </w:r>
          </w:p>
        </w:tc>
        <w:tc>
          <w:tcPr>
            <w:tcW w:w="226" w:type="dxa"/>
            <w:tcBorders>
              <w:top w:val="nil"/>
              <w:left w:val="nil"/>
              <w:bottom w:val="nil"/>
              <w:right w:val="nil"/>
            </w:tcBorders>
            <w:shd w:val="clear" w:color="000000" w:fill="FFFFFF"/>
            <w:noWrap/>
            <w:vAlign w:val="bottom"/>
            <w:hideMark/>
          </w:tcPr>
          <w:p w:rsidR="002B14DE" w:rsidRPr="00BA08A5" w:rsidRDefault="002B14DE" w:rsidP="002B14DE">
            <w:pPr>
              <w:spacing w:after="0" w:line="240" w:lineRule="auto"/>
              <w:rPr>
                <w:rFonts w:ascii="Tms Rmn" w:eastAsia="Times New Roman" w:hAnsi="Tms Rmn" w:cs="Times New Roman"/>
                <w:sz w:val="18"/>
                <w:szCs w:val="18"/>
                <w:lang w:eastAsia="it-IT"/>
              </w:rPr>
            </w:pPr>
            <w:r w:rsidRPr="00BA08A5">
              <w:rPr>
                <w:rFonts w:ascii="Tms Rmn" w:eastAsia="Times New Roman" w:hAnsi="Tms Rmn" w:cs="Times New Roman"/>
                <w:sz w:val="18"/>
                <w:szCs w:val="18"/>
                <w:lang w:eastAsia="it-IT"/>
              </w:rPr>
              <w:t> </w:t>
            </w:r>
          </w:p>
        </w:tc>
        <w:tc>
          <w:tcPr>
            <w:tcW w:w="1180" w:type="dxa"/>
            <w:tcBorders>
              <w:top w:val="nil"/>
              <w:left w:val="nil"/>
              <w:bottom w:val="nil"/>
              <w:right w:val="nil"/>
            </w:tcBorders>
            <w:shd w:val="clear" w:color="000000" w:fill="FFFFFF"/>
            <w:noWrap/>
            <w:vAlign w:val="bottom"/>
            <w:hideMark/>
          </w:tcPr>
          <w:p w:rsidR="002B14DE" w:rsidRPr="00BA08A5" w:rsidRDefault="002B14DE" w:rsidP="002B14DE">
            <w:pPr>
              <w:spacing w:after="0" w:line="240" w:lineRule="auto"/>
              <w:jc w:val="right"/>
              <w:rPr>
                <w:rFonts w:ascii="Tms Rmn" w:eastAsia="Times New Roman" w:hAnsi="Tms Rmn" w:cs="Times New Roman"/>
                <w:sz w:val="18"/>
                <w:szCs w:val="18"/>
                <w:lang w:eastAsia="it-IT"/>
              </w:rPr>
            </w:pPr>
            <w:r w:rsidRPr="00BA08A5">
              <w:rPr>
                <w:rFonts w:ascii="Tms Rmn" w:eastAsia="Times New Roman" w:hAnsi="Tms Rmn" w:cs="Times New Roman"/>
                <w:sz w:val="18"/>
                <w:szCs w:val="18"/>
                <w:lang w:eastAsia="it-IT"/>
              </w:rPr>
              <w:t>100,0%</w:t>
            </w:r>
          </w:p>
        </w:tc>
        <w:tc>
          <w:tcPr>
            <w:tcW w:w="780" w:type="dxa"/>
            <w:tcBorders>
              <w:top w:val="nil"/>
              <w:left w:val="nil"/>
              <w:bottom w:val="nil"/>
              <w:right w:val="nil"/>
            </w:tcBorders>
            <w:shd w:val="clear" w:color="000000" w:fill="FFFFFF"/>
            <w:noWrap/>
            <w:vAlign w:val="bottom"/>
            <w:hideMark/>
          </w:tcPr>
          <w:p w:rsidR="002B14DE" w:rsidRPr="00BA08A5" w:rsidRDefault="002B14DE" w:rsidP="002B14DE">
            <w:pPr>
              <w:spacing w:after="0" w:line="240" w:lineRule="auto"/>
              <w:jc w:val="right"/>
              <w:rPr>
                <w:rFonts w:ascii="Tms Rmn" w:eastAsia="Times New Roman" w:hAnsi="Tms Rmn" w:cs="Times New Roman"/>
                <w:sz w:val="18"/>
                <w:szCs w:val="18"/>
                <w:lang w:eastAsia="it-IT"/>
              </w:rPr>
            </w:pPr>
            <w:r w:rsidRPr="00BA08A5">
              <w:rPr>
                <w:rFonts w:ascii="Tms Rmn" w:eastAsia="Times New Roman" w:hAnsi="Tms Rmn" w:cs="Times New Roman"/>
                <w:sz w:val="18"/>
                <w:szCs w:val="18"/>
                <w:lang w:eastAsia="it-IT"/>
              </w:rPr>
              <w:t>100,0%</w:t>
            </w:r>
          </w:p>
        </w:tc>
        <w:tc>
          <w:tcPr>
            <w:tcW w:w="860" w:type="dxa"/>
            <w:tcBorders>
              <w:top w:val="nil"/>
              <w:left w:val="nil"/>
              <w:bottom w:val="nil"/>
              <w:right w:val="nil"/>
            </w:tcBorders>
            <w:shd w:val="clear" w:color="000000" w:fill="FFFFFF"/>
            <w:noWrap/>
            <w:vAlign w:val="bottom"/>
            <w:hideMark/>
          </w:tcPr>
          <w:p w:rsidR="002B14DE" w:rsidRPr="00BA08A5" w:rsidRDefault="002B14DE" w:rsidP="002B14DE">
            <w:pPr>
              <w:spacing w:after="0" w:line="240" w:lineRule="auto"/>
              <w:jc w:val="right"/>
              <w:rPr>
                <w:rFonts w:ascii="Tms Rmn" w:eastAsia="Times New Roman" w:hAnsi="Tms Rmn" w:cs="Times New Roman"/>
                <w:sz w:val="20"/>
                <w:szCs w:val="20"/>
                <w:lang w:eastAsia="it-IT"/>
              </w:rPr>
            </w:pPr>
            <w:r w:rsidRPr="00BA08A5">
              <w:rPr>
                <w:rFonts w:ascii="Tms Rmn" w:eastAsia="Times New Roman" w:hAnsi="Tms Rmn" w:cs="Times New Roman"/>
                <w:sz w:val="20"/>
                <w:szCs w:val="20"/>
                <w:lang w:eastAsia="it-IT"/>
              </w:rPr>
              <w:t>100,0%</w:t>
            </w:r>
          </w:p>
        </w:tc>
        <w:tc>
          <w:tcPr>
            <w:tcW w:w="860" w:type="dxa"/>
            <w:tcBorders>
              <w:top w:val="nil"/>
              <w:left w:val="nil"/>
              <w:bottom w:val="nil"/>
              <w:right w:val="nil"/>
            </w:tcBorders>
            <w:shd w:val="clear" w:color="000000" w:fill="FFFFFF"/>
          </w:tcPr>
          <w:p w:rsidR="002B14DE" w:rsidRPr="00BA08A5" w:rsidRDefault="002B14DE" w:rsidP="002B14DE">
            <w:pPr>
              <w:spacing w:after="0" w:line="240" w:lineRule="auto"/>
              <w:jc w:val="right"/>
              <w:rPr>
                <w:rFonts w:ascii="Tms Rmn" w:eastAsia="Times New Roman" w:hAnsi="Tms Rmn" w:cs="Times New Roman"/>
                <w:sz w:val="20"/>
                <w:szCs w:val="20"/>
                <w:lang w:eastAsia="it-IT"/>
              </w:rPr>
            </w:pPr>
            <w:r>
              <w:rPr>
                <w:rFonts w:ascii="Tms Rmn" w:eastAsia="Times New Roman" w:hAnsi="Tms Rmn" w:cs="Times New Roman"/>
                <w:sz w:val="20"/>
                <w:szCs w:val="20"/>
                <w:lang w:eastAsia="it-IT"/>
              </w:rPr>
              <w:t>100,0%</w:t>
            </w:r>
          </w:p>
        </w:tc>
        <w:tc>
          <w:tcPr>
            <w:tcW w:w="860" w:type="dxa"/>
            <w:tcBorders>
              <w:top w:val="nil"/>
              <w:left w:val="nil"/>
              <w:bottom w:val="nil"/>
              <w:right w:val="nil"/>
            </w:tcBorders>
            <w:shd w:val="clear" w:color="000000" w:fill="FFFFFF"/>
          </w:tcPr>
          <w:p w:rsidR="002B14DE" w:rsidRPr="00BA08A5" w:rsidRDefault="002B14DE" w:rsidP="002B14DE">
            <w:pPr>
              <w:spacing w:after="0" w:line="240" w:lineRule="auto"/>
              <w:jc w:val="right"/>
              <w:rPr>
                <w:rFonts w:ascii="Tms Rmn" w:eastAsia="Times New Roman" w:hAnsi="Tms Rmn" w:cs="Times New Roman"/>
                <w:sz w:val="20"/>
                <w:szCs w:val="20"/>
                <w:lang w:eastAsia="it-IT"/>
              </w:rPr>
            </w:pPr>
            <w:r>
              <w:rPr>
                <w:rFonts w:ascii="Tms Rmn" w:eastAsia="Times New Roman" w:hAnsi="Tms Rmn" w:cs="Times New Roman"/>
                <w:sz w:val="20"/>
                <w:szCs w:val="20"/>
                <w:lang w:eastAsia="it-IT"/>
              </w:rPr>
              <w:t>100,0%</w:t>
            </w:r>
          </w:p>
        </w:tc>
      </w:tr>
      <w:tr w:rsidR="002B14DE" w:rsidRPr="00BA08A5" w:rsidTr="002B14DE">
        <w:trPr>
          <w:trHeight w:val="255"/>
        </w:trPr>
        <w:tc>
          <w:tcPr>
            <w:tcW w:w="2694" w:type="dxa"/>
            <w:tcBorders>
              <w:top w:val="nil"/>
              <w:left w:val="nil"/>
              <w:bottom w:val="nil"/>
              <w:right w:val="nil"/>
            </w:tcBorders>
            <w:shd w:val="clear" w:color="000000" w:fill="FFFFFF"/>
            <w:noWrap/>
            <w:vAlign w:val="bottom"/>
            <w:hideMark/>
          </w:tcPr>
          <w:p w:rsidR="002B14DE" w:rsidRPr="00BA08A5" w:rsidRDefault="002B14DE" w:rsidP="002B14DE">
            <w:pPr>
              <w:spacing w:after="0" w:line="240" w:lineRule="auto"/>
              <w:rPr>
                <w:rFonts w:ascii="Tms Rmn" w:eastAsia="Times New Roman" w:hAnsi="Tms Rmn" w:cs="Times New Roman"/>
                <w:sz w:val="18"/>
                <w:szCs w:val="18"/>
                <w:lang w:eastAsia="it-IT"/>
              </w:rPr>
            </w:pPr>
            <w:r w:rsidRPr="00BA08A5">
              <w:rPr>
                <w:rFonts w:ascii="Tms Rmn" w:eastAsia="Times New Roman" w:hAnsi="Tms Rmn" w:cs="Times New Roman"/>
                <w:sz w:val="18"/>
                <w:szCs w:val="18"/>
                <w:lang w:eastAsia="it-IT"/>
              </w:rPr>
              <w:t>(</w:t>
            </w:r>
            <w:proofErr w:type="spellStart"/>
            <w:r w:rsidRPr="00BA08A5">
              <w:rPr>
                <w:rFonts w:ascii="Tms Rmn" w:eastAsia="Times New Roman" w:hAnsi="Tms Rmn" w:cs="Times New Roman"/>
                <w:sz w:val="18"/>
                <w:szCs w:val="18"/>
                <w:lang w:eastAsia="it-IT"/>
              </w:rPr>
              <w:t>Mat.prime</w:t>
            </w:r>
            <w:proofErr w:type="spellEnd"/>
            <w:r w:rsidRPr="00BA08A5">
              <w:rPr>
                <w:rFonts w:ascii="Tms Rmn" w:eastAsia="Times New Roman" w:hAnsi="Tms Rmn" w:cs="Times New Roman"/>
                <w:sz w:val="18"/>
                <w:szCs w:val="18"/>
                <w:lang w:eastAsia="it-IT"/>
              </w:rPr>
              <w:t>)</w:t>
            </w:r>
          </w:p>
        </w:tc>
        <w:tc>
          <w:tcPr>
            <w:tcW w:w="226" w:type="dxa"/>
            <w:tcBorders>
              <w:top w:val="nil"/>
              <w:left w:val="nil"/>
              <w:bottom w:val="nil"/>
              <w:right w:val="nil"/>
            </w:tcBorders>
            <w:shd w:val="clear" w:color="000000" w:fill="FFFFFF"/>
            <w:noWrap/>
            <w:vAlign w:val="bottom"/>
            <w:hideMark/>
          </w:tcPr>
          <w:p w:rsidR="002B14DE" w:rsidRPr="00BA08A5" w:rsidRDefault="002B14DE" w:rsidP="002B14DE">
            <w:pPr>
              <w:spacing w:after="0" w:line="240" w:lineRule="auto"/>
              <w:rPr>
                <w:rFonts w:ascii="Tms Rmn" w:eastAsia="Times New Roman" w:hAnsi="Tms Rmn" w:cs="Times New Roman"/>
                <w:sz w:val="18"/>
                <w:szCs w:val="18"/>
                <w:lang w:eastAsia="it-IT"/>
              </w:rPr>
            </w:pPr>
            <w:r w:rsidRPr="00BA08A5">
              <w:rPr>
                <w:rFonts w:ascii="Tms Rmn" w:eastAsia="Times New Roman" w:hAnsi="Tms Rmn" w:cs="Times New Roman"/>
                <w:sz w:val="18"/>
                <w:szCs w:val="18"/>
                <w:lang w:eastAsia="it-IT"/>
              </w:rPr>
              <w:t> </w:t>
            </w:r>
          </w:p>
        </w:tc>
        <w:tc>
          <w:tcPr>
            <w:tcW w:w="1180" w:type="dxa"/>
            <w:tcBorders>
              <w:top w:val="nil"/>
              <w:left w:val="nil"/>
              <w:bottom w:val="nil"/>
              <w:right w:val="nil"/>
            </w:tcBorders>
            <w:shd w:val="clear" w:color="000000" w:fill="FFFFFF"/>
            <w:noWrap/>
            <w:vAlign w:val="bottom"/>
            <w:hideMark/>
          </w:tcPr>
          <w:p w:rsidR="002B14DE" w:rsidRPr="00BA08A5" w:rsidRDefault="002B14DE" w:rsidP="002B14DE">
            <w:pPr>
              <w:spacing w:after="0" w:line="240" w:lineRule="auto"/>
              <w:jc w:val="right"/>
              <w:rPr>
                <w:rFonts w:ascii="Tms Rmn" w:eastAsia="Times New Roman" w:hAnsi="Tms Rmn" w:cs="Times New Roman"/>
                <w:sz w:val="18"/>
                <w:szCs w:val="18"/>
                <w:lang w:eastAsia="it-IT"/>
              </w:rPr>
            </w:pPr>
            <w:r w:rsidRPr="00BA08A5">
              <w:rPr>
                <w:rFonts w:ascii="Tms Rmn" w:eastAsia="Times New Roman" w:hAnsi="Tms Rmn" w:cs="Times New Roman"/>
                <w:sz w:val="18"/>
                <w:szCs w:val="18"/>
                <w:lang w:eastAsia="it-IT"/>
              </w:rPr>
              <w:t>71,8%</w:t>
            </w:r>
          </w:p>
        </w:tc>
        <w:tc>
          <w:tcPr>
            <w:tcW w:w="780" w:type="dxa"/>
            <w:tcBorders>
              <w:top w:val="nil"/>
              <w:left w:val="nil"/>
              <w:bottom w:val="nil"/>
              <w:right w:val="nil"/>
            </w:tcBorders>
            <w:shd w:val="clear" w:color="000000" w:fill="FFFFFF"/>
            <w:noWrap/>
            <w:vAlign w:val="bottom"/>
            <w:hideMark/>
          </w:tcPr>
          <w:p w:rsidR="002B14DE" w:rsidRPr="00BA08A5" w:rsidRDefault="002B14DE" w:rsidP="002B14DE">
            <w:pPr>
              <w:spacing w:after="0" w:line="240" w:lineRule="auto"/>
              <w:jc w:val="right"/>
              <w:rPr>
                <w:rFonts w:ascii="Tms Rmn" w:eastAsia="Times New Roman" w:hAnsi="Tms Rmn" w:cs="Times New Roman"/>
                <w:sz w:val="18"/>
                <w:szCs w:val="18"/>
                <w:lang w:eastAsia="it-IT"/>
              </w:rPr>
            </w:pPr>
            <w:r w:rsidRPr="00BA08A5">
              <w:rPr>
                <w:rFonts w:ascii="Tms Rmn" w:eastAsia="Times New Roman" w:hAnsi="Tms Rmn" w:cs="Times New Roman"/>
                <w:sz w:val="18"/>
                <w:szCs w:val="18"/>
                <w:lang w:eastAsia="it-IT"/>
              </w:rPr>
              <w:t>73,1%</w:t>
            </w:r>
          </w:p>
        </w:tc>
        <w:tc>
          <w:tcPr>
            <w:tcW w:w="860" w:type="dxa"/>
            <w:tcBorders>
              <w:top w:val="nil"/>
              <w:left w:val="nil"/>
              <w:bottom w:val="nil"/>
              <w:right w:val="nil"/>
            </w:tcBorders>
            <w:shd w:val="clear" w:color="000000" w:fill="FFFFFF"/>
            <w:noWrap/>
            <w:vAlign w:val="bottom"/>
            <w:hideMark/>
          </w:tcPr>
          <w:p w:rsidR="002B14DE" w:rsidRPr="00BA08A5" w:rsidRDefault="002B14DE" w:rsidP="002B14DE">
            <w:pPr>
              <w:spacing w:after="0" w:line="240" w:lineRule="auto"/>
              <w:jc w:val="right"/>
              <w:rPr>
                <w:rFonts w:ascii="Tms Rmn" w:eastAsia="Times New Roman" w:hAnsi="Tms Rmn" w:cs="Times New Roman"/>
                <w:sz w:val="20"/>
                <w:szCs w:val="20"/>
                <w:lang w:eastAsia="it-IT"/>
              </w:rPr>
            </w:pPr>
            <w:r w:rsidRPr="00BA08A5">
              <w:rPr>
                <w:rFonts w:ascii="Tms Rmn" w:eastAsia="Times New Roman" w:hAnsi="Tms Rmn" w:cs="Times New Roman"/>
                <w:sz w:val="20"/>
                <w:szCs w:val="20"/>
                <w:lang w:eastAsia="it-IT"/>
              </w:rPr>
              <w:t>70,6%</w:t>
            </w:r>
          </w:p>
        </w:tc>
        <w:tc>
          <w:tcPr>
            <w:tcW w:w="860" w:type="dxa"/>
            <w:tcBorders>
              <w:top w:val="nil"/>
              <w:left w:val="nil"/>
              <w:bottom w:val="nil"/>
              <w:right w:val="nil"/>
            </w:tcBorders>
            <w:shd w:val="clear" w:color="000000" w:fill="FFFFFF"/>
          </w:tcPr>
          <w:p w:rsidR="002B14DE" w:rsidRPr="00BA08A5" w:rsidRDefault="002B14DE" w:rsidP="002B14DE">
            <w:pPr>
              <w:spacing w:after="0" w:line="240" w:lineRule="auto"/>
              <w:jc w:val="right"/>
              <w:rPr>
                <w:rFonts w:ascii="Tms Rmn" w:eastAsia="Times New Roman" w:hAnsi="Tms Rmn" w:cs="Times New Roman"/>
                <w:sz w:val="20"/>
                <w:szCs w:val="20"/>
                <w:lang w:eastAsia="it-IT"/>
              </w:rPr>
            </w:pPr>
            <w:r>
              <w:rPr>
                <w:rFonts w:ascii="Tms Rmn" w:eastAsia="Times New Roman" w:hAnsi="Tms Rmn" w:cs="Times New Roman"/>
                <w:sz w:val="20"/>
                <w:szCs w:val="20"/>
                <w:lang w:eastAsia="it-IT"/>
              </w:rPr>
              <w:t>70,9%</w:t>
            </w:r>
          </w:p>
        </w:tc>
        <w:tc>
          <w:tcPr>
            <w:tcW w:w="860" w:type="dxa"/>
            <w:tcBorders>
              <w:top w:val="nil"/>
              <w:left w:val="nil"/>
              <w:bottom w:val="nil"/>
              <w:right w:val="nil"/>
            </w:tcBorders>
            <w:shd w:val="clear" w:color="000000" w:fill="FFFFFF"/>
          </w:tcPr>
          <w:p w:rsidR="002B14DE" w:rsidRPr="00BA08A5" w:rsidRDefault="002B14DE" w:rsidP="002B14DE">
            <w:pPr>
              <w:spacing w:after="0" w:line="240" w:lineRule="auto"/>
              <w:jc w:val="right"/>
              <w:rPr>
                <w:rFonts w:ascii="Tms Rmn" w:eastAsia="Times New Roman" w:hAnsi="Tms Rmn" w:cs="Times New Roman"/>
                <w:sz w:val="20"/>
                <w:szCs w:val="20"/>
                <w:lang w:eastAsia="it-IT"/>
              </w:rPr>
            </w:pPr>
            <w:r>
              <w:rPr>
                <w:rFonts w:ascii="Tms Rmn" w:eastAsia="Times New Roman" w:hAnsi="Tms Rmn" w:cs="Times New Roman"/>
                <w:sz w:val="20"/>
                <w:szCs w:val="20"/>
                <w:lang w:eastAsia="it-IT"/>
              </w:rPr>
              <w:t>73,0%</w:t>
            </w:r>
          </w:p>
        </w:tc>
      </w:tr>
      <w:tr w:rsidR="002B14DE" w:rsidRPr="00BA08A5" w:rsidTr="002B14DE">
        <w:trPr>
          <w:trHeight w:val="240"/>
        </w:trPr>
        <w:tc>
          <w:tcPr>
            <w:tcW w:w="2694" w:type="dxa"/>
            <w:tcBorders>
              <w:top w:val="nil"/>
              <w:left w:val="nil"/>
              <w:bottom w:val="nil"/>
              <w:right w:val="nil"/>
            </w:tcBorders>
            <w:shd w:val="clear" w:color="000000" w:fill="FFFFFF"/>
            <w:noWrap/>
            <w:vAlign w:val="bottom"/>
            <w:hideMark/>
          </w:tcPr>
          <w:p w:rsidR="002B14DE" w:rsidRPr="00BA08A5" w:rsidRDefault="002B14DE" w:rsidP="002B14DE">
            <w:pPr>
              <w:spacing w:after="0" w:line="240" w:lineRule="auto"/>
              <w:rPr>
                <w:rFonts w:ascii="Tms Rmn" w:eastAsia="Times New Roman" w:hAnsi="Tms Rmn" w:cs="Times New Roman"/>
                <w:sz w:val="18"/>
                <w:szCs w:val="18"/>
                <w:lang w:eastAsia="it-IT"/>
              </w:rPr>
            </w:pPr>
            <w:r w:rsidRPr="00BA08A5">
              <w:rPr>
                <w:rFonts w:ascii="Tms Rmn" w:eastAsia="Times New Roman" w:hAnsi="Tms Rmn" w:cs="Times New Roman"/>
                <w:sz w:val="18"/>
                <w:szCs w:val="18"/>
                <w:lang w:eastAsia="it-IT"/>
              </w:rPr>
              <w:t>(</w:t>
            </w:r>
            <w:proofErr w:type="spellStart"/>
            <w:r w:rsidRPr="00BA08A5">
              <w:rPr>
                <w:rFonts w:ascii="Tms Rmn" w:eastAsia="Times New Roman" w:hAnsi="Tms Rmn" w:cs="Times New Roman"/>
                <w:sz w:val="18"/>
                <w:szCs w:val="18"/>
                <w:lang w:eastAsia="it-IT"/>
              </w:rPr>
              <w:t>Godim</w:t>
            </w:r>
            <w:proofErr w:type="spellEnd"/>
            <w:r w:rsidRPr="00BA08A5">
              <w:rPr>
                <w:rFonts w:ascii="Tms Rmn" w:eastAsia="Times New Roman" w:hAnsi="Tms Rmn" w:cs="Times New Roman"/>
                <w:sz w:val="18"/>
                <w:szCs w:val="18"/>
                <w:lang w:eastAsia="it-IT"/>
              </w:rPr>
              <w:t xml:space="preserve">. </w:t>
            </w:r>
            <w:proofErr w:type="gramStart"/>
            <w:r w:rsidRPr="00BA08A5">
              <w:rPr>
                <w:rFonts w:ascii="Tms Rmn" w:eastAsia="Times New Roman" w:hAnsi="Tms Rmn" w:cs="Times New Roman"/>
                <w:sz w:val="18"/>
                <w:szCs w:val="18"/>
                <w:lang w:eastAsia="it-IT"/>
              </w:rPr>
              <w:t>beni</w:t>
            </w:r>
            <w:proofErr w:type="gramEnd"/>
            <w:r w:rsidRPr="00BA08A5">
              <w:rPr>
                <w:rFonts w:ascii="Tms Rmn" w:eastAsia="Times New Roman" w:hAnsi="Tms Rmn" w:cs="Times New Roman"/>
                <w:sz w:val="18"/>
                <w:szCs w:val="18"/>
                <w:lang w:eastAsia="it-IT"/>
              </w:rPr>
              <w:t xml:space="preserve"> da terzi)</w:t>
            </w:r>
          </w:p>
        </w:tc>
        <w:tc>
          <w:tcPr>
            <w:tcW w:w="226" w:type="dxa"/>
            <w:tcBorders>
              <w:top w:val="nil"/>
              <w:left w:val="nil"/>
              <w:bottom w:val="nil"/>
              <w:right w:val="nil"/>
            </w:tcBorders>
            <w:shd w:val="clear" w:color="000000" w:fill="FFFFFF"/>
            <w:noWrap/>
            <w:vAlign w:val="bottom"/>
            <w:hideMark/>
          </w:tcPr>
          <w:p w:rsidR="002B14DE" w:rsidRPr="00BA08A5" w:rsidRDefault="002B14DE" w:rsidP="002B14DE">
            <w:pPr>
              <w:spacing w:after="0" w:line="240" w:lineRule="auto"/>
              <w:rPr>
                <w:rFonts w:ascii="Tms Rmn" w:eastAsia="Times New Roman" w:hAnsi="Tms Rmn" w:cs="Times New Roman"/>
                <w:sz w:val="18"/>
                <w:szCs w:val="18"/>
                <w:lang w:eastAsia="it-IT"/>
              </w:rPr>
            </w:pPr>
            <w:r w:rsidRPr="00BA08A5">
              <w:rPr>
                <w:rFonts w:ascii="Tms Rmn" w:eastAsia="Times New Roman" w:hAnsi="Tms Rmn" w:cs="Times New Roman"/>
                <w:sz w:val="18"/>
                <w:szCs w:val="18"/>
                <w:lang w:eastAsia="it-IT"/>
              </w:rPr>
              <w:t> </w:t>
            </w:r>
          </w:p>
        </w:tc>
        <w:tc>
          <w:tcPr>
            <w:tcW w:w="1180" w:type="dxa"/>
            <w:tcBorders>
              <w:top w:val="nil"/>
              <w:left w:val="nil"/>
              <w:bottom w:val="nil"/>
              <w:right w:val="nil"/>
            </w:tcBorders>
            <w:shd w:val="clear" w:color="000000" w:fill="FFFFFF"/>
            <w:noWrap/>
            <w:vAlign w:val="bottom"/>
            <w:hideMark/>
          </w:tcPr>
          <w:p w:rsidR="002B14DE" w:rsidRPr="00BA08A5" w:rsidRDefault="002B14DE" w:rsidP="002B14DE">
            <w:pPr>
              <w:spacing w:after="0" w:line="240" w:lineRule="auto"/>
              <w:jc w:val="right"/>
              <w:rPr>
                <w:rFonts w:ascii="Tms Rmn" w:eastAsia="Times New Roman" w:hAnsi="Tms Rmn" w:cs="Times New Roman"/>
                <w:sz w:val="18"/>
                <w:szCs w:val="18"/>
                <w:lang w:eastAsia="it-IT"/>
              </w:rPr>
            </w:pPr>
            <w:r w:rsidRPr="00BA08A5">
              <w:rPr>
                <w:rFonts w:ascii="Tms Rmn" w:eastAsia="Times New Roman" w:hAnsi="Tms Rmn" w:cs="Times New Roman"/>
                <w:sz w:val="18"/>
                <w:szCs w:val="18"/>
                <w:lang w:eastAsia="it-IT"/>
              </w:rPr>
              <w:t>1,2%</w:t>
            </w:r>
          </w:p>
        </w:tc>
        <w:tc>
          <w:tcPr>
            <w:tcW w:w="780" w:type="dxa"/>
            <w:tcBorders>
              <w:top w:val="nil"/>
              <w:left w:val="nil"/>
              <w:bottom w:val="nil"/>
              <w:right w:val="nil"/>
            </w:tcBorders>
            <w:shd w:val="clear" w:color="000000" w:fill="FFFFFF"/>
            <w:noWrap/>
            <w:vAlign w:val="bottom"/>
            <w:hideMark/>
          </w:tcPr>
          <w:p w:rsidR="002B14DE" w:rsidRPr="00BA08A5" w:rsidRDefault="002B14DE" w:rsidP="002B14DE">
            <w:pPr>
              <w:spacing w:after="0" w:line="240" w:lineRule="auto"/>
              <w:jc w:val="right"/>
              <w:rPr>
                <w:rFonts w:ascii="Tms Rmn" w:eastAsia="Times New Roman" w:hAnsi="Tms Rmn" w:cs="Times New Roman"/>
                <w:sz w:val="18"/>
                <w:szCs w:val="18"/>
                <w:lang w:eastAsia="it-IT"/>
              </w:rPr>
            </w:pPr>
            <w:r w:rsidRPr="00BA08A5">
              <w:rPr>
                <w:rFonts w:ascii="Tms Rmn" w:eastAsia="Times New Roman" w:hAnsi="Tms Rmn" w:cs="Times New Roman"/>
                <w:sz w:val="18"/>
                <w:szCs w:val="18"/>
                <w:lang w:eastAsia="it-IT"/>
              </w:rPr>
              <w:t>0,9%</w:t>
            </w:r>
          </w:p>
        </w:tc>
        <w:tc>
          <w:tcPr>
            <w:tcW w:w="860" w:type="dxa"/>
            <w:tcBorders>
              <w:top w:val="nil"/>
              <w:left w:val="nil"/>
              <w:bottom w:val="nil"/>
              <w:right w:val="nil"/>
            </w:tcBorders>
            <w:shd w:val="clear" w:color="000000" w:fill="FFFFFF"/>
            <w:noWrap/>
            <w:vAlign w:val="bottom"/>
            <w:hideMark/>
          </w:tcPr>
          <w:p w:rsidR="002B14DE" w:rsidRPr="00BA08A5" w:rsidRDefault="002B14DE" w:rsidP="002B14DE">
            <w:pPr>
              <w:spacing w:after="0" w:line="240" w:lineRule="auto"/>
              <w:jc w:val="right"/>
              <w:rPr>
                <w:rFonts w:ascii="Tms Rmn" w:eastAsia="Times New Roman" w:hAnsi="Tms Rmn" w:cs="Times New Roman"/>
                <w:sz w:val="18"/>
                <w:szCs w:val="18"/>
                <w:lang w:eastAsia="it-IT"/>
              </w:rPr>
            </w:pPr>
            <w:r w:rsidRPr="00BA08A5">
              <w:rPr>
                <w:rFonts w:ascii="Tms Rmn" w:eastAsia="Times New Roman" w:hAnsi="Tms Rmn" w:cs="Times New Roman"/>
                <w:sz w:val="18"/>
                <w:szCs w:val="18"/>
                <w:lang w:eastAsia="it-IT"/>
              </w:rPr>
              <w:t>1,0%</w:t>
            </w:r>
          </w:p>
        </w:tc>
        <w:tc>
          <w:tcPr>
            <w:tcW w:w="860" w:type="dxa"/>
            <w:tcBorders>
              <w:top w:val="nil"/>
              <w:left w:val="nil"/>
              <w:bottom w:val="nil"/>
              <w:right w:val="nil"/>
            </w:tcBorders>
            <w:shd w:val="clear" w:color="000000" w:fill="FFFFFF"/>
          </w:tcPr>
          <w:p w:rsidR="002B14DE" w:rsidRPr="00BA08A5" w:rsidRDefault="002B14DE" w:rsidP="002B14DE">
            <w:pPr>
              <w:spacing w:after="0" w:line="240" w:lineRule="auto"/>
              <w:jc w:val="right"/>
              <w:rPr>
                <w:rFonts w:ascii="Tms Rmn" w:eastAsia="Times New Roman" w:hAnsi="Tms Rmn" w:cs="Times New Roman"/>
                <w:sz w:val="18"/>
                <w:szCs w:val="18"/>
                <w:lang w:eastAsia="it-IT"/>
              </w:rPr>
            </w:pPr>
            <w:r>
              <w:rPr>
                <w:rFonts w:ascii="Tms Rmn" w:eastAsia="Times New Roman" w:hAnsi="Tms Rmn" w:cs="Times New Roman"/>
                <w:sz w:val="18"/>
                <w:szCs w:val="18"/>
                <w:lang w:eastAsia="it-IT"/>
              </w:rPr>
              <w:t>1,1%</w:t>
            </w:r>
          </w:p>
        </w:tc>
        <w:tc>
          <w:tcPr>
            <w:tcW w:w="860" w:type="dxa"/>
            <w:tcBorders>
              <w:top w:val="nil"/>
              <w:left w:val="nil"/>
              <w:bottom w:val="nil"/>
              <w:right w:val="nil"/>
            </w:tcBorders>
            <w:shd w:val="clear" w:color="000000" w:fill="FFFFFF"/>
          </w:tcPr>
          <w:p w:rsidR="002B14DE" w:rsidRPr="00BA08A5" w:rsidRDefault="002B14DE" w:rsidP="002B14DE">
            <w:pPr>
              <w:spacing w:after="0" w:line="240" w:lineRule="auto"/>
              <w:jc w:val="right"/>
              <w:rPr>
                <w:rFonts w:ascii="Tms Rmn" w:eastAsia="Times New Roman" w:hAnsi="Tms Rmn" w:cs="Times New Roman"/>
                <w:sz w:val="18"/>
                <w:szCs w:val="18"/>
                <w:lang w:eastAsia="it-IT"/>
              </w:rPr>
            </w:pPr>
            <w:r>
              <w:rPr>
                <w:rFonts w:ascii="Tms Rmn" w:eastAsia="Times New Roman" w:hAnsi="Tms Rmn" w:cs="Times New Roman"/>
                <w:sz w:val="18"/>
                <w:szCs w:val="18"/>
                <w:lang w:eastAsia="it-IT"/>
              </w:rPr>
              <w:t>1,1%</w:t>
            </w:r>
          </w:p>
        </w:tc>
      </w:tr>
      <w:tr w:rsidR="002B14DE" w:rsidRPr="00BA08A5" w:rsidTr="002B14DE">
        <w:trPr>
          <w:trHeight w:val="255"/>
        </w:trPr>
        <w:tc>
          <w:tcPr>
            <w:tcW w:w="2694" w:type="dxa"/>
            <w:tcBorders>
              <w:top w:val="nil"/>
              <w:left w:val="nil"/>
              <w:bottom w:val="nil"/>
              <w:right w:val="nil"/>
            </w:tcBorders>
            <w:shd w:val="clear" w:color="000000" w:fill="FFFFFF"/>
            <w:noWrap/>
            <w:vAlign w:val="bottom"/>
            <w:hideMark/>
          </w:tcPr>
          <w:p w:rsidR="002B14DE" w:rsidRPr="00BA08A5" w:rsidRDefault="002B14DE" w:rsidP="002B14DE">
            <w:pPr>
              <w:spacing w:after="0" w:line="240" w:lineRule="auto"/>
              <w:rPr>
                <w:rFonts w:ascii="Tms Rmn" w:eastAsia="Times New Roman" w:hAnsi="Tms Rmn" w:cs="Times New Roman"/>
                <w:sz w:val="18"/>
                <w:szCs w:val="18"/>
                <w:lang w:eastAsia="it-IT"/>
              </w:rPr>
            </w:pPr>
            <w:r w:rsidRPr="00BA08A5">
              <w:rPr>
                <w:rFonts w:ascii="Tms Rmn" w:eastAsia="Times New Roman" w:hAnsi="Tms Rmn" w:cs="Times New Roman"/>
                <w:sz w:val="18"/>
                <w:szCs w:val="18"/>
                <w:lang w:eastAsia="it-IT"/>
              </w:rPr>
              <w:t>CONSUMI PRODUTT.</w:t>
            </w:r>
          </w:p>
        </w:tc>
        <w:tc>
          <w:tcPr>
            <w:tcW w:w="226" w:type="dxa"/>
            <w:tcBorders>
              <w:top w:val="nil"/>
              <w:left w:val="nil"/>
              <w:bottom w:val="nil"/>
              <w:right w:val="nil"/>
            </w:tcBorders>
            <w:shd w:val="clear" w:color="000000" w:fill="FFFFFF"/>
            <w:noWrap/>
            <w:vAlign w:val="bottom"/>
            <w:hideMark/>
          </w:tcPr>
          <w:p w:rsidR="002B14DE" w:rsidRPr="00BA08A5" w:rsidRDefault="002B14DE" w:rsidP="002B14DE">
            <w:pPr>
              <w:spacing w:after="0" w:line="240" w:lineRule="auto"/>
              <w:rPr>
                <w:rFonts w:ascii="Tms Rmn" w:eastAsia="Times New Roman" w:hAnsi="Tms Rmn" w:cs="Times New Roman"/>
                <w:sz w:val="18"/>
                <w:szCs w:val="18"/>
                <w:lang w:eastAsia="it-IT"/>
              </w:rPr>
            </w:pPr>
            <w:r w:rsidRPr="00BA08A5">
              <w:rPr>
                <w:rFonts w:ascii="Tms Rmn" w:eastAsia="Times New Roman" w:hAnsi="Tms Rmn" w:cs="Times New Roman"/>
                <w:sz w:val="18"/>
                <w:szCs w:val="18"/>
                <w:lang w:eastAsia="it-IT"/>
              </w:rPr>
              <w:t> </w:t>
            </w:r>
          </w:p>
        </w:tc>
        <w:tc>
          <w:tcPr>
            <w:tcW w:w="1180" w:type="dxa"/>
            <w:tcBorders>
              <w:top w:val="nil"/>
              <w:left w:val="nil"/>
              <w:bottom w:val="nil"/>
              <w:right w:val="nil"/>
            </w:tcBorders>
            <w:shd w:val="clear" w:color="000000" w:fill="FFFFFF"/>
            <w:noWrap/>
            <w:vAlign w:val="bottom"/>
            <w:hideMark/>
          </w:tcPr>
          <w:p w:rsidR="002B14DE" w:rsidRPr="00BA08A5" w:rsidRDefault="002B14DE" w:rsidP="002B14DE">
            <w:pPr>
              <w:spacing w:after="0" w:line="240" w:lineRule="auto"/>
              <w:jc w:val="right"/>
              <w:rPr>
                <w:rFonts w:ascii="Tms Rmn" w:eastAsia="Times New Roman" w:hAnsi="Tms Rmn" w:cs="Times New Roman"/>
                <w:sz w:val="18"/>
                <w:szCs w:val="18"/>
                <w:lang w:eastAsia="it-IT"/>
              </w:rPr>
            </w:pPr>
            <w:r w:rsidRPr="00BA08A5">
              <w:rPr>
                <w:rFonts w:ascii="Tms Rmn" w:eastAsia="Times New Roman" w:hAnsi="Tms Rmn" w:cs="Times New Roman"/>
                <w:sz w:val="18"/>
                <w:szCs w:val="18"/>
                <w:lang w:eastAsia="it-IT"/>
              </w:rPr>
              <w:t>73,1%</w:t>
            </w:r>
          </w:p>
        </w:tc>
        <w:tc>
          <w:tcPr>
            <w:tcW w:w="780" w:type="dxa"/>
            <w:tcBorders>
              <w:top w:val="nil"/>
              <w:left w:val="nil"/>
              <w:bottom w:val="nil"/>
              <w:right w:val="nil"/>
            </w:tcBorders>
            <w:shd w:val="clear" w:color="000000" w:fill="FFFFFF"/>
            <w:noWrap/>
            <w:vAlign w:val="bottom"/>
            <w:hideMark/>
          </w:tcPr>
          <w:p w:rsidR="002B14DE" w:rsidRPr="00BA08A5" w:rsidRDefault="002B14DE" w:rsidP="002B14DE">
            <w:pPr>
              <w:spacing w:after="0" w:line="240" w:lineRule="auto"/>
              <w:jc w:val="right"/>
              <w:rPr>
                <w:rFonts w:ascii="Tms Rmn" w:eastAsia="Times New Roman" w:hAnsi="Tms Rmn" w:cs="Times New Roman"/>
                <w:sz w:val="18"/>
                <w:szCs w:val="18"/>
                <w:lang w:eastAsia="it-IT"/>
              </w:rPr>
            </w:pPr>
            <w:r w:rsidRPr="00BA08A5">
              <w:rPr>
                <w:rFonts w:ascii="Tms Rmn" w:eastAsia="Times New Roman" w:hAnsi="Tms Rmn" w:cs="Times New Roman"/>
                <w:sz w:val="18"/>
                <w:szCs w:val="18"/>
                <w:lang w:eastAsia="it-IT"/>
              </w:rPr>
              <w:t>74,0%</w:t>
            </w:r>
          </w:p>
        </w:tc>
        <w:tc>
          <w:tcPr>
            <w:tcW w:w="860" w:type="dxa"/>
            <w:tcBorders>
              <w:top w:val="nil"/>
              <w:left w:val="nil"/>
              <w:bottom w:val="nil"/>
              <w:right w:val="nil"/>
            </w:tcBorders>
            <w:shd w:val="clear" w:color="000000" w:fill="FFFFFF"/>
            <w:noWrap/>
            <w:vAlign w:val="bottom"/>
            <w:hideMark/>
          </w:tcPr>
          <w:p w:rsidR="002B14DE" w:rsidRPr="00BA08A5" w:rsidRDefault="002B14DE" w:rsidP="002B14DE">
            <w:pPr>
              <w:spacing w:after="0" w:line="240" w:lineRule="auto"/>
              <w:jc w:val="right"/>
              <w:rPr>
                <w:rFonts w:ascii="Tms Rmn" w:eastAsia="Times New Roman" w:hAnsi="Tms Rmn" w:cs="Times New Roman"/>
                <w:sz w:val="20"/>
                <w:szCs w:val="20"/>
                <w:lang w:eastAsia="it-IT"/>
              </w:rPr>
            </w:pPr>
            <w:r w:rsidRPr="00BA08A5">
              <w:rPr>
                <w:rFonts w:ascii="Tms Rmn" w:eastAsia="Times New Roman" w:hAnsi="Tms Rmn" w:cs="Times New Roman"/>
                <w:sz w:val="20"/>
                <w:szCs w:val="20"/>
                <w:lang w:eastAsia="it-IT"/>
              </w:rPr>
              <w:t>71,6%</w:t>
            </w:r>
          </w:p>
        </w:tc>
        <w:tc>
          <w:tcPr>
            <w:tcW w:w="860" w:type="dxa"/>
            <w:tcBorders>
              <w:top w:val="nil"/>
              <w:left w:val="nil"/>
              <w:bottom w:val="nil"/>
              <w:right w:val="nil"/>
            </w:tcBorders>
            <w:shd w:val="clear" w:color="000000" w:fill="FFFFFF"/>
          </w:tcPr>
          <w:p w:rsidR="002B14DE" w:rsidRPr="00BA08A5" w:rsidRDefault="002B14DE" w:rsidP="002B14DE">
            <w:pPr>
              <w:spacing w:after="0" w:line="240" w:lineRule="auto"/>
              <w:jc w:val="right"/>
              <w:rPr>
                <w:rFonts w:ascii="Tms Rmn" w:eastAsia="Times New Roman" w:hAnsi="Tms Rmn" w:cs="Times New Roman"/>
                <w:sz w:val="20"/>
                <w:szCs w:val="20"/>
                <w:lang w:eastAsia="it-IT"/>
              </w:rPr>
            </w:pPr>
            <w:r>
              <w:rPr>
                <w:rFonts w:ascii="Tms Rmn" w:eastAsia="Times New Roman" w:hAnsi="Tms Rmn" w:cs="Times New Roman"/>
                <w:sz w:val="20"/>
                <w:szCs w:val="20"/>
                <w:lang w:eastAsia="it-IT"/>
              </w:rPr>
              <w:t>72,0%</w:t>
            </w:r>
          </w:p>
        </w:tc>
        <w:tc>
          <w:tcPr>
            <w:tcW w:w="860" w:type="dxa"/>
            <w:tcBorders>
              <w:top w:val="nil"/>
              <w:left w:val="nil"/>
              <w:bottom w:val="nil"/>
              <w:right w:val="nil"/>
            </w:tcBorders>
            <w:shd w:val="clear" w:color="000000" w:fill="FFFFFF"/>
          </w:tcPr>
          <w:p w:rsidR="002B14DE" w:rsidRPr="00BA08A5" w:rsidRDefault="002B14DE" w:rsidP="002B14DE">
            <w:pPr>
              <w:spacing w:after="0" w:line="240" w:lineRule="auto"/>
              <w:jc w:val="right"/>
              <w:rPr>
                <w:rFonts w:ascii="Tms Rmn" w:eastAsia="Times New Roman" w:hAnsi="Tms Rmn" w:cs="Times New Roman"/>
                <w:sz w:val="20"/>
                <w:szCs w:val="20"/>
                <w:lang w:eastAsia="it-IT"/>
              </w:rPr>
            </w:pPr>
            <w:r>
              <w:rPr>
                <w:rFonts w:ascii="Tms Rmn" w:eastAsia="Times New Roman" w:hAnsi="Tms Rmn" w:cs="Times New Roman"/>
                <w:sz w:val="20"/>
                <w:szCs w:val="20"/>
                <w:lang w:eastAsia="it-IT"/>
              </w:rPr>
              <w:t>74,1%</w:t>
            </w:r>
          </w:p>
        </w:tc>
      </w:tr>
      <w:tr w:rsidR="002B14DE" w:rsidRPr="00BA08A5" w:rsidTr="002B14DE">
        <w:trPr>
          <w:trHeight w:val="240"/>
        </w:trPr>
        <w:tc>
          <w:tcPr>
            <w:tcW w:w="2694" w:type="dxa"/>
            <w:tcBorders>
              <w:top w:val="nil"/>
              <w:left w:val="nil"/>
              <w:bottom w:val="nil"/>
              <w:right w:val="nil"/>
            </w:tcBorders>
            <w:shd w:val="clear" w:color="000000" w:fill="FFFFFF"/>
            <w:noWrap/>
            <w:vAlign w:val="bottom"/>
            <w:hideMark/>
          </w:tcPr>
          <w:p w:rsidR="002B14DE" w:rsidRPr="00BA08A5" w:rsidRDefault="002B14DE" w:rsidP="002B14DE">
            <w:pPr>
              <w:spacing w:after="0" w:line="240" w:lineRule="auto"/>
              <w:rPr>
                <w:rFonts w:ascii="Tms Rmn" w:eastAsia="Times New Roman" w:hAnsi="Tms Rmn" w:cs="Times New Roman"/>
                <w:sz w:val="18"/>
                <w:szCs w:val="18"/>
                <w:lang w:eastAsia="it-IT"/>
              </w:rPr>
            </w:pPr>
            <w:r w:rsidRPr="00BA08A5">
              <w:rPr>
                <w:rFonts w:ascii="Tms Rmn" w:eastAsia="Times New Roman" w:hAnsi="Tms Rmn" w:cs="Times New Roman"/>
                <w:sz w:val="18"/>
                <w:szCs w:val="18"/>
                <w:lang w:eastAsia="it-IT"/>
              </w:rPr>
              <w:t>SERVIZI E ONERI DIV:</w:t>
            </w:r>
          </w:p>
        </w:tc>
        <w:tc>
          <w:tcPr>
            <w:tcW w:w="226" w:type="dxa"/>
            <w:tcBorders>
              <w:top w:val="nil"/>
              <w:left w:val="nil"/>
              <w:bottom w:val="nil"/>
              <w:right w:val="nil"/>
            </w:tcBorders>
            <w:shd w:val="clear" w:color="000000" w:fill="FFFFFF"/>
            <w:noWrap/>
            <w:vAlign w:val="bottom"/>
            <w:hideMark/>
          </w:tcPr>
          <w:p w:rsidR="002B14DE" w:rsidRPr="00BA08A5" w:rsidRDefault="002B14DE" w:rsidP="002B14DE">
            <w:pPr>
              <w:spacing w:after="0" w:line="240" w:lineRule="auto"/>
              <w:rPr>
                <w:rFonts w:ascii="Tms Rmn" w:eastAsia="Times New Roman" w:hAnsi="Tms Rmn" w:cs="Times New Roman"/>
                <w:sz w:val="18"/>
                <w:szCs w:val="18"/>
                <w:lang w:eastAsia="it-IT"/>
              </w:rPr>
            </w:pPr>
            <w:r w:rsidRPr="00BA08A5">
              <w:rPr>
                <w:rFonts w:ascii="Tms Rmn" w:eastAsia="Times New Roman" w:hAnsi="Tms Rmn" w:cs="Times New Roman"/>
                <w:sz w:val="18"/>
                <w:szCs w:val="18"/>
                <w:lang w:eastAsia="it-IT"/>
              </w:rPr>
              <w:t> </w:t>
            </w:r>
          </w:p>
        </w:tc>
        <w:tc>
          <w:tcPr>
            <w:tcW w:w="1180" w:type="dxa"/>
            <w:tcBorders>
              <w:top w:val="nil"/>
              <w:left w:val="nil"/>
              <w:bottom w:val="nil"/>
              <w:right w:val="nil"/>
            </w:tcBorders>
            <w:shd w:val="clear" w:color="000000" w:fill="FFFFFF"/>
            <w:noWrap/>
            <w:vAlign w:val="bottom"/>
            <w:hideMark/>
          </w:tcPr>
          <w:p w:rsidR="002B14DE" w:rsidRPr="00BA08A5" w:rsidRDefault="002B14DE" w:rsidP="002B14DE">
            <w:pPr>
              <w:spacing w:after="0" w:line="240" w:lineRule="auto"/>
              <w:jc w:val="right"/>
              <w:rPr>
                <w:rFonts w:ascii="Tms Rmn" w:eastAsia="Times New Roman" w:hAnsi="Tms Rmn" w:cs="Times New Roman"/>
                <w:sz w:val="18"/>
                <w:szCs w:val="18"/>
                <w:lang w:eastAsia="it-IT"/>
              </w:rPr>
            </w:pPr>
            <w:r w:rsidRPr="00BA08A5">
              <w:rPr>
                <w:rFonts w:ascii="Tms Rmn" w:eastAsia="Times New Roman" w:hAnsi="Tms Rmn" w:cs="Times New Roman"/>
                <w:sz w:val="18"/>
                <w:szCs w:val="18"/>
                <w:lang w:eastAsia="it-IT"/>
              </w:rPr>
              <w:t>13,3%</w:t>
            </w:r>
          </w:p>
        </w:tc>
        <w:tc>
          <w:tcPr>
            <w:tcW w:w="780" w:type="dxa"/>
            <w:tcBorders>
              <w:top w:val="nil"/>
              <w:left w:val="nil"/>
              <w:bottom w:val="nil"/>
              <w:right w:val="nil"/>
            </w:tcBorders>
            <w:shd w:val="clear" w:color="000000" w:fill="FFFFFF"/>
            <w:noWrap/>
            <w:vAlign w:val="bottom"/>
            <w:hideMark/>
          </w:tcPr>
          <w:p w:rsidR="002B14DE" w:rsidRPr="00BA08A5" w:rsidRDefault="002B14DE" w:rsidP="002B14DE">
            <w:pPr>
              <w:spacing w:after="0" w:line="240" w:lineRule="auto"/>
              <w:jc w:val="right"/>
              <w:rPr>
                <w:rFonts w:ascii="Tms Rmn" w:eastAsia="Times New Roman" w:hAnsi="Tms Rmn" w:cs="Times New Roman"/>
                <w:sz w:val="18"/>
                <w:szCs w:val="18"/>
                <w:lang w:eastAsia="it-IT"/>
              </w:rPr>
            </w:pPr>
            <w:r w:rsidRPr="00BA08A5">
              <w:rPr>
                <w:rFonts w:ascii="Tms Rmn" w:eastAsia="Times New Roman" w:hAnsi="Tms Rmn" w:cs="Times New Roman"/>
                <w:sz w:val="18"/>
                <w:szCs w:val="18"/>
                <w:lang w:eastAsia="it-IT"/>
              </w:rPr>
              <w:t>13,2%</w:t>
            </w:r>
          </w:p>
        </w:tc>
        <w:tc>
          <w:tcPr>
            <w:tcW w:w="860" w:type="dxa"/>
            <w:tcBorders>
              <w:top w:val="nil"/>
              <w:left w:val="nil"/>
              <w:bottom w:val="nil"/>
              <w:right w:val="nil"/>
            </w:tcBorders>
            <w:shd w:val="clear" w:color="000000" w:fill="FFFFFF"/>
            <w:noWrap/>
            <w:vAlign w:val="bottom"/>
            <w:hideMark/>
          </w:tcPr>
          <w:p w:rsidR="002B14DE" w:rsidRPr="00BA08A5" w:rsidRDefault="002B14DE" w:rsidP="002B14DE">
            <w:pPr>
              <w:spacing w:after="0" w:line="240" w:lineRule="auto"/>
              <w:jc w:val="right"/>
              <w:rPr>
                <w:rFonts w:ascii="Tms Rmn" w:eastAsia="Times New Roman" w:hAnsi="Tms Rmn" w:cs="Times New Roman"/>
                <w:sz w:val="18"/>
                <w:szCs w:val="18"/>
                <w:lang w:eastAsia="it-IT"/>
              </w:rPr>
            </w:pPr>
            <w:r w:rsidRPr="00BA08A5">
              <w:rPr>
                <w:rFonts w:ascii="Tms Rmn" w:eastAsia="Times New Roman" w:hAnsi="Tms Rmn" w:cs="Times New Roman"/>
                <w:sz w:val="18"/>
                <w:szCs w:val="18"/>
                <w:lang w:eastAsia="it-IT"/>
              </w:rPr>
              <w:t>14,5%</w:t>
            </w:r>
          </w:p>
        </w:tc>
        <w:tc>
          <w:tcPr>
            <w:tcW w:w="860" w:type="dxa"/>
            <w:tcBorders>
              <w:top w:val="nil"/>
              <w:left w:val="nil"/>
              <w:bottom w:val="nil"/>
              <w:right w:val="nil"/>
            </w:tcBorders>
            <w:shd w:val="clear" w:color="000000" w:fill="FFFFFF"/>
          </w:tcPr>
          <w:p w:rsidR="002B14DE" w:rsidRPr="00BA08A5" w:rsidRDefault="002B14DE" w:rsidP="002B14DE">
            <w:pPr>
              <w:spacing w:after="0" w:line="240" w:lineRule="auto"/>
              <w:jc w:val="right"/>
              <w:rPr>
                <w:rFonts w:ascii="Tms Rmn" w:eastAsia="Times New Roman" w:hAnsi="Tms Rmn" w:cs="Times New Roman"/>
                <w:sz w:val="18"/>
                <w:szCs w:val="18"/>
                <w:lang w:eastAsia="it-IT"/>
              </w:rPr>
            </w:pPr>
            <w:r>
              <w:rPr>
                <w:rFonts w:ascii="Tms Rmn" w:eastAsia="Times New Roman" w:hAnsi="Tms Rmn" w:cs="Times New Roman"/>
                <w:sz w:val="18"/>
                <w:szCs w:val="18"/>
                <w:lang w:eastAsia="it-IT"/>
              </w:rPr>
              <w:t>14,9%</w:t>
            </w:r>
          </w:p>
        </w:tc>
        <w:tc>
          <w:tcPr>
            <w:tcW w:w="860" w:type="dxa"/>
            <w:tcBorders>
              <w:top w:val="nil"/>
              <w:left w:val="nil"/>
              <w:bottom w:val="nil"/>
              <w:right w:val="nil"/>
            </w:tcBorders>
            <w:shd w:val="clear" w:color="000000" w:fill="FFFFFF"/>
          </w:tcPr>
          <w:p w:rsidR="002B14DE" w:rsidRPr="00BA08A5" w:rsidRDefault="002B14DE" w:rsidP="002B14DE">
            <w:pPr>
              <w:spacing w:after="0" w:line="240" w:lineRule="auto"/>
              <w:jc w:val="right"/>
              <w:rPr>
                <w:rFonts w:ascii="Tms Rmn" w:eastAsia="Times New Roman" w:hAnsi="Tms Rmn" w:cs="Times New Roman"/>
                <w:sz w:val="18"/>
                <w:szCs w:val="18"/>
                <w:lang w:eastAsia="it-IT"/>
              </w:rPr>
            </w:pPr>
            <w:r>
              <w:rPr>
                <w:rFonts w:ascii="Tms Rmn" w:eastAsia="Times New Roman" w:hAnsi="Tms Rmn" w:cs="Times New Roman"/>
                <w:sz w:val="18"/>
                <w:szCs w:val="18"/>
                <w:lang w:eastAsia="it-IT"/>
              </w:rPr>
              <w:t>14,7%</w:t>
            </w:r>
          </w:p>
        </w:tc>
      </w:tr>
      <w:tr w:rsidR="002B14DE" w:rsidRPr="00BA08A5" w:rsidTr="002B14DE">
        <w:trPr>
          <w:trHeight w:val="255"/>
        </w:trPr>
        <w:tc>
          <w:tcPr>
            <w:tcW w:w="2694" w:type="dxa"/>
            <w:tcBorders>
              <w:top w:val="nil"/>
              <w:left w:val="nil"/>
              <w:bottom w:val="nil"/>
              <w:right w:val="nil"/>
            </w:tcBorders>
            <w:shd w:val="clear" w:color="000000" w:fill="FFFFFF"/>
            <w:noWrap/>
            <w:vAlign w:val="bottom"/>
            <w:hideMark/>
          </w:tcPr>
          <w:p w:rsidR="002B14DE" w:rsidRPr="00BA08A5" w:rsidRDefault="002B14DE" w:rsidP="002B14DE">
            <w:pPr>
              <w:spacing w:after="0" w:line="240" w:lineRule="auto"/>
              <w:rPr>
                <w:rFonts w:ascii="Tms Rmn" w:eastAsia="Times New Roman" w:hAnsi="Tms Rmn" w:cs="Times New Roman"/>
                <w:sz w:val="18"/>
                <w:szCs w:val="18"/>
                <w:lang w:eastAsia="it-IT"/>
              </w:rPr>
            </w:pPr>
            <w:r w:rsidRPr="00BA08A5">
              <w:rPr>
                <w:rFonts w:ascii="Tms Rmn" w:eastAsia="Times New Roman" w:hAnsi="Tms Rmn" w:cs="Times New Roman"/>
                <w:sz w:val="18"/>
                <w:szCs w:val="18"/>
                <w:lang w:eastAsia="it-IT"/>
              </w:rPr>
              <w:t>VALORE AGGIUNTO</w:t>
            </w:r>
          </w:p>
        </w:tc>
        <w:tc>
          <w:tcPr>
            <w:tcW w:w="226" w:type="dxa"/>
            <w:tcBorders>
              <w:top w:val="nil"/>
              <w:left w:val="nil"/>
              <w:bottom w:val="nil"/>
              <w:right w:val="nil"/>
            </w:tcBorders>
            <w:shd w:val="clear" w:color="000000" w:fill="FFFFFF"/>
            <w:noWrap/>
            <w:vAlign w:val="bottom"/>
            <w:hideMark/>
          </w:tcPr>
          <w:p w:rsidR="002B14DE" w:rsidRPr="00BA08A5" w:rsidRDefault="002B14DE" w:rsidP="002B14DE">
            <w:pPr>
              <w:spacing w:after="0" w:line="240" w:lineRule="auto"/>
              <w:rPr>
                <w:rFonts w:ascii="Tms Rmn" w:eastAsia="Times New Roman" w:hAnsi="Tms Rmn" w:cs="Times New Roman"/>
                <w:sz w:val="18"/>
                <w:szCs w:val="18"/>
                <w:lang w:eastAsia="it-IT"/>
              </w:rPr>
            </w:pPr>
            <w:r w:rsidRPr="00BA08A5">
              <w:rPr>
                <w:rFonts w:ascii="Tms Rmn" w:eastAsia="Times New Roman" w:hAnsi="Tms Rmn" w:cs="Times New Roman"/>
                <w:sz w:val="18"/>
                <w:szCs w:val="18"/>
                <w:lang w:eastAsia="it-IT"/>
              </w:rPr>
              <w:t> </w:t>
            </w:r>
          </w:p>
        </w:tc>
        <w:tc>
          <w:tcPr>
            <w:tcW w:w="1180" w:type="dxa"/>
            <w:tcBorders>
              <w:top w:val="nil"/>
              <w:left w:val="nil"/>
              <w:bottom w:val="nil"/>
              <w:right w:val="nil"/>
            </w:tcBorders>
            <w:shd w:val="clear" w:color="000000" w:fill="FFFFFF"/>
            <w:noWrap/>
            <w:vAlign w:val="bottom"/>
            <w:hideMark/>
          </w:tcPr>
          <w:p w:rsidR="002B14DE" w:rsidRPr="00BA08A5" w:rsidRDefault="002B14DE" w:rsidP="002B14DE">
            <w:pPr>
              <w:spacing w:after="0" w:line="240" w:lineRule="auto"/>
              <w:jc w:val="right"/>
              <w:rPr>
                <w:rFonts w:ascii="Tms Rmn" w:eastAsia="Times New Roman" w:hAnsi="Tms Rmn" w:cs="Times New Roman"/>
                <w:sz w:val="18"/>
                <w:szCs w:val="18"/>
                <w:lang w:eastAsia="it-IT"/>
              </w:rPr>
            </w:pPr>
            <w:r w:rsidRPr="00BA08A5">
              <w:rPr>
                <w:rFonts w:ascii="Tms Rmn" w:eastAsia="Times New Roman" w:hAnsi="Tms Rmn" w:cs="Times New Roman"/>
                <w:sz w:val="18"/>
                <w:szCs w:val="18"/>
                <w:lang w:eastAsia="it-IT"/>
              </w:rPr>
              <w:t>13,7%</w:t>
            </w:r>
          </w:p>
        </w:tc>
        <w:tc>
          <w:tcPr>
            <w:tcW w:w="780" w:type="dxa"/>
            <w:tcBorders>
              <w:top w:val="nil"/>
              <w:left w:val="nil"/>
              <w:bottom w:val="nil"/>
              <w:right w:val="nil"/>
            </w:tcBorders>
            <w:shd w:val="clear" w:color="000000" w:fill="FFFFFF"/>
            <w:noWrap/>
            <w:vAlign w:val="bottom"/>
            <w:hideMark/>
          </w:tcPr>
          <w:p w:rsidR="002B14DE" w:rsidRPr="00BA08A5" w:rsidRDefault="002B14DE" w:rsidP="002B14DE">
            <w:pPr>
              <w:spacing w:after="0" w:line="240" w:lineRule="auto"/>
              <w:jc w:val="right"/>
              <w:rPr>
                <w:rFonts w:ascii="Tms Rmn" w:eastAsia="Times New Roman" w:hAnsi="Tms Rmn" w:cs="Times New Roman"/>
                <w:sz w:val="18"/>
                <w:szCs w:val="18"/>
                <w:lang w:eastAsia="it-IT"/>
              </w:rPr>
            </w:pPr>
            <w:r w:rsidRPr="00BA08A5">
              <w:rPr>
                <w:rFonts w:ascii="Tms Rmn" w:eastAsia="Times New Roman" w:hAnsi="Tms Rmn" w:cs="Times New Roman"/>
                <w:sz w:val="18"/>
                <w:szCs w:val="18"/>
                <w:lang w:eastAsia="it-IT"/>
              </w:rPr>
              <w:t>12,8%</w:t>
            </w:r>
          </w:p>
        </w:tc>
        <w:tc>
          <w:tcPr>
            <w:tcW w:w="860" w:type="dxa"/>
            <w:tcBorders>
              <w:top w:val="nil"/>
              <w:left w:val="nil"/>
              <w:bottom w:val="nil"/>
              <w:right w:val="nil"/>
            </w:tcBorders>
            <w:shd w:val="clear" w:color="000000" w:fill="FFFFFF"/>
            <w:noWrap/>
            <w:vAlign w:val="bottom"/>
            <w:hideMark/>
          </w:tcPr>
          <w:p w:rsidR="002B14DE" w:rsidRPr="00BA08A5" w:rsidRDefault="002B14DE" w:rsidP="002B14DE">
            <w:pPr>
              <w:spacing w:after="0" w:line="240" w:lineRule="auto"/>
              <w:jc w:val="right"/>
              <w:rPr>
                <w:rFonts w:ascii="Tms Rmn" w:eastAsia="Times New Roman" w:hAnsi="Tms Rmn" w:cs="Times New Roman"/>
                <w:sz w:val="20"/>
                <w:szCs w:val="20"/>
                <w:lang w:eastAsia="it-IT"/>
              </w:rPr>
            </w:pPr>
            <w:r w:rsidRPr="00BA08A5">
              <w:rPr>
                <w:rFonts w:ascii="Tms Rmn" w:eastAsia="Times New Roman" w:hAnsi="Tms Rmn" w:cs="Times New Roman"/>
                <w:sz w:val="20"/>
                <w:szCs w:val="20"/>
                <w:lang w:eastAsia="it-IT"/>
              </w:rPr>
              <w:t>13,8%</w:t>
            </w:r>
          </w:p>
        </w:tc>
        <w:tc>
          <w:tcPr>
            <w:tcW w:w="860" w:type="dxa"/>
            <w:tcBorders>
              <w:top w:val="nil"/>
              <w:left w:val="nil"/>
              <w:bottom w:val="nil"/>
              <w:right w:val="nil"/>
            </w:tcBorders>
            <w:shd w:val="clear" w:color="000000" w:fill="FFFFFF"/>
          </w:tcPr>
          <w:p w:rsidR="002B14DE" w:rsidRPr="00BA08A5" w:rsidRDefault="002B14DE" w:rsidP="002B14DE">
            <w:pPr>
              <w:spacing w:after="0" w:line="240" w:lineRule="auto"/>
              <w:jc w:val="right"/>
              <w:rPr>
                <w:rFonts w:ascii="Tms Rmn" w:eastAsia="Times New Roman" w:hAnsi="Tms Rmn" w:cs="Times New Roman"/>
                <w:sz w:val="20"/>
                <w:szCs w:val="20"/>
                <w:lang w:eastAsia="it-IT"/>
              </w:rPr>
            </w:pPr>
            <w:r>
              <w:rPr>
                <w:rFonts w:ascii="Tms Rmn" w:eastAsia="Times New Roman" w:hAnsi="Tms Rmn" w:cs="Times New Roman"/>
                <w:sz w:val="20"/>
                <w:szCs w:val="20"/>
                <w:lang w:eastAsia="it-IT"/>
              </w:rPr>
              <w:t>13,1%</w:t>
            </w:r>
          </w:p>
        </w:tc>
        <w:tc>
          <w:tcPr>
            <w:tcW w:w="860" w:type="dxa"/>
            <w:tcBorders>
              <w:top w:val="nil"/>
              <w:left w:val="nil"/>
              <w:bottom w:val="nil"/>
              <w:right w:val="nil"/>
            </w:tcBorders>
            <w:shd w:val="clear" w:color="000000" w:fill="FFFFFF"/>
          </w:tcPr>
          <w:p w:rsidR="002B14DE" w:rsidRPr="00BA08A5" w:rsidRDefault="002B14DE" w:rsidP="002B14DE">
            <w:pPr>
              <w:spacing w:after="0" w:line="240" w:lineRule="auto"/>
              <w:jc w:val="right"/>
              <w:rPr>
                <w:rFonts w:ascii="Tms Rmn" w:eastAsia="Times New Roman" w:hAnsi="Tms Rmn" w:cs="Times New Roman"/>
                <w:sz w:val="20"/>
                <w:szCs w:val="20"/>
                <w:lang w:eastAsia="it-IT"/>
              </w:rPr>
            </w:pPr>
            <w:r>
              <w:rPr>
                <w:rFonts w:ascii="Tms Rmn" w:eastAsia="Times New Roman" w:hAnsi="Tms Rmn" w:cs="Times New Roman"/>
                <w:sz w:val="20"/>
                <w:szCs w:val="20"/>
                <w:lang w:eastAsia="it-IT"/>
              </w:rPr>
              <w:t>11,2%</w:t>
            </w:r>
          </w:p>
        </w:tc>
      </w:tr>
      <w:tr w:rsidR="002B14DE" w:rsidRPr="00BA08A5" w:rsidTr="002B14DE">
        <w:trPr>
          <w:trHeight w:val="255"/>
        </w:trPr>
        <w:tc>
          <w:tcPr>
            <w:tcW w:w="2694" w:type="dxa"/>
            <w:tcBorders>
              <w:top w:val="nil"/>
              <w:left w:val="nil"/>
              <w:bottom w:val="nil"/>
              <w:right w:val="nil"/>
            </w:tcBorders>
            <w:shd w:val="clear" w:color="000000" w:fill="FFFFFF"/>
            <w:noWrap/>
            <w:vAlign w:val="bottom"/>
            <w:hideMark/>
          </w:tcPr>
          <w:p w:rsidR="002B14DE" w:rsidRPr="00BA08A5" w:rsidRDefault="002B14DE" w:rsidP="002B14DE">
            <w:pPr>
              <w:spacing w:after="0" w:line="240" w:lineRule="auto"/>
              <w:rPr>
                <w:rFonts w:ascii="Tms Rmn" w:eastAsia="Times New Roman" w:hAnsi="Tms Rmn" w:cs="Times New Roman"/>
                <w:sz w:val="18"/>
                <w:szCs w:val="18"/>
                <w:lang w:eastAsia="it-IT"/>
              </w:rPr>
            </w:pPr>
            <w:proofErr w:type="spellStart"/>
            <w:r w:rsidRPr="00BA08A5">
              <w:rPr>
                <w:rFonts w:ascii="Tms Rmn" w:eastAsia="Times New Roman" w:hAnsi="Tms Rmn" w:cs="Times New Roman"/>
                <w:sz w:val="18"/>
                <w:szCs w:val="18"/>
                <w:lang w:eastAsia="it-IT"/>
              </w:rPr>
              <w:t>Gest.straord</w:t>
            </w:r>
            <w:proofErr w:type="spellEnd"/>
            <w:r w:rsidRPr="00BA08A5">
              <w:rPr>
                <w:rFonts w:ascii="Tms Rmn" w:eastAsia="Times New Roman" w:hAnsi="Tms Rmn" w:cs="Times New Roman"/>
                <w:sz w:val="18"/>
                <w:szCs w:val="18"/>
                <w:lang w:eastAsia="it-IT"/>
              </w:rPr>
              <w:t>.</w:t>
            </w:r>
          </w:p>
        </w:tc>
        <w:tc>
          <w:tcPr>
            <w:tcW w:w="226" w:type="dxa"/>
            <w:tcBorders>
              <w:top w:val="nil"/>
              <w:left w:val="nil"/>
              <w:bottom w:val="nil"/>
              <w:right w:val="nil"/>
            </w:tcBorders>
            <w:shd w:val="clear" w:color="000000" w:fill="FFFFFF"/>
            <w:noWrap/>
            <w:vAlign w:val="bottom"/>
            <w:hideMark/>
          </w:tcPr>
          <w:p w:rsidR="002B14DE" w:rsidRPr="00BA08A5" w:rsidRDefault="002B14DE" w:rsidP="002B14DE">
            <w:pPr>
              <w:spacing w:after="0" w:line="240" w:lineRule="auto"/>
              <w:rPr>
                <w:rFonts w:ascii="Tms Rmn" w:eastAsia="Times New Roman" w:hAnsi="Tms Rmn" w:cs="Times New Roman"/>
                <w:sz w:val="18"/>
                <w:szCs w:val="18"/>
                <w:lang w:eastAsia="it-IT"/>
              </w:rPr>
            </w:pPr>
            <w:r w:rsidRPr="00BA08A5">
              <w:rPr>
                <w:rFonts w:ascii="Tms Rmn" w:eastAsia="Times New Roman" w:hAnsi="Tms Rmn" w:cs="Times New Roman"/>
                <w:sz w:val="18"/>
                <w:szCs w:val="18"/>
                <w:lang w:eastAsia="it-IT"/>
              </w:rPr>
              <w:t> </w:t>
            </w:r>
          </w:p>
        </w:tc>
        <w:tc>
          <w:tcPr>
            <w:tcW w:w="1180" w:type="dxa"/>
            <w:tcBorders>
              <w:top w:val="nil"/>
              <w:left w:val="nil"/>
              <w:bottom w:val="nil"/>
              <w:right w:val="nil"/>
            </w:tcBorders>
            <w:shd w:val="clear" w:color="000000" w:fill="FFFFFF"/>
            <w:noWrap/>
            <w:vAlign w:val="bottom"/>
            <w:hideMark/>
          </w:tcPr>
          <w:p w:rsidR="002B14DE" w:rsidRPr="00BA08A5" w:rsidRDefault="002B14DE" w:rsidP="002B14DE">
            <w:pPr>
              <w:spacing w:after="0" w:line="240" w:lineRule="auto"/>
              <w:jc w:val="right"/>
              <w:rPr>
                <w:rFonts w:ascii="Tms Rmn" w:eastAsia="Times New Roman" w:hAnsi="Tms Rmn" w:cs="Times New Roman"/>
                <w:sz w:val="18"/>
                <w:szCs w:val="18"/>
                <w:lang w:eastAsia="it-IT"/>
              </w:rPr>
            </w:pPr>
            <w:r w:rsidRPr="00BA08A5">
              <w:rPr>
                <w:rFonts w:ascii="Tms Rmn" w:eastAsia="Times New Roman" w:hAnsi="Tms Rmn" w:cs="Times New Roman"/>
                <w:sz w:val="18"/>
                <w:szCs w:val="18"/>
                <w:lang w:eastAsia="it-IT"/>
              </w:rPr>
              <w:t>0,6%</w:t>
            </w:r>
          </w:p>
        </w:tc>
        <w:tc>
          <w:tcPr>
            <w:tcW w:w="780" w:type="dxa"/>
            <w:tcBorders>
              <w:top w:val="nil"/>
              <w:left w:val="nil"/>
              <w:bottom w:val="nil"/>
              <w:right w:val="nil"/>
            </w:tcBorders>
            <w:shd w:val="clear" w:color="000000" w:fill="FFFFFF"/>
            <w:noWrap/>
            <w:vAlign w:val="bottom"/>
            <w:hideMark/>
          </w:tcPr>
          <w:p w:rsidR="002B14DE" w:rsidRPr="00BA08A5" w:rsidRDefault="002B14DE" w:rsidP="002B14DE">
            <w:pPr>
              <w:spacing w:after="0" w:line="240" w:lineRule="auto"/>
              <w:jc w:val="right"/>
              <w:rPr>
                <w:rFonts w:ascii="Tms Rmn" w:eastAsia="Times New Roman" w:hAnsi="Tms Rmn" w:cs="Times New Roman"/>
                <w:sz w:val="18"/>
                <w:szCs w:val="18"/>
                <w:lang w:eastAsia="it-IT"/>
              </w:rPr>
            </w:pPr>
            <w:r w:rsidRPr="00BA08A5">
              <w:rPr>
                <w:rFonts w:ascii="Tms Rmn" w:eastAsia="Times New Roman" w:hAnsi="Tms Rmn" w:cs="Times New Roman"/>
                <w:sz w:val="18"/>
                <w:szCs w:val="18"/>
                <w:lang w:eastAsia="it-IT"/>
              </w:rPr>
              <w:t>1,0%</w:t>
            </w:r>
          </w:p>
        </w:tc>
        <w:tc>
          <w:tcPr>
            <w:tcW w:w="860" w:type="dxa"/>
            <w:tcBorders>
              <w:top w:val="nil"/>
              <w:left w:val="nil"/>
              <w:bottom w:val="nil"/>
              <w:right w:val="nil"/>
            </w:tcBorders>
            <w:shd w:val="clear" w:color="000000" w:fill="FFFFFF"/>
            <w:noWrap/>
            <w:vAlign w:val="bottom"/>
            <w:hideMark/>
          </w:tcPr>
          <w:p w:rsidR="002B14DE" w:rsidRPr="00BA08A5" w:rsidRDefault="002B14DE" w:rsidP="002B14DE">
            <w:pPr>
              <w:spacing w:after="0" w:line="240" w:lineRule="auto"/>
              <w:jc w:val="right"/>
              <w:rPr>
                <w:rFonts w:ascii="Tms Rmn" w:eastAsia="Times New Roman" w:hAnsi="Tms Rmn" w:cs="Times New Roman"/>
                <w:sz w:val="20"/>
                <w:szCs w:val="20"/>
                <w:lang w:eastAsia="it-IT"/>
              </w:rPr>
            </w:pPr>
            <w:r w:rsidRPr="00BA08A5">
              <w:rPr>
                <w:rFonts w:ascii="Tms Rmn" w:eastAsia="Times New Roman" w:hAnsi="Tms Rmn" w:cs="Times New Roman"/>
                <w:sz w:val="20"/>
                <w:szCs w:val="20"/>
                <w:lang w:eastAsia="it-IT"/>
              </w:rPr>
              <w:t>0,4%</w:t>
            </w:r>
          </w:p>
        </w:tc>
        <w:tc>
          <w:tcPr>
            <w:tcW w:w="860" w:type="dxa"/>
            <w:tcBorders>
              <w:top w:val="nil"/>
              <w:left w:val="nil"/>
              <w:bottom w:val="nil"/>
              <w:right w:val="nil"/>
            </w:tcBorders>
            <w:shd w:val="clear" w:color="000000" w:fill="FFFFFF"/>
          </w:tcPr>
          <w:p w:rsidR="002B14DE" w:rsidRPr="00BA08A5" w:rsidRDefault="002B14DE" w:rsidP="002B14DE">
            <w:pPr>
              <w:spacing w:after="0" w:line="240" w:lineRule="auto"/>
              <w:jc w:val="right"/>
              <w:rPr>
                <w:rFonts w:ascii="Tms Rmn" w:eastAsia="Times New Roman" w:hAnsi="Tms Rmn" w:cs="Times New Roman"/>
                <w:sz w:val="20"/>
                <w:szCs w:val="20"/>
                <w:lang w:eastAsia="it-IT"/>
              </w:rPr>
            </w:pPr>
            <w:r>
              <w:rPr>
                <w:rFonts w:ascii="Tms Rmn" w:eastAsia="Times New Roman" w:hAnsi="Tms Rmn" w:cs="Times New Roman"/>
                <w:sz w:val="20"/>
                <w:szCs w:val="20"/>
                <w:lang w:eastAsia="it-IT"/>
              </w:rPr>
              <w:t>1,6%</w:t>
            </w:r>
          </w:p>
        </w:tc>
        <w:tc>
          <w:tcPr>
            <w:tcW w:w="860" w:type="dxa"/>
            <w:tcBorders>
              <w:top w:val="nil"/>
              <w:left w:val="nil"/>
              <w:bottom w:val="nil"/>
              <w:right w:val="nil"/>
            </w:tcBorders>
            <w:shd w:val="clear" w:color="000000" w:fill="FFFFFF"/>
          </w:tcPr>
          <w:p w:rsidR="002B14DE" w:rsidRPr="00BA08A5" w:rsidRDefault="002B14DE" w:rsidP="002B14DE">
            <w:pPr>
              <w:spacing w:after="0" w:line="240" w:lineRule="auto"/>
              <w:jc w:val="right"/>
              <w:rPr>
                <w:rFonts w:ascii="Tms Rmn" w:eastAsia="Times New Roman" w:hAnsi="Tms Rmn" w:cs="Times New Roman"/>
                <w:sz w:val="20"/>
                <w:szCs w:val="20"/>
                <w:lang w:eastAsia="it-IT"/>
              </w:rPr>
            </w:pPr>
            <w:r>
              <w:rPr>
                <w:rFonts w:ascii="Tms Rmn" w:eastAsia="Times New Roman" w:hAnsi="Tms Rmn" w:cs="Times New Roman"/>
                <w:sz w:val="20"/>
                <w:szCs w:val="20"/>
                <w:lang w:eastAsia="it-IT"/>
              </w:rPr>
              <w:t>2,3%</w:t>
            </w:r>
          </w:p>
        </w:tc>
      </w:tr>
      <w:tr w:rsidR="002B14DE" w:rsidRPr="00BA08A5" w:rsidTr="002B14DE">
        <w:trPr>
          <w:trHeight w:val="240"/>
        </w:trPr>
        <w:tc>
          <w:tcPr>
            <w:tcW w:w="2694" w:type="dxa"/>
            <w:tcBorders>
              <w:top w:val="nil"/>
              <w:left w:val="nil"/>
              <w:bottom w:val="nil"/>
              <w:right w:val="nil"/>
            </w:tcBorders>
            <w:shd w:val="clear" w:color="000000" w:fill="FFFFFF"/>
            <w:noWrap/>
            <w:vAlign w:val="bottom"/>
            <w:hideMark/>
          </w:tcPr>
          <w:p w:rsidR="002B14DE" w:rsidRPr="00BA08A5" w:rsidRDefault="002B14DE" w:rsidP="002B14DE">
            <w:pPr>
              <w:spacing w:after="0" w:line="240" w:lineRule="auto"/>
              <w:rPr>
                <w:rFonts w:ascii="Tms Rmn" w:eastAsia="Times New Roman" w:hAnsi="Tms Rmn" w:cs="Times New Roman"/>
                <w:sz w:val="18"/>
                <w:szCs w:val="18"/>
                <w:lang w:eastAsia="it-IT"/>
              </w:rPr>
            </w:pPr>
            <w:r w:rsidRPr="00BA08A5">
              <w:rPr>
                <w:rFonts w:ascii="Tms Rmn" w:eastAsia="Times New Roman" w:hAnsi="Tms Rmn" w:cs="Times New Roman"/>
                <w:sz w:val="18"/>
                <w:szCs w:val="18"/>
                <w:lang w:eastAsia="it-IT"/>
              </w:rPr>
              <w:t>V. A. DISTRIB.</w:t>
            </w:r>
          </w:p>
        </w:tc>
        <w:tc>
          <w:tcPr>
            <w:tcW w:w="226" w:type="dxa"/>
            <w:tcBorders>
              <w:top w:val="nil"/>
              <w:left w:val="nil"/>
              <w:bottom w:val="nil"/>
              <w:right w:val="nil"/>
            </w:tcBorders>
            <w:shd w:val="clear" w:color="000000" w:fill="FFFFFF"/>
            <w:noWrap/>
            <w:vAlign w:val="bottom"/>
            <w:hideMark/>
          </w:tcPr>
          <w:p w:rsidR="002B14DE" w:rsidRPr="00BA08A5" w:rsidRDefault="002B14DE" w:rsidP="002B14DE">
            <w:pPr>
              <w:spacing w:after="0" w:line="240" w:lineRule="auto"/>
              <w:rPr>
                <w:rFonts w:ascii="Tms Rmn" w:eastAsia="Times New Roman" w:hAnsi="Tms Rmn" w:cs="Times New Roman"/>
                <w:sz w:val="18"/>
                <w:szCs w:val="18"/>
                <w:lang w:eastAsia="it-IT"/>
              </w:rPr>
            </w:pPr>
            <w:r w:rsidRPr="00BA08A5">
              <w:rPr>
                <w:rFonts w:ascii="Tms Rmn" w:eastAsia="Times New Roman" w:hAnsi="Tms Rmn" w:cs="Times New Roman"/>
                <w:sz w:val="18"/>
                <w:szCs w:val="18"/>
                <w:lang w:eastAsia="it-IT"/>
              </w:rPr>
              <w:t> </w:t>
            </w:r>
          </w:p>
        </w:tc>
        <w:tc>
          <w:tcPr>
            <w:tcW w:w="1180" w:type="dxa"/>
            <w:tcBorders>
              <w:top w:val="nil"/>
              <w:left w:val="nil"/>
              <w:bottom w:val="nil"/>
              <w:right w:val="nil"/>
            </w:tcBorders>
            <w:shd w:val="clear" w:color="000000" w:fill="FFFFFF"/>
            <w:noWrap/>
            <w:vAlign w:val="bottom"/>
            <w:hideMark/>
          </w:tcPr>
          <w:p w:rsidR="002B14DE" w:rsidRPr="00BA08A5" w:rsidRDefault="002B14DE" w:rsidP="002B14DE">
            <w:pPr>
              <w:spacing w:after="0" w:line="240" w:lineRule="auto"/>
              <w:jc w:val="right"/>
              <w:rPr>
                <w:rFonts w:ascii="Tms Rmn" w:eastAsia="Times New Roman" w:hAnsi="Tms Rmn" w:cs="Times New Roman"/>
                <w:sz w:val="18"/>
                <w:szCs w:val="18"/>
                <w:lang w:eastAsia="it-IT"/>
              </w:rPr>
            </w:pPr>
            <w:r w:rsidRPr="00BA08A5">
              <w:rPr>
                <w:rFonts w:ascii="Tms Rmn" w:eastAsia="Times New Roman" w:hAnsi="Tms Rmn" w:cs="Times New Roman"/>
                <w:sz w:val="18"/>
                <w:szCs w:val="18"/>
                <w:lang w:eastAsia="it-IT"/>
              </w:rPr>
              <w:t>14,2%</w:t>
            </w:r>
          </w:p>
        </w:tc>
        <w:tc>
          <w:tcPr>
            <w:tcW w:w="780" w:type="dxa"/>
            <w:tcBorders>
              <w:top w:val="nil"/>
              <w:left w:val="nil"/>
              <w:bottom w:val="nil"/>
              <w:right w:val="nil"/>
            </w:tcBorders>
            <w:shd w:val="clear" w:color="000000" w:fill="FFFFFF"/>
            <w:noWrap/>
            <w:vAlign w:val="bottom"/>
            <w:hideMark/>
          </w:tcPr>
          <w:p w:rsidR="002B14DE" w:rsidRPr="00BA08A5" w:rsidRDefault="002B14DE" w:rsidP="002B14DE">
            <w:pPr>
              <w:spacing w:after="0" w:line="240" w:lineRule="auto"/>
              <w:jc w:val="right"/>
              <w:rPr>
                <w:rFonts w:ascii="Tms Rmn" w:eastAsia="Times New Roman" w:hAnsi="Tms Rmn" w:cs="Times New Roman"/>
                <w:sz w:val="18"/>
                <w:szCs w:val="18"/>
                <w:lang w:eastAsia="it-IT"/>
              </w:rPr>
            </w:pPr>
            <w:r w:rsidRPr="00BA08A5">
              <w:rPr>
                <w:rFonts w:ascii="Tms Rmn" w:eastAsia="Times New Roman" w:hAnsi="Tms Rmn" w:cs="Times New Roman"/>
                <w:sz w:val="18"/>
                <w:szCs w:val="18"/>
                <w:lang w:eastAsia="it-IT"/>
              </w:rPr>
              <w:t>13,7%</w:t>
            </w:r>
          </w:p>
        </w:tc>
        <w:tc>
          <w:tcPr>
            <w:tcW w:w="860" w:type="dxa"/>
            <w:tcBorders>
              <w:top w:val="nil"/>
              <w:left w:val="nil"/>
              <w:bottom w:val="nil"/>
              <w:right w:val="nil"/>
            </w:tcBorders>
            <w:shd w:val="clear" w:color="000000" w:fill="FFFFFF"/>
            <w:noWrap/>
            <w:vAlign w:val="bottom"/>
            <w:hideMark/>
          </w:tcPr>
          <w:p w:rsidR="002B14DE" w:rsidRPr="00BA08A5" w:rsidRDefault="002B14DE" w:rsidP="002B14DE">
            <w:pPr>
              <w:spacing w:after="0" w:line="240" w:lineRule="auto"/>
              <w:jc w:val="right"/>
              <w:rPr>
                <w:rFonts w:ascii="Tms Rmn" w:eastAsia="Times New Roman" w:hAnsi="Tms Rmn" w:cs="Times New Roman"/>
                <w:sz w:val="18"/>
                <w:szCs w:val="18"/>
                <w:lang w:eastAsia="it-IT"/>
              </w:rPr>
            </w:pPr>
            <w:r w:rsidRPr="00BA08A5">
              <w:rPr>
                <w:rFonts w:ascii="Tms Rmn" w:eastAsia="Times New Roman" w:hAnsi="Tms Rmn" w:cs="Times New Roman"/>
                <w:sz w:val="18"/>
                <w:szCs w:val="18"/>
                <w:lang w:eastAsia="it-IT"/>
              </w:rPr>
              <w:t>14,3%</w:t>
            </w:r>
          </w:p>
        </w:tc>
        <w:tc>
          <w:tcPr>
            <w:tcW w:w="860" w:type="dxa"/>
            <w:tcBorders>
              <w:top w:val="nil"/>
              <w:left w:val="nil"/>
              <w:bottom w:val="nil"/>
              <w:right w:val="nil"/>
            </w:tcBorders>
            <w:shd w:val="clear" w:color="000000" w:fill="FFFFFF"/>
          </w:tcPr>
          <w:p w:rsidR="002B14DE" w:rsidRPr="00BA08A5" w:rsidRDefault="002B14DE" w:rsidP="002B14DE">
            <w:pPr>
              <w:spacing w:after="0" w:line="240" w:lineRule="auto"/>
              <w:jc w:val="right"/>
              <w:rPr>
                <w:rFonts w:ascii="Tms Rmn" w:eastAsia="Times New Roman" w:hAnsi="Tms Rmn" w:cs="Times New Roman"/>
                <w:sz w:val="18"/>
                <w:szCs w:val="18"/>
                <w:lang w:eastAsia="it-IT"/>
              </w:rPr>
            </w:pPr>
            <w:r>
              <w:rPr>
                <w:rFonts w:ascii="Tms Rmn" w:eastAsia="Times New Roman" w:hAnsi="Tms Rmn" w:cs="Times New Roman"/>
                <w:sz w:val="18"/>
                <w:szCs w:val="18"/>
                <w:lang w:eastAsia="it-IT"/>
              </w:rPr>
              <w:t>14,7%</w:t>
            </w:r>
          </w:p>
        </w:tc>
        <w:tc>
          <w:tcPr>
            <w:tcW w:w="860" w:type="dxa"/>
            <w:tcBorders>
              <w:top w:val="nil"/>
              <w:left w:val="nil"/>
              <w:bottom w:val="nil"/>
              <w:right w:val="nil"/>
            </w:tcBorders>
            <w:shd w:val="clear" w:color="000000" w:fill="FFFFFF"/>
          </w:tcPr>
          <w:p w:rsidR="002B14DE" w:rsidRPr="00BA08A5" w:rsidRDefault="002B14DE" w:rsidP="002B14DE">
            <w:pPr>
              <w:spacing w:after="0" w:line="240" w:lineRule="auto"/>
              <w:jc w:val="right"/>
              <w:rPr>
                <w:rFonts w:ascii="Tms Rmn" w:eastAsia="Times New Roman" w:hAnsi="Tms Rmn" w:cs="Times New Roman"/>
                <w:sz w:val="18"/>
                <w:szCs w:val="18"/>
                <w:lang w:eastAsia="it-IT"/>
              </w:rPr>
            </w:pPr>
            <w:r>
              <w:rPr>
                <w:rFonts w:ascii="Tms Rmn" w:eastAsia="Times New Roman" w:hAnsi="Tms Rmn" w:cs="Times New Roman"/>
                <w:sz w:val="18"/>
                <w:szCs w:val="18"/>
                <w:lang w:eastAsia="it-IT"/>
              </w:rPr>
              <w:t>13,6%</w:t>
            </w:r>
          </w:p>
        </w:tc>
      </w:tr>
    </w:tbl>
    <w:p w:rsidR="002B14DE" w:rsidRDefault="002B14DE" w:rsidP="002B14DE">
      <w:pPr>
        <w:jc w:val="both"/>
      </w:pPr>
    </w:p>
    <w:p w:rsidR="002B14DE" w:rsidRDefault="002B14DE" w:rsidP="002B14DE">
      <w:pPr>
        <w:jc w:val="both"/>
      </w:pPr>
      <w:r>
        <w:t>A questo punto possiamo vedere come i distribuisce il valore aggiunto. Il costo del lavoro mediamente assorbe il 60% del valore aggiunto, con valori più elevati negli anni di relativa difficoltà (65,7% nel 2012) e valori più bassi quando la domanda è più sostenuta (2013: 58,2%); negli ultimi anni la riduzione del ritmo di crescita del settore fa sì che la quota del lavoro tenda a salire, fino al 67,4% del 2016. La quota di valore aggiunto destinata al sistema bancario e finanziario, ancora del 9,3% nel 2013, si è ridotta drasticamente quando (in situazione di crescita della domanda internazionale) i tassi di interesse hanno cominciato a convergere verso lo zero (2014: 3,2%), ma si è poi stabilizzata intorno al 5%. La quota dello Stato (via l’imposizione fiscale) è rimasta fra il 7,1% (2016) e poco più del 10% (2013 e 2014, quando la performance del settore è stata migliore). La quota residua destinata ai profitti lordi (o accumulazione interna) è prima passata dal 17,4% (2012) a valori intorno al 24% (2013 e 2014) per poi ridursi al 20,5%. All’interno di questa, la voce più mobile è costituita dai profitti netti, la cui quota si alza con la congiuntura favorevole (dal 6,5% del 2012 al 14,7% del 2013 e al 13,7% del 2014) per poi ripiegare al 10% del 2016.</w:t>
      </w:r>
    </w:p>
    <w:p w:rsidR="002B14DE" w:rsidRDefault="002B14DE" w:rsidP="002B14DE">
      <w:pPr>
        <w:jc w:val="both"/>
      </w:pPr>
    </w:p>
    <w:tbl>
      <w:tblPr>
        <w:tblW w:w="7460" w:type="dxa"/>
        <w:tblCellMar>
          <w:left w:w="70" w:type="dxa"/>
          <w:right w:w="70" w:type="dxa"/>
        </w:tblCellMar>
        <w:tblLook w:val="04A0" w:firstRow="1" w:lastRow="0" w:firstColumn="1" w:lastColumn="0" w:noHBand="0" w:noVBand="1"/>
      </w:tblPr>
      <w:tblGrid>
        <w:gridCol w:w="2694"/>
        <w:gridCol w:w="226"/>
        <w:gridCol w:w="1180"/>
        <w:gridCol w:w="780"/>
        <w:gridCol w:w="860"/>
        <w:gridCol w:w="860"/>
        <w:gridCol w:w="860"/>
      </w:tblGrid>
      <w:tr w:rsidR="002B14DE" w:rsidRPr="00834B08" w:rsidTr="002B14DE">
        <w:trPr>
          <w:trHeight w:val="240"/>
        </w:trPr>
        <w:tc>
          <w:tcPr>
            <w:tcW w:w="2694" w:type="dxa"/>
            <w:tcBorders>
              <w:top w:val="single" w:sz="4" w:space="0" w:color="auto"/>
              <w:left w:val="nil"/>
              <w:bottom w:val="single" w:sz="4" w:space="0" w:color="auto"/>
              <w:right w:val="nil"/>
            </w:tcBorders>
            <w:shd w:val="clear" w:color="auto" w:fill="auto"/>
            <w:noWrap/>
            <w:vAlign w:val="bottom"/>
          </w:tcPr>
          <w:p w:rsidR="002B14DE" w:rsidRPr="00834B08" w:rsidRDefault="002B14DE" w:rsidP="002B14DE">
            <w:pPr>
              <w:spacing w:after="0" w:line="240" w:lineRule="auto"/>
              <w:rPr>
                <w:rFonts w:ascii="Tms Rmn" w:eastAsia="Times New Roman" w:hAnsi="Tms Rmn" w:cs="Times New Roman"/>
                <w:sz w:val="18"/>
                <w:szCs w:val="18"/>
                <w:lang w:eastAsia="it-IT"/>
              </w:rPr>
            </w:pPr>
          </w:p>
        </w:tc>
        <w:tc>
          <w:tcPr>
            <w:tcW w:w="226" w:type="dxa"/>
            <w:tcBorders>
              <w:top w:val="single" w:sz="4" w:space="0" w:color="auto"/>
              <w:left w:val="nil"/>
              <w:bottom w:val="single" w:sz="4" w:space="0" w:color="auto"/>
              <w:right w:val="nil"/>
            </w:tcBorders>
            <w:shd w:val="clear" w:color="auto" w:fill="auto"/>
            <w:noWrap/>
            <w:vAlign w:val="bottom"/>
          </w:tcPr>
          <w:p w:rsidR="002B14DE" w:rsidRPr="00834B08" w:rsidRDefault="002B14DE" w:rsidP="002B14DE">
            <w:pPr>
              <w:spacing w:after="0" w:line="240" w:lineRule="auto"/>
              <w:rPr>
                <w:rFonts w:ascii="Tms Rmn" w:eastAsia="Times New Roman" w:hAnsi="Tms Rmn" w:cs="Times New Roman"/>
                <w:sz w:val="18"/>
                <w:szCs w:val="18"/>
                <w:lang w:eastAsia="it-IT"/>
              </w:rPr>
            </w:pPr>
          </w:p>
        </w:tc>
        <w:tc>
          <w:tcPr>
            <w:tcW w:w="1180" w:type="dxa"/>
            <w:tcBorders>
              <w:top w:val="single" w:sz="4" w:space="0" w:color="auto"/>
              <w:left w:val="nil"/>
              <w:bottom w:val="single" w:sz="4" w:space="0" w:color="auto"/>
              <w:right w:val="nil"/>
            </w:tcBorders>
            <w:shd w:val="clear" w:color="auto" w:fill="auto"/>
            <w:noWrap/>
            <w:vAlign w:val="bottom"/>
          </w:tcPr>
          <w:p w:rsidR="002B14DE" w:rsidRPr="00BA08A5" w:rsidRDefault="002B14DE" w:rsidP="002B14DE">
            <w:pPr>
              <w:spacing w:after="0" w:line="240" w:lineRule="auto"/>
              <w:jc w:val="right"/>
              <w:rPr>
                <w:rFonts w:ascii="Tms Rmn" w:eastAsia="Times New Roman" w:hAnsi="Tms Rmn" w:cs="Times New Roman"/>
                <w:sz w:val="18"/>
                <w:szCs w:val="18"/>
                <w:lang w:eastAsia="it-IT"/>
              </w:rPr>
            </w:pPr>
            <w:r w:rsidRPr="00BA08A5">
              <w:rPr>
                <w:rFonts w:ascii="Tms Rmn" w:eastAsia="Times New Roman" w:hAnsi="Tms Rmn" w:cs="Times New Roman"/>
                <w:sz w:val="18"/>
                <w:szCs w:val="18"/>
                <w:lang w:eastAsia="it-IT"/>
              </w:rPr>
              <w:t>2012</w:t>
            </w:r>
          </w:p>
        </w:tc>
        <w:tc>
          <w:tcPr>
            <w:tcW w:w="780" w:type="dxa"/>
            <w:tcBorders>
              <w:top w:val="single" w:sz="4" w:space="0" w:color="auto"/>
              <w:left w:val="nil"/>
              <w:bottom w:val="single" w:sz="4" w:space="0" w:color="auto"/>
              <w:right w:val="nil"/>
            </w:tcBorders>
            <w:shd w:val="clear" w:color="auto" w:fill="auto"/>
            <w:noWrap/>
            <w:vAlign w:val="bottom"/>
          </w:tcPr>
          <w:p w:rsidR="002B14DE" w:rsidRPr="00BA08A5" w:rsidRDefault="002B14DE" w:rsidP="002B14DE">
            <w:pPr>
              <w:spacing w:after="0" w:line="240" w:lineRule="auto"/>
              <w:jc w:val="right"/>
              <w:rPr>
                <w:rFonts w:ascii="Tms Rmn" w:eastAsia="Times New Roman" w:hAnsi="Tms Rmn" w:cs="Times New Roman"/>
                <w:sz w:val="18"/>
                <w:szCs w:val="18"/>
                <w:lang w:eastAsia="it-IT"/>
              </w:rPr>
            </w:pPr>
            <w:r w:rsidRPr="00BA08A5">
              <w:rPr>
                <w:rFonts w:ascii="Tms Rmn" w:eastAsia="Times New Roman" w:hAnsi="Tms Rmn" w:cs="Times New Roman"/>
                <w:sz w:val="18"/>
                <w:szCs w:val="18"/>
                <w:lang w:eastAsia="it-IT"/>
              </w:rPr>
              <w:t>2013</w:t>
            </w:r>
          </w:p>
        </w:tc>
        <w:tc>
          <w:tcPr>
            <w:tcW w:w="860" w:type="dxa"/>
            <w:tcBorders>
              <w:top w:val="single" w:sz="4" w:space="0" w:color="auto"/>
              <w:left w:val="nil"/>
              <w:bottom w:val="single" w:sz="4" w:space="0" w:color="auto"/>
              <w:right w:val="nil"/>
            </w:tcBorders>
            <w:shd w:val="clear" w:color="auto" w:fill="auto"/>
            <w:noWrap/>
            <w:vAlign w:val="bottom"/>
          </w:tcPr>
          <w:p w:rsidR="002B14DE" w:rsidRPr="00BA08A5" w:rsidRDefault="002B14DE" w:rsidP="002B14DE">
            <w:pPr>
              <w:spacing w:after="0" w:line="240" w:lineRule="auto"/>
              <w:jc w:val="right"/>
              <w:rPr>
                <w:rFonts w:ascii="Tms Rmn" w:eastAsia="Times New Roman" w:hAnsi="Tms Rmn" w:cs="Times New Roman"/>
                <w:sz w:val="18"/>
                <w:szCs w:val="18"/>
                <w:lang w:eastAsia="it-IT"/>
              </w:rPr>
            </w:pPr>
            <w:r w:rsidRPr="00BA08A5">
              <w:rPr>
                <w:rFonts w:ascii="Tms Rmn" w:eastAsia="Times New Roman" w:hAnsi="Tms Rmn" w:cs="Times New Roman"/>
                <w:sz w:val="18"/>
                <w:szCs w:val="18"/>
                <w:lang w:eastAsia="it-IT"/>
              </w:rPr>
              <w:t>2014</w:t>
            </w:r>
          </w:p>
        </w:tc>
        <w:tc>
          <w:tcPr>
            <w:tcW w:w="860" w:type="dxa"/>
            <w:tcBorders>
              <w:top w:val="single" w:sz="4" w:space="0" w:color="auto"/>
              <w:left w:val="nil"/>
              <w:bottom w:val="single" w:sz="4" w:space="0" w:color="auto"/>
              <w:right w:val="nil"/>
            </w:tcBorders>
          </w:tcPr>
          <w:p w:rsidR="002B14DE" w:rsidRPr="00BA08A5" w:rsidRDefault="002B14DE" w:rsidP="002B14DE">
            <w:pPr>
              <w:spacing w:after="0" w:line="240" w:lineRule="auto"/>
              <w:jc w:val="right"/>
              <w:rPr>
                <w:rFonts w:ascii="Tms Rmn" w:eastAsia="Times New Roman" w:hAnsi="Tms Rmn" w:cs="Times New Roman"/>
                <w:sz w:val="18"/>
                <w:szCs w:val="18"/>
                <w:lang w:eastAsia="it-IT"/>
              </w:rPr>
            </w:pPr>
            <w:r>
              <w:rPr>
                <w:rFonts w:ascii="Tms Rmn" w:eastAsia="Times New Roman" w:hAnsi="Tms Rmn" w:cs="Times New Roman"/>
                <w:sz w:val="18"/>
                <w:szCs w:val="18"/>
                <w:lang w:eastAsia="it-IT"/>
              </w:rPr>
              <w:t>2015</w:t>
            </w:r>
          </w:p>
        </w:tc>
        <w:tc>
          <w:tcPr>
            <w:tcW w:w="860" w:type="dxa"/>
            <w:tcBorders>
              <w:top w:val="single" w:sz="4" w:space="0" w:color="auto"/>
              <w:left w:val="nil"/>
              <w:bottom w:val="single" w:sz="4" w:space="0" w:color="auto"/>
              <w:right w:val="nil"/>
            </w:tcBorders>
          </w:tcPr>
          <w:p w:rsidR="002B14DE" w:rsidRPr="00BA08A5" w:rsidRDefault="002B14DE" w:rsidP="002B14DE">
            <w:pPr>
              <w:spacing w:after="0" w:line="240" w:lineRule="auto"/>
              <w:jc w:val="right"/>
              <w:rPr>
                <w:rFonts w:ascii="Tms Rmn" w:eastAsia="Times New Roman" w:hAnsi="Tms Rmn" w:cs="Times New Roman"/>
                <w:sz w:val="18"/>
                <w:szCs w:val="18"/>
                <w:lang w:eastAsia="it-IT"/>
              </w:rPr>
            </w:pPr>
            <w:r>
              <w:rPr>
                <w:rFonts w:ascii="Tms Rmn" w:eastAsia="Times New Roman" w:hAnsi="Tms Rmn" w:cs="Times New Roman"/>
                <w:sz w:val="18"/>
                <w:szCs w:val="18"/>
                <w:lang w:eastAsia="it-IT"/>
              </w:rPr>
              <w:t>2016</w:t>
            </w:r>
          </w:p>
        </w:tc>
      </w:tr>
      <w:tr w:rsidR="002B14DE" w:rsidRPr="00834B08" w:rsidTr="002B14DE">
        <w:trPr>
          <w:trHeight w:val="240"/>
        </w:trPr>
        <w:tc>
          <w:tcPr>
            <w:tcW w:w="2694" w:type="dxa"/>
            <w:tcBorders>
              <w:top w:val="single" w:sz="4" w:space="0" w:color="auto"/>
              <w:left w:val="nil"/>
              <w:bottom w:val="nil"/>
              <w:right w:val="nil"/>
            </w:tcBorders>
            <w:shd w:val="clear" w:color="auto" w:fill="auto"/>
            <w:noWrap/>
            <w:vAlign w:val="bottom"/>
            <w:hideMark/>
          </w:tcPr>
          <w:p w:rsidR="002B14DE" w:rsidRPr="00834B08" w:rsidRDefault="002B14DE" w:rsidP="002B14DE">
            <w:pPr>
              <w:spacing w:after="0" w:line="240" w:lineRule="auto"/>
              <w:rPr>
                <w:rFonts w:ascii="Tms Rmn" w:eastAsia="Times New Roman" w:hAnsi="Tms Rmn" w:cs="Times New Roman"/>
                <w:sz w:val="18"/>
                <w:szCs w:val="18"/>
                <w:lang w:eastAsia="it-IT"/>
              </w:rPr>
            </w:pPr>
            <w:r w:rsidRPr="00834B08">
              <w:rPr>
                <w:rFonts w:ascii="Tms Rmn" w:eastAsia="Times New Roman" w:hAnsi="Tms Rmn" w:cs="Times New Roman"/>
                <w:sz w:val="18"/>
                <w:szCs w:val="18"/>
                <w:lang w:eastAsia="it-IT"/>
              </w:rPr>
              <w:t>COSTO DEL LAVORO</w:t>
            </w:r>
          </w:p>
        </w:tc>
        <w:tc>
          <w:tcPr>
            <w:tcW w:w="226" w:type="dxa"/>
            <w:tcBorders>
              <w:top w:val="single" w:sz="4" w:space="0" w:color="auto"/>
              <w:left w:val="nil"/>
              <w:bottom w:val="nil"/>
              <w:right w:val="nil"/>
            </w:tcBorders>
            <w:shd w:val="clear" w:color="auto" w:fill="auto"/>
            <w:noWrap/>
            <w:vAlign w:val="bottom"/>
            <w:hideMark/>
          </w:tcPr>
          <w:p w:rsidR="002B14DE" w:rsidRPr="00834B08" w:rsidRDefault="002B14DE" w:rsidP="002B14DE">
            <w:pPr>
              <w:spacing w:after="0" w:line="240" w:lineRule="auto"/>
              <w:rPr>
                <w:rFonts w:ascii="Tms Rmn" w:eastAsia="Times New Roman" w:hAnsi="Tms Rmn" w:cs="Times New Roman"/>
                <w:sz w:val="18"/>
                <w:szCs w:val="18"/>
                <w:lang w:eastAsia="it-IT"/>
              </w:rPr>
            </w:pPr>
          </w:p>
        </w:tc>
        <w:tc>
          <w:tcPr>
            <w:tcW w:w="1180" w:type="dxa"/>
            <w:tcBorders>
              <w:top w:val="single" w:sz="4" w:space="0" w:color="auto"/>
              <w:left w:val="nil"/>
              <w:bottom w:val="nil"/>
              <w:right w:val="nil"/>
            </w:tcBorders>
            <w:shd w:val="clear" w:color="auto" w:fill="auto"/>
            <w:noWrap/>
            <w:vAlign w:val="bottom"/>
            <w:hideMark/>
          </w:tcPr>
          <w:p w:rsidR="002B14DE" w:rsidRPr="00834B08" w:rsidRDefault="002B14DE" w:rsidP="002B14DE">
            <w:pPr>
              <w:spacing w:after="0" w:line="240" w:lineRule="auto"/>
              <w:jc w:val="right"/>
              <w:rPr>
                <w:rFonts w:ascii="Tms Rmn" w:eastAsia="Times New Roman" w:hAnsi="Tms Rmn" w:cs="Times New Roman"/>
                <w:sz w:val="18"/>
                <w:szCs w:val="18"/>
                <w:lang w:eastAsia="it-IT"/>
              </w:rPr>
            </w:pPr>
            <w:r w:rsidRPr="00834B08">
              <w:rPr>
                <w:rFonts w:ascii="Tms Rmn" w:eastAsia="Times New Roman" w:hAnsi="Tms Rmn" w:cs="Times New Roman"/>
                <w:sz w:val="18"/>
                <w:szCs w:val="18"/>
                <w:lang w:eastAsia="it-IT"/>
              </w:rPr>
              <w:t>65,7%</w:t>
            </w:r>
          </w:p>
        </w:tc>
        <w:tc>
          <w:tcPr>
            <w:tcW w:w="780" w:type="dxa"/>
            <w:tcBorders>
              <w:top w:val="single" w:sz="4" w:space="0" w:color="auto"/>
              <w:left w:val="nil"/>
              <w:bottom w:val="nil"/>
              <w:right w:val="nil"/>
            </w:tcBorders>
            <w:shd w:val="clear" w:color="auto" w:fill="auto"/>
            <w:noWrap/>
            <w:vAlign w:val="bottom"/>
            <w:hideMark/>
          </w:tcPr>
          <w:p w:rsidR="002B14DE" w:rsidRPr="00834B08" w:rsidRDefault="002B14DE" w:rsidP="002B14DE">
            <w:pPr>
              <w:spacing w:after="0" w:line="240" w:lineRule="auto"/>
              <w:jc w:val="right"/>
              <w:rPr>
                <w:rFonts w:ascii="Tms Rmn" w:eastAsia="Times New Roman" w:hAnsi="Tms Rmn" w:cs="Times New Roman"/>
                <w:sz w:val="18"/>
                <w:szCs w:val="18"/>
                <w:lang w:eastAsia="it-IT"/>
              </w:rPr>
            </w:pPr>
            <w:r w:rsidRPr="00834B08">
              <w:rPr>
                <w:rFonts w:ascii="Tms Rmn" w:eastAsia="Times New Roman" w:hAnsi="Tms Rmn" w:cs="Times New Roman"/>
                <w:sz w:val="18"/>
                <w:szCs w:val="18"/>
                <w:lang w:eastAsia="it-IT"/>
              </w:rPr>
              <w:t>58,2%</w:t>
            </w:r>
          </w:p>
        </w:tc>
        <w:tc>
          <w:tcPr>
            <w:tcW w:w="860" w:type="dxa"/>
            <w:tcBorders>
              <w:top w:val="single" w:sz="4" w:space="0" w:color="auto"/>
              <w:left w:val="nil"/>
              <w:bottom w:val="nil"/>
              <w:right w:val="nil"/>
            </w:tcBorders>
            <w:shd w:val="clear" w:color="auto" w:fill="auto"/>
            <w:noWrap/>
            <w:vAlign w:val="bottom"/>
            <w:hideMark/>
          </w:tcPr>
          <w:p w:rsidR="002B14DE" w:rsidRPr="00834B08" w:rsidRDefault="002B14DE" w:rsidP="002B14DE">
            <w:pPr>
              <w:spacing w:after="0" w:line="240" w:lineRule="auto"/>
              <w:jc w:val="right"/>
              <w:rPr>
                <w:rFonts w:ascii="Tms Rmn" w:eastAsia="Times New Roman" w:hAnsi="Tms Rmn" w:cs="Times New Roman"/>
                <w:sz w:val="18"/>
                <w:szCs w:val="18"/>
                <w:lang w:eastAsia="it-IT"/>
              </w:rPr>
            </w:pPr>
            <w:r w:rsidRPr="00834B08">
              <w:rPr>
                <w:rFonts w:ascii="Tms Rmn" w:eastAsia="Times New Roman" w:hAnsi="Tms Rmn" w:cs="Times New Roman"/>
                <w:sz w:val="18"/>
                <w:szCs w:val="18"/>
                <w:lang w:eastAsia="it-IT"/>
              </w:rPr>
              <w:t>62,6%</w:t>
            </w:r>
          </w:p>
        </w:tc>
        <w:tc>
          <w:tcPr>
            <w:tcW w:w="860" w:type="dxa"/>
            <w:tcBorders>
              <w:top w:val="single" w:sz="4" w:space="0" w:color="auto"/>
              <w:left w:val="nil"/>
              <w:bottom w:val="nil"/>
              <w:right w:val="nil"/>
            </w:tcBorders>
          </w:tcPr>
          <w:p w:rsidR="002B14DE" w:rsidRPr="00834B08" w:rsidRDefault="002B14DE" w:rsidP="002B14DE">
            <w:pPr>
              <w:spacing w:after="0" w:line="240" w:lineRule="auto"/>
              <w:jc w:val="right"/>
              <w:rPr>
                <w:rFonts w:ascii="Tms Rmn" w:eastAsia="Times New Roman" w:hAnsi="Tms Rmn" w:cs="Times New Roman"/>
                <w:sz w:val="18"/>
                <w:szCs w:val="18"/>
                <w:lang w:eastAsia="it-IT"/>
              </w:rPr>
            </w:pPr>
            <w:r>
              <w:rPr>
                <w:rFonts w:ascii="Tms Rmn" w:eastAsia="Times New Roman" w:hAnsi="Tms Rmn" w:cs="Times New Roman"/>
                <w:sz w:val="18"/>
                <w:szCs w:val="18"/>
                <w:lang w:eastAsia="it-IT"/>
              </w:rPr>
              <w:t>65,9%</w:t>
            </w:r>
          </w:p>
        </w:tc>
        <w:tc>
          <w:tcPr>
            <w:tcW w:w="860" w:type="dxa"/>
            <w:tcBorders>
              <w:top w:val="single" w:sz="4" w:space="0" w:color="auto"/>
              <w:left w:val="nil"/>
              <w:bottom w:val="nil"/>
              <w:right w:val="nil"/>
            </w:tcBorders>
          </w:tcPr>
          <w:p w:rsidR="002B14DE" w:rsidRPr="00834B08" w:rsidRDefault="002B14DE" w:rsidP="002B14DE">
            <w:pPr>
              <w:spacing w:after="0" w:line="240" w:lineRule="auto"/>
              <w:jc w:val="right"/>
              <w:rPr>
                <w:rFonts w:ascii="Tms Rmn" w:eastAsia="Times New Roman" w:hAnsi="Tms Rmn" w:cs="Times New Roman"/>
                <w:sz w:val="18"/>
                <w:szCs w:val="18"/>
                <w:lang w:eastAsia="it-IT"/>
              </w:rPr>
            </w:pPr>
            <w:r>
              <w:rPr>
                <w:rFonts w:ascii="Tms Rmn" w:eastAsia="Times New Roman" w:hAnsi="Tms Rmn" w:cs="Times New Roman"/>
                <w:sz w:val="18"/>
                <w:szCs w:val="18"/>
                <w:lang w:eastAsia="it-IT"/>
              </w:rPr>
              <w:t>67,4%</w:t>
            </w:r>
          </w:p>
        </w:tc>
      </w:tr>
      <w:tr w:rsidR="002B14DE" w:rsidRPr="00834B08" w:rsidTr="002B14DE">
        <w:trPr>
          <w:trHeight w:val="240"/>
        </w:trPr>
        <w:tc>
          <w:tcPr>
            <w:tcW w:w="2694" w:type="dxa"/>
            <w:tcBorders>
              <w:top w:val="nil"/>
              <w:left w:val="nil"/>
              <w:bottom w:val="nil"/>
              <w:right w:val="nil"/>
            </w:tcBorders>
            <w:shd w:val="clear" w:color="auto" w:fill="auto"/>
            <w:noWrap/>
            <w:vAlign w:val="bottom"/>
            <w:hideMark/>
          </w:tcPr>
          <w:p w:rsidR="002B14DE" w:rsidRPr="00834B08" w:rsidRDefault="002B14DE" w:rsidP="002B14DE">
            <w:pPr>
              <w:spacing w:after="0" w:line="240" w:lineRule="auto"/>
              <w:rPr>
                <w:rFonts w:ascii="Tms Rmn" w:eastAsia="Times New Roman" w:hAnsi="Tms Rmn" w:cs="Times New Roman"/>
                <w:sz w:val="18"/>
                <w:szCs w:val="18"/>
                <w:lang w:eastAsia="it-IT"/>
              </w:rPr>
            </w:pPr>
            <w:r w:rsidRPr="00834B08">
              <w:rPr>
                <w:rFonts w:ascii="Tms Rmn" w:eastAsia="Times New Roman" w:hAnsi="Tms Rmn" w:cs="Times New Roman"/>
                <w:sz w:val="18"/>
                <w:szCs w:val="18"/>
                <w:lang w:eastAsia="it-IT"/>
              </w:rPr>
              <w:t>ONERI FINANZ. NETTI</w:t>
            </w:r>
          </w:p>
        </w:tc>
        <w:tc>
          <w:tcPr>
            <w:tcW w:w="226" w:type="dxa"/>
            <w:tcBorders>
              <w:top w:val="nil"/>
              <w:left w:val="nil"/>
              <w:bottom w:val="nil"/>
              <w:right w:val="nil"/>
            </w:tcBorders>
            <w:shd w:val="clear" w:color="auto" w:fill="auto"/>
            <w:noWrap/>
            <w:vAlign w:val="bottom"/>
            <w:hideMark/>
          </w:tcPr>
          <w:p w:rsidR="002B14DE" w:rsidRPr="00834B08" w:rsidRDefault="002B14DE" w:rsidP="002B14DE">
            <w:pPr>
              <w:spacing w:after="0" w:line="240" w:lineRule="auto"/>
              <w:rPr>
                <w:rFonts w:ascii="Tms Rmn" w:eastAsia="Times New Roman" w:hAnsi="Tms Rmn" w:cs="Times New Roman"/>
                <w:sz w:val="18"/>
                <w:szCs w:val="18"/>
                <w:lang w:eastAsia="it-IT"/>
              </w:rPr>
            </w:pPr>
          </w:p>
        </w:tc>
        <w:tc>
          <w:tcPr>
            <w:tcW w:w="1180" w:type="dxa"/>
            <w:tcBorders>
              <w:top w:val="nil"/>
              <w:left w:val="nil"/>
              <w:bottom w:val="nil"/>
              <w:right w:val="nil"/>
            </w:tcBorders>
            <w:shd w:val="clear" w:color="auto" w:fill="auto"/>
            <w:noWrap/>
            <w:vAlign w:val="bottom"/>
            <w:hideMark/>
          </w:tcPr>
          <w:p w:rsidR="002B14DE" w:rsidRPr="00834B08" w:rsidRDefault="002B14DE" w:rsidP="002B14DE">
            <w:pPr>
              <w:spacing w:after="0" w:line="240" w:lineRule="auto"/>
              <w:jc w:val="right"/>
              <w:rPr>
                <w:rFonts w:ascii="Tms Rmn" w:eastAsia="Times New Roman" w:hAnsi="Tms Rmn" w:cs="Times New Roman"/>
                <w:sz w:val="18"/>
                <w:szCs w:val="18"/>
                <w:lang w:eastAsia="it-IT"/>
              </w:rPr>
            </w:pPr>
            <w:r w:rsidRPr="00834B08">
              <w:rPr>
                <w:rFonts w:ascii="Tms Rmn" w:eastAsia="Times New Roman" w:hAnsi="Tms Rmn" w:cs="Times New Roman"/>
                <w:sz w:val="18"/>
                <w:szCs w:val="18"/>
                <w:lang w:eastAsia="it-IT"/>
              </w:rPr>
              <w:t>9,3%</w:t>
            </w:r>
          </w:p>
        </w:tc>
        <w:tc>
          <w:tcPr>
            <w:tcW w:w="780" w:type="dxa"/>
            <w:tcBorders>
              <w:top w:val="nil"/>
              <w:left w:val="nil"/>
              <w:bottom w:val="nil"/>
              <w:right w:val="nil"/>
            </w:tcBorders>
            <w:shd w:val="clear" w:color="auto" w:fill="auto"/>
            <w:noWrap/>
            <w:vAlign w:val="bottom"/>
            <w:hideMark/>
          </w:tcPr>
          <w:p w:rsidR="002B14DE" w:rsidRPr="00834B08" w:rsidRDefault="002B14DE" w:rsidP="002B14DE">
            <w:pPr>
              <w:spacing w:after="0" w:line="240" w:lineRule="auto"/>
              <w:jc w:val="right"/>
              <w:rPr>
                <w:rFonts w:ascii="Tms Rmn" w:eastAsia="Times New Roman" w:hAnsi="Tms Rmn" w:cs="Times New Roman"/>
                <w:sz w:val="18"/>
                <w:szCs w:val="18"/>
                <w:lang w:eastAsia="it-IT"/>
              </w:rPr>
            </w:pPr>
            <w:r w:rsidRPr="00834B08">
              <w:rPr>
                <w:rFonts w:ascii="Tms Rmn" w:eastAsia="Times New Roman" w:hAnsi="Tms Rmn" w:cs="Times New Roman"/>
                <w:sz w:val="18"/>
                <w:szCs w:val="18"/>
                <w:lang w:eastAsia="it-IT"/>
              </w:rPr>
              <w:t>7,8%</w:t>
            </w:r>
          </w:p>
        </w:tc>
        <w:tc>
          <w:tcPr>
            <w:tcW w:w="860" w:type="dxa"/>
            <w:tcBorders>
              <w:top w:val="nil"/>
              <w:left w:val="nil"/>
              <w:bottom w:val="nil"/>
              <w:right w:val="nil"/>
            </w:tcBorders>
            <w:shd w:val="clear" w:color="auto" w:fill="auto"/>
            <w:noWrap/>
            <w:vAlign w:val="bottom"/>
            <w:hideMark/>
          </w:tcPr>
          <w:p w:rsidR="002B14DE" w:rsidRPr="00834B08" w:rsidRDefault="002B14DE" w:rsidP="002B14DE">
            <w:pPr>
              <w:spacing w:after="0" w:line="240" w:lineRule="auto"/>
              <w:jc w:val="right"/>
              <w:rPr>
                <w:rFonts w:ascii="Tms Rmn" w:eastAsia="Times New Roman" w:hAnsi="Tms Rmn" w:cs="Times New Roman"/>
                <w:sz w:val="18"/>
                <w:szCs w:val="18"/>
                <w:lang w:eastAsia="it-IT"/>
              </w:rPr>
            </w:pPr>
            <w:r w:rsidRPr="00834B08">
              <w:rPr>
                <w:rFonts w:ascii="Tms Rmn" w:eastAsia="Times New Roman" w:hAnsi="Tms Rmn" w:cs="Times New Roman"/>
                <w:sz w:val="18"/>
                <w:szCs w:val="18"/>
                <w:lang w:eastAsia="it-IT"/>
              </w:rPr>
              <w:t>3,2%</w:t>
            </w:r>
          </w:p>
        </w:tc>
        <w:tc>
          <w:tcPr>
            <w:tcW w:w="860" w:type="dxa"/>
            <w:tcBorders>
              <w:top w:val="nil"/>
              <w:left w:val="nil"/>
              <w:bottom w:val="nil"/>
              <w:right w:val="nil"/>
            </w:tcBorders>
          </w:tcPr>
          <w:p w:rsidR="002B14DE" w:rsidRPr="00834B08" w:rsidRDefault="002B14DE" w:rsidP="002B14DE">
            <w:pPr>
              <w:spacing w:after="0" w:line="240" w:lineRule="auto"/>
              <w:jc w:val="right"/>
              <w:rPr>
                <w:rFonts w:ascii="Tms Rmn" w:eastAsia="Times New Roman" w:hAnsi="Tms Rmn" w:cs="Times New Roman"/>
                <w:sz w:val="18"/>
                <w:szCs w:val="18"/>
                <w:lang w:eastAsia="it-IT"/>
              </w:rPr>
            </w:pPr>
            <w:r>
              <w:rPr>
                <w:rFonts w:ascii="Tms Rmn" w:eastAsia="Times New Roman" w:hAnsi="Tms Rmn" w:cs="Times New Roman"/>
                <w:sz w:val="18"/>
                <w:szCs w:val="18"/>
                <w:lang w:eastAsia="it-IT"/>
              </w:rPr>
              <w:t>4,6%</w:t>
            </w:r>
          </w:p>
        </w:tc>
        <w:tc>
          <w:tcPr>
            <w:tcW w:w="860" w:type="dxa"/>
            <w:tcBorders>
              <w:top w:val="nil"/>
              <w:left w:val="nil"/>
              <w:bottom w:val="nil"/>
              <w:right w:val="nil"/>
            </w:tcBorders>
          </w:tcPr>
          <w:p w:rsidR="002B14DE" w:rsidRPr="00834B08" w:rsidRDefault="002B14DE" w:rsidP="002B14DE">
            <w:pPr>
              <w:spacing w:after="0" w:line="240" w:lineRule="auto"/>
              <w:jc w:val="right"/>
              <w:rPr>
                <w:rFonts w:ascii="Tms Rmn" w:eastAsia="Times New Roman" w:hAnsi="Tms Rmn" w:cs="Times New Roman"/>
                <w:sz w:val="18"/>
                <w:szCs w:val="18"/>
                <w:lang w:eastAsia="it-IT"/>
              </w:rPr>
            </w:pPr>
            <w:r>
              <w:rPr>
                <w:rFonts w:ascii="Tms Rmn" w:eastAsia="Times New Roman" w:hAnsi="Tms Rmn" w:cs="Times New Roman"/>
                <w:sz w:val="18"/>
                <w:szCs w:val="18"/>
                <w:lang w:eastAsia="it-IT"/>
              </w:rPr>
              <w:t>5,0%</w:t>
            </w:r>
          </w:p>
        </w:tc>
      </w:tr>
      <w:tr w:rsidR="002B14DE" w:rsidRPr="00834B08" w:rsidTr="002B14DE">
        <w:trPr>
          <w:trHeight w:val="240"/>
        </w:trPr>
        <w:tc>
          <w:tcPr>
            <w:tcW w:w="2694" w:type="dxa"/>
            <w:tcBorders>
              <w:top w:val="nil"/>
              <w:left w:val="nil"/>
              <w:bottom w:val="nil"/>
              <w:right w:val="nil"/>
            </w:tcBorders>
            <w:shd w:val="clear" w:color="auto" w:fill="auto"/>
            <w:noWrap/>
            <w:vAlign w:val="bottom"/>
            <w:hideMark/>
          </w:tcPr>
          <w:p w:rsidR="002B14DE" w:rsidRPr="00834B08" w:rsidRDefault="002B14DE" w:rsidP="002B14DE">
            <w:pPr>
              <w:spacing w:after="0" w:line="240" w:lineRule="auto"/>
              <w:rPr>
                <w:rFonts w:ascii="Tms Rmn" w:eastAsia="Times New Roman" w:hAnsi="Tms Rmn" w:cs="Times New Roman"/>
                <w:sz w:val="18"/>
                <w:szCs w:val="18"/>
                <w:lang w:eastAsia="it-IT"/>
              </w:rPr>
            </w:pPr>
            <w:r w:rsidRPr="00834B08">
              <w:rPr>
                <w:rFonts w:ascii="Tms Rmn" w:eastAsia="Times New Roman" w:hAnsi="Tms Rmn" w:cs="Times New Roman"/>
                <w:sz w:val="18"/>
                <w:szCs w:val="18"/>
                <w:lang w:eastAsia="it-IT"/>
              </w:rPr>
              <w:t>IMPOSTE NETTE</w:t>
            </w:r>
          </w:p>
        </w:tc>
        <w:tc>
          <w:tcPr>
            <w:tcW w:w="226" w:type="dxa"/>
            <w:tcBorders>
              <w:top w:val="nil"/>
              <w:left w:val="nil"/>
              <w:bottom w:val="nil"/>
              <w:right w:val="nil"/>
            </w:tcBorders>
            <w:shd w:val="clear" w:color="auto" w:fill="auto"/>
            <w:noWrap/>
            <w:vAlign w:val="bottom"/>
            <w:hideMark/>
          </w:tcPr>
          <w:p w:rsidR="002B14DE" w:rsidRPr="00834B08" w:rsidRDefault="002B14DE" w:rsidP="002B14DE">
            <w:pPr>
              <w:spacing w:after="0" w:line="240" w:lineRule="auto"/>
              <w:rPr>
                <w:rFonts w:ascii="Tms Rmn" w:eastAsia="Times New Roman" w:hAnsi="Tms Rmn" w:cs="Times New Roman"/>
                <w:sz w:val="18"/>
                <w:szCs w:val="18"/>
                <w:lang w:eastAsia="it-IT"/>
              </w:rPr>
            </w:pPr>
          </w:p>
        </w:tc>
        <w:tc>
          <w:tcPr>
            <w:tcW w:w="1180" w:type="dxa"/>
            <w:tcBorders>
              <w:top w:val="nil"/>
              <w:left w:val="nil"/>
              <w:bottom w:val="nil"/>
              <w:right w:val="nil"/>
            </w:tcBorders>
            <w:shd w:val="clear" w:color="auto" w:fill="auto"/>
            <w:noWrap/>
            <w:vAlign w:val="bottom"/>
            <w:hideMark/>
          </w:tcPr>
          <w:p w:rsidR="002B14DE" w:rsidRPr="00834B08" w:rsidRDefault="002B14DE" w:rsidP="002B14DE">
            <w:pPr>
              <w:spacing w:after="0" w:line="240" w:lineRule="auto"/>
              <w:jc w:val="right"/>
              <w:rPr>
                <w:rFonts w:ascii="Tms Rmn" w:eastAsia="Times New Roman" w:hAnsi="Tms Rmn" w:cs="Times New Roman"/>
                <w:sz w:val="18"/>
                <w:szCs w:val="18"/>
                <w:lang w:eastAsia="it-IT"/>
              </w:rPr>
            </w:pPr>
            <w:r w:rsidRPr="00834B08">
              <w:rPr>
                <w:rFonts w:ascii="Tms Rmn" w:eastAsia="Times New Roman" w:hAnsi="Tms Rmn" w:cs="Times New Roman"/>
                <w:sz w:val="18"/>
                <w:szCs w:val="18"/>
                <w:lang w:eastAsia="it-IT"/>
              </w:rPr>
              <w:t>7,7%</w:t>
            </w:r>
          </w:p>
        </w:tc>
        <w:tc>
          <w:tcPr>
            <w:tcW w:w="780" w:type="dxa"/>
            <w:tcBorders>
              <w:top w:val="nil"/>
              <w:left w:val="nil"/>
              <w:bottom w:val="nil"/>
              <w:right w:val="nil"/>
            </w:tcBorders>
            <w:shd w:val="clear" w:color="auto" w:fill="auto"/>
            <w:noWrap/>
            <w:vAlign w:val="bottom"/>
            <w:hideMark/>
          </w:tcPr>
          <w:p w:rsidR="002B14DE" w:rsidRPr="00834B08" w:rsidRDefault="002B14DE" w:rsidP="002B14DE">
            <w:pPr>
              <w:spacing w:after="0" w:line="240" w:lineRule="auto"/>
              <w:jc w:val="right"/>
              <w:rPr>
                <w:rFonts w:ascii="Tms Rmn" w:eastAsia="Times New Roman" w:hAnsi="Tms Rmn" w:cs="Times New Roman"/>
                <w:sz w:val="18"/>
                <w:szCs w:val="18"/>
                <w:lang w:eastAsia="it-IT"/>
              </w:rPr>
            </w:pPr>
            <w:r w:rsidRPr="00834B08">
              <w:rPr>
                <w:rFonts w:ascii="Tms Rmn" w:eastAsia="Times New Roman" w:hAnsi="Tms Rmn" w:cs="Times New Roman"/>
                <w:sz w:val="18"/>
                <w:szCs w:val="18"/>
                <w:lang w:eastAsia="it-IT"/>
              </w:rPr>
              <w:t>10,2%</w:t>
            </w:r>
          </w:p>
        </w:tc>
        <w:tc>
          <w:tcPr>
            <w:tcW w:w="860" w:type="dxa"/>
            <w:tcBorders>
              <w:top w:val="nil"/>
              <w:left w:val="nil"/>
              <w:bottom w:val="nil"/>
              <w:right w:val="nil"/>
            </w:tcBorders>
            <w:shd w:val="clear" w:color="auto" w:fill="auto"/>
            <w:noWrap/>
            <w:vAlign w:val="bottom"/>
            <w:hideMark/>
          </w:tcPr>
          <w:p w:rsidR="002B14DE" w:rsidRPr="00834B08" w:rsidRDefault="002B14DE" w:rsidP="002B14DE">
            <w:pPr>
              <w:spacing w:after="0" w:line="240" w:lineRule="auto"/>
              <w:jc w:val="right"/>
              <w:rPr>
                <w:rFonts w:ascii="Tms Rmn" w:eastAsia="Times New Roman" w:hAnsi="Tms Rmn" w:cs="Times New Roman"/>
                <w:sz w:val="18"/>
                <w:szCs w:val="18"/>
                <w:lang w:eastAsia="it-IT"/>
              </w:rPr>
            </w:pPr>
            <w:r w:rsidRPr="00834B08">
              <w:rPr>
                <w:rFonts w:ascii="Tms Rmn" w:eastAsia="Times New Roman" w:hAnsi="Tms Rmn" w:cs="Times New Roman"/>
                <w:sz w:val="18"/>
                <w:szCs w:val="18"/>
                <w:lang w:eastAsia="it-IT"/>
              </w:rPr>
              <w:t>10,1%</w:t>
            </w:r>
          </w:p>
        </w:tc>
        <w:tc>
          <w:tcPr>
            <w:tcW w:w="860" w:type="dxa"/>
            <w:tcBorders>
              <w:top w:val="nil"/>
              <w:left w:val="nil"/>
              <w:bottom w:val="nil"/>
              <w:right w:val="nil"/>
            </w:tcBorders>
          </w:tcPr>
          <w:p w:rsidR="002B14DE" w:rsidRPr="00834B08" w:rsidRDefault="002B14DE" w:rsidP="002B14DE">
            <w:pPr>
              <w:spacing w:after="0" w:line="240" w:lineRule="auto"/>
              <w:jc w:val="right"/>
              <w:rPr>
                <w:rFonts w:ascii="Tms Rmn" w:eastAsia="Times New Roman" w:hAnsi="Tms Rmn" w:cs="Times New Roman"/>
                <w:sz w:val="18"/>
                <w:szCs w:val="18"/>
                <w:lang w:eastAsia="it-IT"/>
              </w:rPr>
            </w:pPr>
            <w:r>
              <w:rPr>
                <w:rFonts w:ascii="Tms Rmn" w:eastAsia="Times New Roman" w:hAnsi="Tms Rmn" w:cs="Times New Roman"/>
                <w:sz w:val="18"/>
                <w:szCs w:val="18"/>
                <w:lang w:eastAsia="it-IT"/>
              </w:rPr>
              <w:t>7,5%</w:t>
            </w:r>
          </w:p>
        </w:tc>
        <w:tc>
          <w:tcPr>
            <w:tcW w:w="860" w:type="dxa"/>
            <w:tcBorders>
              <w:top w:val="nil"/>
              <w:left w:val="nil"/>
              <w:bottom w:val="nil"/>
              <w:right w:val="nil"/>
            </w:tcBorders>
          </w:tcPr>
          <w:p w:rsidR="002B14DE" w:rsidRPr="00834B08" w:rsidRDefault="002B14DE" w:rsidP="002B14DE">
            <w:pPr>
              <w:spacing w:after="0" w:line="240" w:lineRule="auto"/>
              <w:jc w:val="right"/>
              <w:rPr>
                <w:rFonts w:ascii="Tms Rmn" w:eastAsia="Times New Roman" w:hAnsi="Tms Rmn" w:cs="Times New Roman"/>
                <w:sz w:val="18"/>
                <w:szCs w:val="18"/>
                <w:lang w:eastAsia="it-IT"/>
              </w:rPr>
            </w:pPr>
            <w:r>
              <w:rPr>
                <w:rFonts w:ascii="Tms Rmn" w:eastAsia="Times New Roman" w:hAnsi="Tms Rmn" w:cs="Times New Roman"/>
                <w:sz w:val="18"/>
                <w:szCs w:val="18"/>
                <w:lang w:eastAsia="it-IT"/>
              </w:rPr>
              <w:t>7,1%</w:t>
            </w:r>
          </w:p>
        </w:tc>
      </w:tr>
      <w:tr w:rsidR="002B14DE" w:rsidRPr="00834B08" w:rsidTr="002B14DE">
        <w:trPr>
          <w:trHeight w:val="240"/>
        </w:trPr>
        <w:tc>
          <w:tcPr>
            <w:tcW w:w="2694" w:type="dxa"/>
            <w:tcBorders>
              <w:top w:val="nil"/>
              <w:left w:val="nil"/>
              <w:bottom w:val="nil"/>
              <w:right w:val="nil"/>
            </w:tcBorders>
            <w:shd w:val="clear" w:color="auto" w:fill="auto"/>
            <w:noWrap/>
            <w:vAlign w:val="bottom"/>
            <w:hideMark/>
          </w:tcPr>
          <w:p w:rsidR="002B14DE" w:rsidRPr="00834B08" w:rsidRDefault="002B14DE" w:rsidP="002B14DE">
            <w:pPr>
              <w:spacing w:after="0" w:line="240" w:lineRule="auto"/>
              <w:rPr>
                <w:rFonts w:ascii="Tms Rmn" w:eastAsia="Times New Roman" w:hAnsi="Tms Rmn" w:cs="Times New Roman"/>
                <w:sz w:val="18"/>
                <w:szCs w:val="18"/>
                <w:lang w:eastAsia="it-IT"/>
              </w:rPr>
            </w:pPr>
            <w:r w:rsidRPr="00834B08">
              <w:rPr>
                <w:rFonts w:ascii="Tms Rmn" w:eastAsia="Times New Roman" w:hAnsi="Tms Rmn" w:cs="Times New Roman"/>
                <w:sz w:val="18"/>
                <w:szCs w:val="18"/>
                <w:lang w:eastAsia="it-IT"/>
              </w:rPr>
              <w:t>Ammortamenti</w:t>
            </w:r>
          </w:p>
        </w:tc>
        <w:tc>
          <w:tcPr>
            <w:tcW w:w="226" w:type="dxa"/>
            <w:tcBorders>
              <w:top w:val="nil"/>
              <w:left w:val="nil"/>
              <w:bottom w:val="nil"/>
              <w:right w:val="nil"/>
            </w:tcBorders>
            <w:shd w:val="clear" w:color="auto" w:fill="auto"/>
            <w:noWrap/>
            <w:vAlign w:val="bottom"/>
            <w:hideMark/>
          </w:tcPr>
          <w:p w:rsidR="002B14DE" w:rsidRPr="00834B08" w:rsidRDefault="002B14DE" w:rsidP="002B14DE">
            <w:pPr>
              <w:spacing w:after="0" w:line="240" w:lineRule="auto"/>
              <w:rPr>
                <w:rFonts w:ascii="Tms Rmn" w:eastAsia="Times New Roman" w:hAnsi="Tms Rmn" w:cs="Times New Roman"/>
                <w:sz w:val="18"/>
                <w:szCs w:val="18"/>
                <w:lang w:eastAsia="it-IT"/>
              </w:rPr>
            </w:pPr>
          </w:p>
        </w:tc>
        <w:tc>
          <w:tcPr>
            <w:tcW w:w="1180" w:type="dxa"/>
            <w:tcBorders>
              <w:top w:val="nil"/>
              <w:left w:val="nil"/>
              <w:bottom w:val="nil"/>
              <w:right w:val="nil"/>
            </w:tcBorders>
            <w:shd w:val="clear" w:color="auto" w:fill="auto"/>
            <w:noWrap/>
            <w:vAlign w:val="bottom"/>
            <w:hideMark/>
          </w:tcPr>
          <w:p w:rsidR="002B14DE" w:rsidRPr="00834B08" w:rsidRDefault="002B14DE" w:rsidP="002B14DE">
            <w:pPr>
              <w:spacing w:after="0" w:line="240" w:lineRule="auto"/>
              <w:jc w:val="right"/>
              <w:rPr>
                <w:rFonts w:ascii="Tms Rmn" w:eastAsia="Times New Roman" w:hAnsi="Tms Rmn" w:cs="Times New Roman"/>
                <w:sz w:val="18"/>
                <w:szCs w:val="18"/>
                <w:lang w:eastAsia="it-IT"/>
              </w:rPr>
            </w:pPr>
            <w:r w:rsidRPr="00834B08">
              <w:rPr>
                <w:rFonts w:ascii="Tms Rmn" w:eastAsia="Times New Roman" w:hAnsi="Tms Rmn" w:cs="Times New Roman"/>
                <w:sz w:val="18"/>
                <w:szCs w:val="18"/>
                <w:lang w:eastAsia="it-IT"/>
              </w:rPr>
              <w:t>10,8%</w:t>
            </w:r>
          </w:p>
        </w:tc>
        <w:tc>
          <w:tcPr>
            <w:tcW w:w="780" w:type="dxa"/>
            <w:tcBorders>
              <w:top w:val="nil"/>
              <w:left w:val="nil"/>
              <w:bottom w:val="nil"/>
              <w:right w:val="nil"/>
            </w:tcBorders>
            <w:shd w:val="clear" w:color="auto" w:fill="auto"/>
            <w:noWrap/>
            <w:vAlign w:val="bottom"/>
            <w:hideMark/>
          </w:tcPr>
          <w:p w:rsidR="002B14DE" w:rsidRPr="00834B08" w:rsidRDefault="002B14DE" w:rsidP="002B14DE">
            <w:pPr>
              <w:spacing w:after="0" w:line="240" w:lineRule="auto"/>
              <w:jc w:val="right"/>
              <w:rPr>
                <w:rFonts w:ascii="Tms Rmn" w:eastAsia="Times New Roman" w:hAnsi="Tms Rmn" w:cs="Times New Roman"/>
                <w:sz w:val="18"/>
                <w:szCs w:val="18"/>
                <w:lang w:eastAsia="it-IT"/>
              </w:rPr>
            </w:pPr>
            <w:r w:rsidRPr="00834B08">
              <w:rPr>
                <w:rFonts w:ascii="Tms Rmn" w:eastAsia="Times New Roman" w:hAnsi="Tms Rmn" w:cs="Times New Roman"/>
                <w:sz w:val="18"/>
                <w:szCs w:val="18"/>
                <w:lang w:eastAsia="it-IT"/>
              </w:rPr>
              <w:t>9,0%</w:t>
            </w:r>
          </w:p>
        </w:tc>
        <w:tc>
          <w:tcPr>
            <w:tcW w:w="860" w:type="dxa"/>
            <w:tcBorders>
              <w:top w:val="nil"/>
              <w:left w:val="nil"/>
              <w:bottom w:val="nil"/>
              <w:right w:val="nil"/>
            </w:tcBorders>
            <w:shd w:val="clear" w:color="auto" w:fill="auto"/>
            <w:noWrap/>
            <w:vAlign w:val="bottom"/>
            <w:hideMark/>
          </w:tcPr>
          <w:p w:rsidR="002B14DE" w:rsidRPr="00834B08" w:rsidRDefault="002B14DE" w:rsidP="002B14DE">
            <w:pPr>
              <w:spacing w:after="0" w:line="240" w:lineRule="auto"/>
              <w:jc w:val="right"/>
              <w:rPr>
                <w:rFonts w:ascii="Tms Rmn" w:eastAsia="Times New Roman" w:hAnsi="Tms Rmn" w:cs="Times New Roman"/>
                <w:sz w:val="18"/>
                <w:szCs w:val="18"/>
                <w:lang w:eastAsia="it-IT"/>
              </w:rPr>
            </w:pPr>
            <w:r w:rsidRPr="00834B08">
              <w:rPr>
                <w:rFonts w:ascii="Tms Rmn" w:eastAsia="Times New Roman" w:hAnsi="Tms Rmn" w:cs="Times New Roman"/>
                <w:sz w:val="18"/>
                <w:szCs w:val="18"/>
                <w:lang w:eastAsia="it-IT"/>
              </w:rPr>
              <w:t>10,2%</w:t>
            </w:r>
          </w:p>
        </w:tc>
        <w:tc>
          <w:tcPr>
            <w:tcW w:w="860" w:type="dxa"/>
            <w:tcBorders>
              <w:top w:val="nil"/>
              <w:left w:val="nil"/>
              <w:bottom w:val="nil"/>
              <w:right w:val="nil"/>
            </w:tcBorders>
          </w:tcPr>
          <w:p w:rsidR="002B14DE" w:rsidRPr="00834B08" w:rsidRDefault="002B14DE" w:rsidP="002B14DE">
            <w:pPr>
              <w:spacing w:after="0" w:line="240" w:lineRule="auto"/>
              <w:jc w:val="right"/>
              <w:rPr>
                <w:rFonts w:ascii="Tms Rmn" w:eastAsia="Times New Roman" w:hAnsi="Tms Rmn" w:cs="Times New Roman"/>
                <w:sz w:val="18"/>
                <w:szCs w:val="18"/>
                <w:lang w:eastAsia="it-IT"/>
              </w:rPr>
            </w:pPr>
            <w:r>
              <w:rPr>
                <w:rFonts w:ascii="Tms Rmn" w:eastAsia="Times New Roman" w:hAnsi="Tms Rmn" w:cs="Times New Roman"/>
                <w:sz w:val="18"/>
                <w:szCs w:val="18"/>
                <w:lang w:eastAsia="it-IT"/>
              </w:rPr>
              <w:t>9,9%</w:t>
            </w:r>
          </w:p>
        </w:tc>
        <w:tc>
          <w:tcPr>
            <w:tcW w:w="860" w:type="dxa"/>
            <w:tcBorders>
              <w:top w:val="nil"/>
              <w:left w:val="nil"/>
              <w:bottom w:val="nil"/>
              <w:right w:val="nil"/>
            </w:tcBorders>
          </w:tcPr>
          <w:p w:rsidR="002B14DE" w:rsidRPr="00834B08" w:rsidRDefault="002B14DE" w:rsidP="002B14DE">
            <w:pPr>
              <w:spacing w:after="0" w:line="240" w:lineRule="auto"/>
              <w:jc w:val="right"/>
              <w:rPr>
                <w:rFonts w:ascii="Tms Rmn" w:eastAsia="Times New Roman" w:hAnsi="Tms Rmn" w:cs="Times New Roman"/>
                <w:sz w:val="18"/>
                <w:szCs w:val="18"/>
                <w:lang w:eastAsia="it-IT"/>
              </w:rPr>
            </w:pPr>
            <w:r>
              <w:rPr>
                <w:rFonts w:ascii="Tms Rmn" w:eastAsia="Times New Roman" w:hAnsi="Tms Rmn" w:cs="Times New Roman"/>
                <w:sz w:val="18"/>
                <w:szCs w:val="18"/>
                <w:lang w:eastAsia="it-IT"/>
              </w:rPr>
              <w:t>10,4%</w:t>
            </w:r>
          </w:p>
        </w:tc>
      </w:tr>
      <w:tr w:rsidR="002B14DE" w:rsidRPr="00834B08" w:rsidTr="002B14DE">
        <w:trPr>
          <w:trHeight w:val="240"/>
        </w:trPr>
        <w:tc>
          <w:tcPr>
            <w:tcW w:w="2694" w:type="dxa"/>
            <w:tcBorders>
              <w:top w:val="nil"/>
              <w:left w:val="nil"/>
              <w:bottom w:val="nil"/>
              <w:right w:val="nil"/>
            </w:tcBorders>
            <w:shd w:val="clear" w:color="auto" w:fill="auto"/>
            <w:noWrap/>
            <w:vAlign w:val="bottom"/>
            <w:hideMark/>
          </w:tcPr>
          <w:p w:rsidR="002B14DE" w:rsidRPr="00834B08" w:rsidRDefault="002B14DE" w:rsidP="002B14DE">
            <w:pPr>
              <w:spacing w:after="0" w:line="240" w:lineRule="auto"/>
              <w:rPr>
                <w:rFonts w:ascii="Tms Rmn" w:eastAsia="Times New Roman" w:hAnsi="Tms Rmn" w:cs="Times New Roman"/>
                <w:sz w:val="18"/>
                <w:szCs w:val="18"/>
                <w:lang w:eastAsia="it-IT"/>
              </w:rPr>
            </w:pPr>
            <w:r w:rsidRPr="00834B08">
              <w:rPr>
                <w:rFonts w:ascii="Tms Rmn" w:eastAsia="Times New Roman" w:hAnsi="Tms Rmn" w:cs="Times New Roman"/>
                <w:sz w:val="18"/>
                <w:szCs w:val="18"/>
                <w:lang w:eastAsia="it-IT"/>
              </w:rPr>
              <w:lastRenderedPageBreak/>
              <w:t>Accantonamenti</w:t>
            </w:r>
          </w:p>
        </w:tc>
        <w:tc>
          <w:tcPr>
            <w:tcW w:w="226" w:type="dxa"/>
            <w:tcBorders>
              <w:top w:val="nil"/>
              <w:left w:val="nil"/>
              <w:bottom w:val="nil"/>
              <w:right w:val="nil"/>
            </w:tcBorders>
            <w:shd w:val="clear" w:color="auto" w:fill="auto"/>
            <w:noWrap/>
            <w:vAlign w:val="bottom"/>
            <w:hideMark/>
          </w:tcPr>
          <w:p w:rsidR="002B14DE" w:rsidRPr="00834B08" w:rsidRDefault="002B14DE" w:rsidP="002B14DE">
            <w:pPr>
              <w:spacing w:after="0" w:line="240" w:lineRule="auto"/>
              <w:rPr>
                <w:rFonts w:ascii="Tms Rmn" w:eastAsia="Times New Roman" w:hAnsi="Tms Rmn" w:cs="Times New Roman"/>
                <w:sz w:val="18"/>
                <w:szCs w:val="18"/>
                <w:lang w:eastAsia="it-IT"/>
              </w:rPr>
            </w:pPr>
          </w:p>
        </w:tc>
        <w:tc>
          <w:tcPr>
            <w:tcW w:w="1180" w:type="dxa"/>
            <w:tcBorders>
              <w:top w:val="nil"/>
              <w:left w:val="nil"/>
              <w:bottom w:val="nil"/>
              <w:right w:val="nil"/>
            </w:tcBorders>
            <w:shd w:val="clear" w:color="auto" w:fill="auto"/>
            <w:noWrap/>
            <w:vAlign w:val="bottom"/>
            <w:hideMark/>
          </w:tcPr>
          <w:p w:rsidR="002B14DE" w:rsidRPr="00834B08" w:rsidRDefault="002B14DE" w:rsidP="002B14DE">
            <w:pPr>
              <w:spacing w:after="0" w:line="240" w:lineRule="auto"/>
              <w:jc w:val="right"/>
              <w:rPr>
                <w:rFonts w:ascii="Tms Rmn" w:eastAsia="Times New Roman" w:hAnsi="Tms Rmn" w:cs="Times New Roman"/>
                <w:sz w:val="18"/>
                <w:szCs w:val="18"/>
                <w:lang w:eastAsia="it-IT"/>
              </w:rPr>
            </w:pPr>
            <w:r w:rsidRPr="00834B08">
              <w:rPr>
                <w:rFonts w:ascii="Tms Rmn" w:eastAsia="Times New Roman" w:hAnsi="Tms Rmn" w:cs="Times New Roman"/>
                <w:sz w:val="18"/>
                <w:szCs w:val="18"/>
                <w:lang w:eastAsia="it-IT"/>
              </w:rPr>
              <w:t>0,1%</w:t>
            </w:r>
          </w:p>
        </w:tc>
        <w:tc>
          <w:tcPr>
            <w:tcW w:w="780" w:type="dxa"/>
            <w:tcBorders>
              <w:top w:val="nil"/>
              <w:left w:val="nil"/>
              <w:bottom w:val="nil"/>
              <w:right w:val="nil"/>
            </w:tcBorders>
            <w:shd w:val="clear" w:color="auto" w:fill="auto"/>
            <w:noWrap/>
            <w:vAlign w:val="bottom"/>
            <w:hideMark/>
          </w:tcPr>
          <w:p w:rsidR="002B14DE" w:rsidRPr="00834B08" w:rsidRDefault="002B14DE" w:rsidP="002B14DE">
            <w:pPr>
              <w:spacing w:after="0" w:line="240" w:lineRule="auto"/>
              <w:jc w:val="right"/>
              <w:rPr>
                <w:rFonts w:ascii="Tms Rmn" w:eastAsia="Times New Roman" w:hAnsi="Tms Rmn" w:cs="Times New Roman"/>
                <w:sz w:val="18"/>
                <w:szCs w:val="18"/>
                <w:lang w:eastAsia="it-IT"/>
              </w:rPr>
            </w:pPr>
            <w:r w:rsidRPr="00834B08">
              <w:rPr>
                <w:rFonts w:ascii="Tms Rmn" w:eastAsia="Times New Roman" w:hAnsi="Tms Rmn" w:cs="Times New Roman"/>
                <w:sz w:val="18"/>
                <w:szCs w:val="18"/>
                <w:lang w:eastAsia="it-IT"/>
              </w:rPr>
              <w:t>0,2%</w:t>
            </w:r>
          </w:p>
        </w:tc>
        <w:tc>
          <w:tcPr>
            <w:tcW w:w="860" w:type="dxa"/>
            <w:tcBorders>
              <w:top w:val="nil"/>
              <w:left w:val="nil"/>
              <w:bottom w:val="nil"/>
              <w:right w:val="nil"/>
            </w:tcBorders>
            <w:shd w:val="clear" w:color="auto" w:fill="auto"/>
            <w:noWrap/>
            <w:vAlign w:val="bottom"/>
            <w:hideMark/>
          </w:tcPr>
          <w:p w:rsidR="002B14DE" w:rsidRPr="00834B08" w:rsidRDefault="002B14DE" w:rsidP="002B14DE">
            <w:pPr>
              <w:spacing w:after="0" w:line="240" w:lineRule="auto"/>
              <w:jc w:val="right"/>
              <w:rPr>
                <w:rFonts w:ascii="Tms Rmn" w:eastAsia="Times New Roman" w:hAnsi="Tms Rmn" w:cs="Times New Roman"/>
                <w:sz w:val="18"/>
                <w:szCs w:val="18"/>
                <w:lang w:eastAsia="it-IT"/>
              </w:rPr>
            </w:pPr>
            <w:r w:rsidRPr="00834B08">
              <w:rPr>
                <w:rFonts w:ascii="Tms Rmn" w:eastAsia="Times New Roman" w:hAnsi="Tms Rmn" w:cs="Times New Roman"/>
                <w:sz w:val="18"/>
                <w:szCs w:val="18"/>
                <w:lang w:eastAsia="it-IT"/>
              </w:rPr>
              <w:t>0,2%</w:t>
            </w:r>
          </w:p>
        </w:tc>
        <w:tc>
          <w:tcPr>
            <w:tcW w:w="860" w:type="dxa"/>
            <w:tcBorders>
              <w:top w:val="nil"/>
              <w:left w:val="nil"/>
              <w:bottom w:val="nil"/>
              <w:right w:val="nil"/>
            </w:tcBorders>
          </w:tcPr>
          <w:p w:rsidR="002B14DE" w:rsidRPr="00834B08" w:rsidRDefault="002B14DE" w:rsidP="002B14DE">
            <w:pPr>
              <w:spacing w:after="0" w:line="240" w:lineRule="auto"/>
              <w:jc w:val="right"/>
              <w:rPr>
                <w:rFonts w:ascii="Tms Rmn" w:eastAsia="Times New Roman" w:hAnsi="Tms Rmn" w:cs="Times New Roman"/>
                <w:sz w:val="18"/>
                <w:szCs w:val="18"/>
                <w:lang w:eastAsia="it-IT"/>
              </w:rPr>
            </w:pPr>
            <w:r>
              <w:rPr>
                <w:rFonts w:ascii="Tms Rmn" w:eastAsia="Times New Roman" w:hAnsi="Tms Rmn" w:cs="Times New Roman"/>
                <w:sz w:val="18"/>
                <w:szCs w:val="18"/>
                <w:lang w:eastAsia="it-IT"/>
              </w:rPr>
              <w:t>0%</w:t>
            </w:r>
          </w:p>
        </w:tc>
        <w:tc>
          <w:tcPr>
            <w:tcW w:w="860" w:type="dxa"/>
            <w:tcBorders>
              <w:top w:val="nil"/>
              <w:left w:val="nil"/>
              <w:bottom w:val="nil"/>
              <w:right w:val="nil"/>
            </w:tcBorders>
          </w:tcPr>
          <w:p w:rsidR="002B14DE" w:rsidRPr="00834B08" w:rsidRDefault="002B14DE" w:rsidP="002B14DE">
            <w:pPr>
              <w:spacing w:after="0" w:line="240" w:lineRule="auto"/>
              <w:jc w:val="right"/>
              <w:rPr>
                <w:rFonts w:ascii="Tms Rmn" w:eastAsia="Times New Roman" w:hAnsi="Tms Rmn" w:cs="Times New Roman"/>
                <w:sz w:val="18"/>
                <w:szCs w:val="18"/>
                <w:lang w:eastAsia="it-IT"/>
              </w:rPr>
            </w:pPr>
            <w:r>
              <w:rPr>
                <w:rFonts w:ascii="Tms Rmn" w:eastAsia="Times New Roman" w:hAnsi="Tms Rmn" w:cs="Times New Roman"/>
                <w:sz w:val="18"/>
                <w:szCs w:val="18"/>
                <w:lang w:eastAsia="it-IT"/>
              </w:rPr>
              <w:t>0,1%</w:t>
            </w:r>
          </w:p>
        </w:tc>
      </w:tr>
      <w:tr w:rsidR="002B14DE" w:rsidRPr="00834B08" w:rsidTr="002B14DE">
        <w:trPr>
          <w:trHeight w:val="240"/>
        </w:trPr>
        <w:tc>
          <w:tcPr>
            <w:tcW w:w="2694" w:type="dxa"/>
            <w:tcBorders>
              <w:top w:val="nil"/>
              <w:left w:val="nil"/>
              <w:right w:val="nil"/>
            </w:tcBorders>
            <w:shd w:val="clear" w:color="auto" w:fill="auto"/>
            <w:noWrap/>
            <w:vAlign w:val="bottom"/>
            <w:hideMark/>
          </w:tcPr>
          <w:p w:rsidR="002B14DE" w:rsidRPr="00834B08" w:rsidRDefault="002B14DE" w:rsidP="002B14DE">
            <w:pPr>
              <w:spacing w:after="0" w:line="240" w:lineRule="auto"/>
              <w:rPr>
                <w:rFonts w:ascii="Tms Rmn" w:eastAsia="Times New Roman" w:hAnsi="Tms Rmn" w:cs="Times New Roman"/>
                <w:sz w:val="18"/>
                <w:szCs w:val="18"/>
                <w:lang w:eastAsia="it-IT"/>
              </w:rPr>
            </w:pPr>
            <w:r w:rsidRPr="00834B08">
              <w:rPr>
                <w:rFonts w:ascii="Tms Rmn" w:eastAsia="Times New Roman" w:hAnsi="Tms Rmn" w:cs="Times New Roman"/>
                <w:sz w:val="18"/>
                <w:szCs w:val="18"/>
                <w:lang w:eastAsia="it-IT"/>
              </w:rPr>
              <w:t>Profitti netti</w:t>
            </w:r>
          </w:p>
        </w:tc>
        <w:tc>
          <w:tcPr>
            <w:tcW w:w="226" w:type="dxa"/>
            <w:tcBorders>
              <w:top w:val="nil"/>
              <w:left w:val="nil"/>
              <w:right w:val="nil"/>
            </w:tcBorders>
            <w:shd w:val="clear" w:color="auto" w:fill="auto"/>
            <w:noWrap/>
            <w:vAlign w:val="bottom"/>
            <w:hideMark/>
          </w:tcPr>
          <w:p w:rsidR="002B14DE" w:rsidRPr="00834B08" w:rsidRDefault="002B14DE" w:rsidP="002B14DE">
            <w:pPr>
              <w:spacing w:after="0" w:line="240" w:lineRule="auto"/>
              <w:rPr>
                <w:rFonts w:ascii="Tms Rmn" w:eastAsia="Times New Roman" w:hAnsi="Tms Rmn" w:cs="Times New Roman"/>
                <w:sz w:val="18"/>
                <w:szCs w:val="18"/>
                <w:lang w:eastAsia="it-IT"/>
              </w:rPr>
            </w:pPr>
          </w:p>
        </w:tc>
        <w:tc>
          <w:tcPr>
            <w:tcW w:w="1180" w:type="dxa"/>
            <w:tcBorders>
              <w:top w:val="nil"/>
              <w:left w:val="nil"/>
              <w:right w:val="nil"/>
            </w:tcBorders>
            <w:shd w:val="clear" w:color="auto" w:fill="auto"/>
            <w:noWrap/>
            <w:vAlign w:val="bottom"/>
            <w:hideMark/>
          </w:tcPr>
          <w:p w:rsidR="002B14DE" w:rsidRPr="00834B08" w:rsidRDefault="002B14DE" w:rsidP="002B14DE">
            <w:pPr>
              <w:spacing w:after="0" w:line="240" w:lineRule="auto"/>
              <w:jc w:val="right"/>
              <w:rPr>
                <w:rFonts w:ascii="Tms Rmn" w:eastAsia="Times New Roman" w:hAnsi="Tms Rmn" w:cs="Times New Roman"/>
                <w:sz w:val="18"/>
                <w:szCs w:val="18"/>
                <w:lang w:eastAsia="it-IT"/>
              </w:rPr>
            </w:pPr>
            <w:r w:rsidRPr="00834B08">
              <w:rPr>
                <w:rFonts w:ascii="Tms Rmn" w:eastAsia="Times New Roman" w:hAnsi="Tms Rmn" w:cs="Times New Roman"/>
                <w:sz w:val="18"/>
                <w:szCs w:val="18"/>
                <w:lang w:eastAsia="it-IT"/>
              </w:rPr>
              <w:t>6,5%</w:t>
            </w:r>
          </w:p>
        </w:tc>
        <w:tc>
          <w:tcPr>
            <w:tcW w:w="780" w:type="dxa"/>
            <w:tcBorders>
              <w:top w:val="nil"/>
              <w:left w:val="nil"/>
              <w:right w:val="nil"/>
            </w:tcBorders>
            <w:shd w:val="clear" w:color="auto" w:fill="auto"/>
            <w:noWrap/>
            <w:vAlign w:val="bottom"/>
            <w:hideMark/>
          </w:tcPr>
          <w:p w:rsidR="002B14DE" w:rsidRPr="00834B08" w:rsidRDefault="002B14DE" w:rsidP="002B14DE">
            <w:pPr>
              <w:spacing w:after="0" w:line="240" w:lineRule="auto"/>
              <w:jc w:val="right"/>
              <w:rPr>
                <w:rFonts w:ascii="Tms Rmn" w:eastAsia="Times New Roman" w:hAnsi="Tms Rmn" w:cs="Times New Roman"/>
                <w:sz w:val="18"/>
                <w:szCs w:val="18"/>
                <w:lang w:eastAsia="it-IT"/>
              </w:rPr>
            </w:pPr>
            <w:r w:rsidRPr="00834B08">
              <w:rPr>
                <w:rFonts w:ascii="Tms Rmn" w:eastAsia="Times New Roman" w:hAnsi="Tms Rmn" w:cs="Times New Roman"/>
                <w:sz w:val="18"/>
                <w:szCs w:val="18"/>
                <w:lang w:eastAsia="it-IT"/>
              </w:rPr>
              <w:t>14,7%</w:t>
            </w:r>
          </w:p>
        </w:tc>
        <w:tc>
          <w:tcPr>
            <w:tcW w:w="860" w:type="dxa"/>
            <w:tcBorders>
              <w:top w:val="nil"/>
              <w:left w:val="nil"/>
              <w:right w:val="nil"/>
            </w:tcBorders>
            <w:shd w:val="clear" w:color="auto" w:fill="auto"/>
            <w:noWrap/>
            <w:vAlign w:val="bottom"/>
            <w:hideMark/>
          </w:tcPr>
          <w:p w:rsidR="002B14DE" w:rsidRPr="00834B08" w:rsidRDefault="002B14DE" w:rsidP="002B14DE">
            <w:pPr>
              <w:spacing w:after="0" w:line="240" w:lineRule="auto"/>
              <w:jc w:val="right"/>
              <w:rPr>
                <w:rFonts w:ascii="Tms Rmn" w:eastAsia="Times New Roman" w:hAnsi="Tms Rmn" w:cs="Times New Roman"/>
                <w:sz w:val="18"/>
                <w:szCs w:val="18"/>
                <w:lang w:eastAsia="it-IT"/>
              </w:rPr>
            </w:pPr>
            <w:r w:rsidRPr="00834B08">
              <w:rPr>
                <w:rFonts w:ascii="Tms Rmn" w:eastAsia="Times New Roman" w:hAnsi="Tms Rmn" w:cs="Times New Roman"/>
                <w:sz w:val="18"/>
                <w:szCs w:val="18"/>
                <w:lang w:eastAsia="it-IT"/>
              </w:rPr>
              <w:t>13,7%</w:t>
            </w:r>
          </w:p>
        </w:tc>
        <w:tc>
          <w:tcPr>
            <w:tcW w:w="860" w:type="dxa"/>
            <w:tcBorders>
              <w:top w:val="nil"/>
              <w:left w:val="nil"/>
              <w:right w:val="nil"/>
            </w:tcBorders>
          </w:tcPr>
          <w:p w:rsidR="002B14DE" w:rsidRPr="00834B08" w:rsidRDefault="002B14DE" w:rsidP="002B14DE">
            <w:pPr>
              <w:spacing w:after="0" w:line="240" w:lineRule="auto"/>
              <w:jc w:val="right"/>
              <w:rPr>
                <w:rFonts w:ascii="Tms Rmn" w:eastAsia="Times New Roman" w:hAnsi="Tms Rmn" w:cs="Times New Roman"/>
                <w:sz w:val="18"/>
                <w:szCs w:val="18"/>
                <w:lang w:eastAsia="it-IT"/>
              </w:rPr>
            </w:pPr>
            <w:r>
              <w:rPr>
                <w:rFonts w:ascii="Tms Rmn" w:eastAsia="Times New Roman" w:hAnsi="Tms Rmn" w:cs="Times New Roman"/>
                <w:sz w:val="18"/>
                <w:szCs w:val="18"/>
                <w:lang w:eastAsia="it-IT"/>
              </w:rPr>
              <w:t>12,0%</w:t>
            </w:r>
          </w:p>
        </w:tc>
        <w:tc>
          <w:tcPr>
            <w:tcW w:w="860" w:type="dxa"/>
            <w:tcBorders>
              <w:top w:val="nil"/>
              <w:left w:val="nil"/>
              <w:right w:val="nil"/>
            </w:tcBorders>
          </w:tcPr>
          <w:p w:rsidR="002B14DE" w:rsidRPr="00834B08" w:rsidRDefault="002B14DE" w:rsidP="002B14DE">
            <w:pPr>
              <w:spacing w:after="0" w:line="240" w:lineRule="auto"/>
              <w:jc w:val="right"/>
              <w:rPr>
                <w:rFonts w:ascii="Tms Rmn" w:eastAsia="Times New Roman" w:hAnsi="Tms Rmn" w:cs="Times New Roman"/>
                <w:sz w:val="18"/>
                <w:szCs w:val="18"/>
                <w:lang w:eastAsia="it-IT"/>
              </w:rPr>
            </w:pPr>
            <w:r>
              <w:rPr>
                <w:rFonts w:ascii="Tms Rmn" w:eastAsia="Times New Roman" w:hAnsi="Tms Rmn" w:cs="Times New Roman"/>
                <w:sz w:val="18"/>
                <w:szCs w:val="18"/>
                <w:lang w:eastAsia="it-IT"/>
              </w:rPr>
              <w:t>10,0%</w:t>
            </w:r>
          </w:p>
        </w:tc>
      </w:tr>
      <w:tr w:rsidR="002B14DE" w:rsidRPr="00834B08" w:rsidTr="002B14DE">
        <w:trPr>
          <w:trHeight w:val="240"/>
        </w:trPr>
        <w:tc>
          <w:tcPr>
            <w:tcW w:w="2920" w:type="dxa"/>
            <w:gridSpan w:val="2"/>
            <w:tcBorders>
              <w:top w:val="nil"/>
              <w:left w:val="nil"/>
              <w:bottom w:val="single" w:sz="4" w:space="0" w:color="auto"/>
              <w:right w:val="nil"/>
            </w:tcBorders>
            <w:shd w:val="clear" w:color="auto" w:fill="auto"/>
            <w:noWrap/>
            <w:vAlign w:val="bottom"/>
            <w:hideMark/>
          </w:tcPr>
          <w:p w:rsidR="002B14DE" w:rsidRPr="00834B08" w:rsidRDefault="002B14DE" w:rsidP="002B14DE">
            <w:pPr>
              <w:spacing w:after="0" w:line="240" w:lineRule="auto"/>
              <w:rPr>
                <w:rFonts w:ascii="Tms Rmn" w:eastAsia="Times New Roman" w:hAnsi="Tms Rmn" w:cs="Times New Roman"/>
                <w:sz w:val="18"/>
                <w:szCs w:val="18"/>
                <w:lang w:eastAsia="it-IT"/>
              </w:rPr>
            </w:pPr>
            <w:r>
              <w:rPr>
                <w:rFonts w:ascii="Tms Rmn" w:eastAsia="Times New Roman" w:hAnsi="Tms Rmn" w:cs="Times New Roman"/>
                <w:sz w:val="18"/>
                <w:szCs w:val="18"/>
                <w:lang w:eastAsia="it-IT"/>
              </w:rPr>
              <w:t>ACCUMULAZIONE INTERNA</w:t>
            </w:r>
          </w:p>
        </w:tc>
        <w:tc>
          <w:tcPr>
            <w:tcW w:w="1180" w:type="dxa"/>
            <w:tcBorders>
              <w:top w:val="nil"/>
              <w:left w:val="nil"/>
              <w:bottom w:val="single" w:sz="4" w:space="0" w:color="auto"/>
              <w:right w:val="nil"/>
            </w:tcBorders>
            <w:shd w:val="clear" w:color="auto" w:fill="auto"/>
            <w:noWrap/>
            <w:vAlign w:val="bottom"/>
            <w:hideMark/>
          </w:tcPr>
          <w:p w:rsidR="002B14DE" w:rsidRPr="00834B08" w:rsidRDefault="002B14DE" w:rsidP="002B14DE">
            <w:pPr>
              <w:spacing w:after="0" w:line="240" w:lineRule="auto"/>
              <w:jc w:val="right"/>
              <w:rPr>
                <w:rFonts w:ascii="Tms Rmn" w:eastAsia="Times New Roman" w:hAnsi="Tms Rmn" w:cs="Times New Roman"/>
                <w:sz w:val="18"/>
                <w:szCs w:val="18"/>
                <w:lang w:eastAsia="it-IT"/>
              </w:rPr>
            </w:pPr>
            <w:r w:rsidRPr="00834B08">
              <w:rPr>
                <w:rFonts w:ascii="Tms Rmn" w:eastAsia="Times New Roman" w:hAnsi="Tms Rmn" w:cs="Times New Roman"/>
                <w:sz w:val="18"/>
                <w:szCs w:val="18"/>
                <w:lang w:eastAsia="it-IT"/>
              </w:rPr>
              <w:t>17,4%</w:t>
            </w:r>
          </w:p>
        </w:tc>
        <w:tc>
          <w:tcPr>
            <w:tcW w:w="780" w:type="dxa"/>
            <w:tcBorders>
              <w:top w:val="nil"/>
              <w:left w:val="nil"/>
              <w:bottom w:val="single" w:sz="4" w:space="0" w:color="auto"/>
              <w:right w:val="nil"/>
            </w:tcBorders>
            <w:shd w:val="clear" w:color="auto" w:fill="auto"/>
            <w:noWrap/>
            <w:vAlign w:val="bottom"/>
            <w:hideMark/>
          </w:tcPr>
          <w:p w:rsidR="002B14DE" w:rsidRPr="00834B08" w:rsidRDefault="002B14DE" w:rsidP="002B14DE">
            <w:pPr>
              <w:spacing w:after="0" w:line="240" w:lineRule="auto"/>
              <w:jc w:val="right"/>
              <w:rPr>
                <w:rFonts w:ascii="Tms Rmn" w:eastAsia="Times New Roman" w:hAnsi="Tms Rmn" w:cs="Times New Roman"/>
                <w:sz w:val="18"/>
                <w:szCs w:val="18"/>
                <w:lang w:eastAsia="it-IT"/>
              </w:rPr>
            </w:pPr>
            <w:r w:rsidRPr="00834B08">
              <w:rPr>
                <w:rFonts w:ascii="Tms Rmn" w:eastAsia="Times New Roman" w:hAnsi="Tms Rmn" w:cs="Times New Roman"/>
                <w:sz w:val="18"/>
                <w:szCs w:val="18"/>
                <w:lang w:eastAsia="it-IT"/>
              </w:rPr>
              <w:t>23,9%</w:t>
            </w:r>
          </w:p>
        </w:tc>
        <w:tc>
          <w:tcPr>
            <w:tcW w:w="860" w:type="dxa"/>
            <w:tcBorders>
              <w:top w:val="nil"/>
              <w:left w:val="nil"/>
              <w:bottom w:val="single" w:sz="4" w:space="0" w:color="auto"/>
              <w:right w:val="nil"/>
            </w:tcBorders>
            <w:shd w:val="clear" w:color="auto" w:fill="auto"/>
            <w:noWrap/>
            <w:vAlign w:val="bottom"/>
            <w:hideMark/>
          </w:tcPr>
          <w:p w:rsidR="002B14DE" w:rsidRPr="00834B08" w:rsidRDefault="002B14DE" w:rsidP="002B14DE">
            <w:pPr>
              <w:spacing w:after="0" w:line="240" w:lineRule="auto"/>
              <w:jc w:val="right"/>
              <w:rPr>
                <w:rFonts w:ascii="Tms Rmn" w:eastAsia="Times New Roman" w:hAnsi="Tms Rmn" w:cs="Times New Roman"/>
                <w:sz w:val="18"/>
                <w:szCs w:val="18"/>
                <w:lang w:eastAsia="it-IT"/>
              </w:rPr>
            </w:pPr>
            <w:r w:rsidRPr="00834B08">
              <w:rPr>
                <w:rFonts w:ascii="Tms Rmn" w:eastAsia="Times New Roman" w:hAnsi="Tms Rmn" w:cs="Times New Roman"/>
                <w:sz w:val="18"/>
                <w:szCs w:val="18"/>
                <w:lang w:eastAsia="it-IT"/>
              </w:rPr>
              <w:t>24,1%</w:t>
            </w:r>
          </w:p>
        </w:tc>
        <w:tc>
          <w:tcPr>
            <w:tcW w:w="860" w:type="dxa"/>
            <w:tcBorders>
              <w:top w:val="nil"/>
              <w:left w:val="nil"/>
              <w:bottom w:val="single" w:sz="4" w:space="0" w:color="auto"/>
              <w:right w:val="nil"/>
            </w:tcBorders>
          </w:tcPr>
          <w:p w:rsidR="002B14DE" w:rsidRPr="00834B08" w:rsidRDefault="002B14DE" w:rsidP="002B14DE">
            <w:pPr>
              <w:spacing w:after="0" w:line="240" w:lineRule="auto"/>
              <w:jc w:val="right"/>
              <w:rPr>
                <w:rFonts w:ascii="Tms Rmn" w:eastAsia="Times New Roman" w:hAnsi="Tms Rmn" w:cs="Times New Roman"/>
                <w:sz w:val="18"/>
                <w:szCs w:val="18"/>
                <w:lang w:eastAsia="it-IT"/>
              </w:rPr>
            </w:pPr>
            <w:r>
              <w:rPr>
                <w:rFonts w:ascii="Tms Rmn" w:eastAsia="Times New Roman" w:hAnsi="Tms Rmn" w:cs="Times New Roman"/>
                <w:sz w:val="18"/>
                <w:szCs w:val="18"/>
                <w:lang w:eastAsia="it-IT"/>
              </w:rPr>
              <w:t>22,0%</w:t>
            </w:r>
          </w:p>
        </w:tc>
        <w:tc>
          <w:tcPr>
            <w:tcW w:w="860" w:type="dxa"/>
            <w:tcBorders>
              <w:top w:val="nil"/>
              <w:left w:val="nil"/>
              <w:bottom w:val="single" w:sz="4" w:space="0" w:color="auto"/>
              <w:right w:val="nil"/>
            </w:tcBorders>
          </w:tcPr>
          <w:p w:rsidR="002B14DE" w:rsidRPr="00834B08" w:rsidRDefault="002B14DE" w:rsidP="002B14DE">
            <w:pPr>
              <w:spacing w:after="0" w:line="240" w:lineRule="auto"/>
              <w:jc w:val="right"/>
              <w:rPr>
                <w:rFonts w:ascii="Tms Rmn" w:eastAsia="Times New Roman" w:hAnsi="Tms Rmn" w:cs="Times New Roman"/>
                <w:sz w:val="18"/>
                <w:szCs w:val="18"/>
                <w:lang w:eastAsia="it-IT"/>
              </w:rPr>
            </w:pPr>
            <w:r>
              <w:rPr>
                <w:rFonts w:ascii="Tms Rmn" w:eastAsia="Times New Roman" w:hAnsi="Tms Rmn" w:cs="Times New Roman"/>
                <w:sz w:val="18"/>
                <w:szCs w:val="18"/>
                <w:lang w:eastAsia="it-IT"/>
              </w:rPr>
              <w:t>20,5%</w:t>
            </w:r>
          </w:p>
        </w:tc>
      </w:tr>
    </w:tbl>
    <w:p w:rsidR="002B14DE" w:rsidRDefault="002B14DE" w:rsidP="002B14DE">
      <w:pPr>
        <w:jc w:val="both"/>
      </w:pPr>
    </w:p>
    <w:p w:rsidR="002B14DE" w:rsidRDefault="002B14DE" w:rsidP="002B14DE">
      <w:pPr>
        <w:jc w:val="both"/>
      </w:pPr>
      <w:r>
        <w:t>Vedremo adesso alcune considerazioni che possono essere tratte a partire dai dati dello stato patrimoniale (che indicano l’insieme delle risorse economiche a disposizione dell’azienda, la loro provenienza e la loro destinazione).</w:t>
      </w:r>
    </w:p>
    <w:p w:rsidR="002B14DE" w:rsidRDefault="002B14DE" w:rsidP="002B14DE">
      <w:pPr>
        <w:jc w:val="both"/>
      </w:pPr>
      <w:r>
        <w:t>Un primo blocco di indicatori si riferisce alle informazioni (necessariamente parziali) che possono pervenirci sugli investimenti. Il dato degli investimenti in quanto tali non è però registrato; abbiamo piuttosto il valore dell’insieme delle immobilizzazioni fatte nel periodo di ammortamento dei vari beni a disposizione dell’azienda, anzitutto relativo alle “immobilizzazioni materiali. In prima approssimazione gli investimenti equivalgono alla differenza fra immobilizzazioni registrate in un anno e immobilizzazioni registrate nell’anno successivo. Però dal valore lordo delle immobilizzazioni vengono via via detratti i valori delle immobilizzazioni completamente ammortizzate: lo stesso valore, ritmo e progressione dell’ammortamento non necessariamente hanno un significato economico, poiché dipendono da normative contabili (che ad esempio autorizzano l’ammortamento anticipato, per incentivare l’investimento e diminuirne anticipatamente il carico fiscale). Comunque in linea di massima possiamo dire grosso modo che l’aumento e la diminuzione delle immobilizzazioni materiali lorde equivale al valore dello stock di capitale (ammettendo però implicitamente che il valore contabile dei beni immobilizzati equivalga in sostanza al loro valore economico). Se così fosse, abbiamo in un anno di espansione del settore come il 2013 una diminuzione dello stock di capitale e quindi un “disinvestimento” (di 0,6 milioni) del settore, seguito però da una ripresa di accumulazione (per 4,7 milioni) nel 2014, proseguita nel 2015 (circa 3 milioni) per poi ripiegare bruscamente con un disinvestimento di quasi 2 milioni nel 2016. Il tasso di accumulazione (variazione dello stock sullo stock stesso di capitale) passa così da -0,5% a 3,5%, valori comunque non molto elevati, per poi scendere a 2,4</w:t>
      </w:r>
      <w:proofErr w:type="gramStart"/>
      <w:r>
        <w:t>%  e</w:t>
      </w:r>
      <w:proofErr w:type="gramEnd"/>
      <w:r>
        <w:t xml:space="preserve"> -1,5%. Il grado di ammortamento indica indirettamente l’obsolescenza dello stock di capitale, ossia la sua parte che è stata già “pagata” con gli ammortamenti via via accantonati dall’impresa. Valori come quelli riscontrati nel nostro campione di aziende sono piuttosto elevati, circa dell’80% con un picco di quasi l’97% nel 2016, in che vuol dire che il macchinario (i fabbricati, i terreni, etc.) è stato comprato diversi anni fa ed è quasi per intero stato “ripagato”. Da un altro punto di vista si può dire che ogni anno i nuovi ammortamenti versati nell’apposito fondo coprono il 14-15% circa (tasso di ammortamento) del totale dell’immobilizzazione lorda. In sostanza lo stock di capitale accumulato non cresce nel periodo considerato, o cresce “poco”. Tuttavia questa considerazione rimanda a una visione tradizionale del processo produttivo, che di solito però nelle aziende viene sempre più svolto con macchinario “preso a noleggio”, ossia in leasing, il cui valore non è contabilizzato nello stato patrimoniale. Prendere macchinario in leasing ha il vantaggio di mantenere l’azienda più “fluida” finanziariamente, mancando l’esborso iniziale dell’acquisto (m essendo poi vincolati a un flusso effettivo di risorse a favore del </w:t>
      </w:r>
      <w:proofErr w:type="spellStart"/>
      <w:r>
        <w:t>prestatario</w:t>
      </w:r>
      <w:proofErr w:type="spellEnd"/>
      <w:r>
        <w:t xml:space="preserve">. Il valore delle cifre corrisposte come “godimento di beni di terzi” (macchinario in leasing) equivale, di anno in anno, quasi perfettamente al flusso degli ammortamenti: non se ne può meccanicamente trarre una conclusione di equivalenza delle due grandezze economiche (i macchinari in leasing e quelli propri dell’azienda), ma possiamo dire che l’ordine di grandezza è comunque quello (anche se i pagamenti in leasing hanno una progressione più rapida, nonostante la diminuzione dei tassi di interesse). </w:t>
      </w:r>
    </w:p>
    <w:p w:rsidR="002B14DE" w:rsidRDefault="002B14DE" w:rsidP="002B14DE">
      <w:pPr>
        <w:jc w:val="both"/>
      </w:pPr>
    </w:p>
    <w:tbl>
      <w:tblPr>
        <w:tblW w:w="7460" w:type="dxa"/>
        <w:tblCellMar>
          <w:left w:w="70" w:type="dxa"/>
          <w:right w:w="70" w:type="dxa"/>
        </w:tblCellMar>
        <w:tblLook w:val="04A0" w:firstRow="1" w:lastRow="0" w:firstColumn="1" w:lastColumn="0" w:noHBand="0" w:noVBand="1"/>
      </w:tblPr>
      <w:tblGrid>
        <w:gridCol w:w="1940"/>
        <w:gridCol w:w="980"/>
        <w:gridCol w:w="1180"/>
        <w:gridCol w:w="780"/>
        <w:gridCol w:w="860"/>
        <w:gridCol w:w="860"/>
        <w:gridCol w:w="860"/>
      </w:tblGrid>
      <w:tr w:rsidR="002B14DE" w:rsidRPr="00FC087A" w:rsidTr="002B14DE">
        <w:trPr>
          <w:trHeight w:val="240"/>
        </w:trPr>
        <w:tc>
          <w:tcPr>
            <w:tcW w:w="1940" w:type="dxa"/>
            <w:tcBorders>
              <w:top w:val="single" w:sz="4" w:space="0" w:color="auto"/>
              <w:left w:val="nil"/>
              <w:bottom w:val="single" w:sz="4" w:space="0" w:color="auto"/>
              <w:right w:val="nil"/>
            </w:tcBorders>
            <w:shd w:val="clear" w:color="auto" w:fill="auto"/>
            <w:noWrap/>
            <w:vAlign w:val="bottom"/>
            <w:hideMark/>
          </w:tcPr>
          <w:p w:rsidR="002B14DE" w:rsidRPr="00FC087A" w:rsidRDefault="002B14DE" w:rsidP="002B14DE">
            <w:pPr>
              <w:spacing w:after="0" w:line="240" w:lineRule="auto"/>
              <w:rPr>
                <w:rFonts w:ascii="Times New Roman" w:eastAsia="Times New Roman" w:hAnsi="Times New Roman" w:cs="Times New Roman"/>
                <w:sz w:val="24"/>
                <w:szCs w:val="24"/>
                <w:lang w:eastAsia="it-IT"/>
              </w:rPr>
            </w:pPr>
          </w:p>
        </w:tc>
        <w:tc>
          <w:tcPr>
            <w:tcW w:w="980" w:type="dxa"/>
            <w:tcBorders>
              <w:top w:val="single" w:sz="4" w:space="0" w:color="auto"/>
              <w:left w:val="nil"/>
              <w:bottom w:val="single" w:sz="4" w:space="0" w:color="auto"/>
              <w:right w:val="nil"/>
            </w:tcBorders>
            <w:shd w:val="clear" w:color="auto" w:fill="auto"/>
            <w:noWrap/>
            <w:vAlign w:val="bottom"/>
            <w:hideMark/>
          </w:tcPr>
          <w:p w:rsidR="002B14DE" w:rsidRPr="00FC087A" w:rsidRDefault="002B14DE" w:rsidP="002B14DE">
            <w:pPr>
              <w:spacing w:after="0" w:line="240" w:lineRule="auto"/>
              <w:rPr>
                <w:rFonts w:ascii="Times New Roman" w:eastAsia="Times New Roman" w:hAnsi="Times New Roman" w:cs="Times New Roman"/>
                <w:sz w:val="20"/>
                <w:szCs w:val="20"/>
                <w:lang w:eastAsia="it-IT"/>
              </w:rPr>
            </w:pPr>
          </w:p>
        </w:tc>
        <w:tc>
          <w:tcPr>
            <w:tcW w:w="1180" w:type="dxa"/>
            <w:tcBorders>
              <w:top w:val="single" w:sz="4" w:space="0" w:color="auto"/>
              <w:left w:val="nil"/>
              <w:bottom w:val="single" w:sz="4" w:space="0" w:color="auto"/>
              <w:right w:val="nil"/>
            </w:tcBorders>
            <w:shd w:val="clear" w:color="auto" w:fill="auto"/>
            <w:noWrap/>
            <w:vAlign w:val="bottom"/>
            <w:hideMark/>
          </w:tcPr>
          <w:p w:rsidR="002B14DE" w:rsidRPr="00FC087A" w:rsidRDefault="002B14DE" w:rsidP="002B14DE">
            <w:pPr>
              <w:spacing w:after="0" w:line="240" w:lineRule="auto"/>
              <w:jc w:val="right"/>
              <w:rPr>
                <w:rFonts w:ascii="Tms Rmn" w:eastAsia="Times New Roman" w:hAnsi="Tms Rmn" w:cs="Times New Roman"/>
                <w:sz w:val="18"/>
                <w:szCs w:val="18"/>
                <w:lang w:eastAsia="it-IT"/>
              </w:rPr>
            </w:pPr>
            <w:r w:rsidRPr="00FC087A">
              <w:rPr>
                <w:rFonts w:ascii="Tms Rmn" w:eastAsia="Times New Roman" w:hAnsi="Tms Rmn" w:cs="Times New Roman"/>
                <w:sz w:val="18"/>
                <w:szCs w:val="18"/>
                <w:lang w:eastAsia="it-IT"/>
              </w:rPr>
              <w:t xml:space="preserve">2012 </w:t>
            </w:r>
          </w:p>
        </w:tc>
        <w:tc>
          <w:tcPr>
            <w:tcW w:w="780" w:type="dxa"/>
            <w:tcBorders>
              <w:top w:val="single" w:sz="4" w:space="0" w:color="auto"/>
              <w:left w:val="nil"/>
              <w:bottom w:val="single" w:sz="4" w:space="0" w:color="auto"/>
              <w:right w:val="nil"/>
            </w:tcBorders>
            <w:shd w:val="clear" w:color="auto" w:fill="auto"/>
            <w:noWrap/>
            <w:vAlign w:val="bottom"/>
            <w:hideMark/>
          </w:tcPr>
          <w:p w:rsidR="002B14DE" w:rsidRPr="00FC087A" w:rsidRDefault="002B14DE" w:rsidP="002B14DE">
            <w:pPr>
              <w:spacing w:after="0" w:line="240" w:lineRule="auto"/>
              <w:jc w:val="right"/>
              <w:rPr>
                <w:rFonts w:ascii="Tms Rmn" w:eastAsia="Times New Roman" w:hAnsi="Tms Rmn" w:cs="Times New Roman"/>
                <w:sz w:val="18"/>
                <w:szCs w:val="18"/>
                <w:lang w:eastAsia="it-IT"/>
              </w:rPr>
            </w:pPr>
            <w:r w:rsidRPr="00FC087A">
              <w:rPr>
                <w:rFonts w:ascii="Tms Rmn" w:eastAsia="Times New Roman" w:hAnsi="Tms Rmn" w:cs="Times New Roman"/>
                <w:sz w:val="18"/>
                <w:szCs w:val="18"/>
                <w:lang w:eastAsia="it-IT"/>
              </w:rPr>
              <w:t xml:space="preserve">2013 </w:t>
            </w:r>
          </w:p>
        </w:tc>
        <w:tc>
          <w:tcPr>
            <w:tcW w:w="860" w:type="dxa"/>
            <w:tcBorders>
              <w:top w:val="single" w:sz="4" w:space="0" w:color="auto"/>
              <w:left w:val="nil"/>
              <w:bottom w:val="single" w:sz="4" w:space="0" w:color="auto"/>
              <w:right w:val="nil"/>
            </w:tcBorders>
            <w:shd w:val="clear" w:color="auto" w:fill="auto"/>
            <w:noWrap/>
            <w:vAlign w:val="bottom"/>
            <w:hideMark/>
          </w:tcPr>
          <w:p w:rsidR="002B14DE" w:rsidRPr="00FC087A" w:rsidRDefault="002B14DE" w:rsidP="002B14DE">
            <w:pPr>
              <w:spacing w:after="0" w:line="240" w:lineRule="auto"/>
              <w:jc w:val="right"/>
              <w:rPr>
                <w:rFonts w:ascii="Tms Rmn" w:eastAsia="Times New Roman" w:hAnsi="Tms Rmn" w:cs="Times New Roman"/>
                <w:sz w:val="18"/>
                <w:szCs w:val="18"/>
                <w:lang w:eastAsia="it-IT"/>
              </w:rPr>
            </w:pPr>
            <w:r w:rsidRPr="00FC087A">
              <w:rPr>
                <w:rFonts w:ascii="Tms Rmn" w:eastAsia="Times New Roman" w:hAnsi="Tms Rmn" w:cs="Times New Roman"/>
                <w:sz w:val="18"/>
                <w:szCs w:val="18"/>
                <w:lang w:eastAsia="it-IT"/>
              </w:rPr>
              <w:t xml:space="preserve">2014 </w:t>
            </w:r>
          </w:p>
        </w:tc>
        <w:tc>
          <w:tcPr>
            <w:tcW w:w="860" w:type="dxa"/>
            <w:tcBorders>
              <w:top w:val="single" w:sz="4" w:space="0" w:color="auto"/>
              <w:left w:val="nil"/>
              <w:bottom w:val="single" w:sz="4" w:space="0" w:color="auto"/>
              <w:right w:val="nil"/>
            </w:tcBorders>
          </w:tcPr>
          <w:p w:rsidR="002B14DE" w:rsidRPr="00FC087A" w:rsidRDefault="002B14DE" w:rsidP="002B14DE">
            <w:pPr>
              <w:spacing w:after="0" w:line="240" w:lineRule="auto"/>
              <w:jc w:val="right"/>
              <w:rPr>
                <w:rFonts w:ascii="Tms Rmn" w:eastAsia="Times New Roman" w:hAnsi="Tms Rmn" w:cs="Times New Roman"/>
                <w:sz w:val="18"/>
                <w:szCs w:val="18"/>
                <w:lang w:eastAsia="it-IT"/>
              </w:rPr>
            </w:pPr>
            <w:r>
              <w:rPr>
                <w:rFonts w:ascii="Tms Rmn" w:eastAsia="Times New Roman" w:hAnsi="Tms Rmn" w:cs="Times New Roman"/>
                <w:sz w:val="18"/>
                <w:szCs w:val="18"/>
                <w:lang w:eastAsia="it-IT"/>
              </w:rPr>
              <w:t>2015</w:t>
            </w:r>
          </w:p>
        </w:tc>
        <w:tc>
          <w:tcPr>
            <w:tcW w:w="860" w:type="dxa"/>
            <w:tcBorders>
              <w:top w:val="single" w:sz="4" w:space="0" w:color="auto"/>
              <w:left w:val="nil"/>
              <w:bottom w:val="single" w:sz="4" w:space="0" w:color="auto"/>
              <w:right w:val="nil"/>
            </w:tcBorders>
          </w:tcPr>
          <w:p w:rsidR="002B14DE" w:rsidRPr="00FC087A" w:rsidRDefault="002B14DE" w:rsidP="002B14DE">
            <w:pPr>
              <w:spacing w:after="0" w:line="240" w:lineRule="auto"/>
              <w:jc w:val="right"/>
              <w:rPr>
                <w:rFonts w:ascii="Tms Rmn" w:eastAsia="Times New Roman" w:hAnsi="Tms Rmn" w:cs="Times New Roman"/>
                <w:sz w:val="18"/>
                <w:szCs w:val="18"/>
                <w:lang w:eastAsia="it-IT"/>
              </w:rPr>
            </w:pPr>
            <w:r>
              <w:rPr>
                <w:rFonts w:ascii="Tms Rmn" w:eastAsia="Times New Roman" w:hAnsi="Tms Rmn" w:cs="Times New Roman"/>
                <w:sz w:val="18"/>
                <w:szCs w:val="18"/>
                <w:lang w:eastAsia="it-IT"/>
              </w:rPr>
              <w:t>2016</w:t>
            </w:r>
          </w:p>
        </w:tc>
      </w:tr>
      <w:tr w:rsidR="002B14DE" w:rsidRPr="00FC087A" w:rsidTr="002B14DE">
        <w:trPr>
          <w:trHeight w:val="240"/>
        </w:trPr>
        <w:tc>
          <w:tcPr>
            <w:tcW w:w="1940" w:type="dxa"/>
            <w:tcBorders>
              <w:top w:val="nil"/>
              <w:left w:val="nil"/>
              <w:bottom w:val="nil"/>
              <w:right w:val="nil"/>
            </w:tcBorders>
            <w:shd w:val="clear" w:color="auto" w:fill="auto"/>
            <w:noWrap/>
            <w:vAlign w:val="bottom"/>
            <w:hideMark/>
          </w:tcPr>
          <w:p w:rsidR="002B14DE" w:rsidRPr="00FC087A" w:rsidRDefault="002B14DE" w:rsidP="002B14DE">
            <w:pPr>
              <w:spacing w:after="0" w:line="240" w:lineRule="auto"/>
              <w:rPr>
                <w:rFonts w:ascii="Tms Rmn" w:eastAsia="Times New Roman" w:hAnsi="Tms Rmn" w:cs="Times New Roman"/>
                <w:sz w:val="18"/>
                <w:szCs w:val="18"/>
                <w:lang w:eastAsia="it-IT"/>
              </w:rPr>
            </w:pPr>
            <w:r w:rsidRPr="00FC087A">
              <w:rPr>
                <w:rFonts w:ascii="Tms Rmn" w:eastAsia="Times New Roman" w:hAnsi="Tms Rmn" w:cs="Times New Roman"/>
                <w:sz w:val="18"/>
                <w:szCs w:val="18"/>
                <w:lang w:eastAsia="it-IT"/>
              </w:rPr>
              <w:t>Investimenti</w:t>
            </w:r>
          </w:p>
        </w:tc>
        <w:tc>
          <w:tcPr>
            <w:tcW w:w="980" w:type="dxa"/>
            <w:tcBorders>
              <w:top w:val="nil"/>
              <w:left w:val="nil"/>
              <w:bottom w:val="nil"/>
              <w:right w:val="nil"/>
            </w:tcBorders>
            <w:shd w:val="clear" w:color="auto" w:fill="auto"/>
            <w:noWrap/>
            <w:vAlign w:val="bottom"/>
            <w:hideMark/>
          </w:tcPr>
          <w:p w:rsidR="002B14DE" w:rsidRPr="00FC087A" w:rsidRDefault="002B14DE" w:rsidP="002B14DE">
            <w:pPr>
              <w:spacing w:after="0" w:line="240" w:lineRule="auto"/>
              <w:rPr>
                <w:rFonts w:ascii="Tms Rmn" w:eastAsia="Times New Roman" w:hAnsi="Tms Rmn" w:cs="Times New Roman"/>
                <w:sz w:val="18"/>
                <w:szCs w:val="18"/>
                <w:lang w:eastAsia="it-IT"/>
              </w:rPr>
            </w:pPr>
          </w:p>
        </w:tc>
        <w:tc>
          <w:tcPr>
            <w:tcW w:w="1180" w:type="dxa"/>
            <w:tcBorders>
              <w:top w:val="nil"/>
              <w:left w:val="nil"/>
              <w:bottom w:val="nil"/>
              <w:right w:val="nil"/>
            </w:tcBorders>
            <w:shd w:val="clear" w:color="auto" w:fill="auto"/>
            <w:noWrap/>
            <w:vAlign w:val="bottom"/>
            <w:hideMark/>
          </w:tcPr>
          <w:p w:rsidR="002B14DE" w:rsidRPr="00FC087A" w:rsidRDefault="002B14DE" w:rsidP="002B14DE">
            <w:pPr>
              <w:spacing w:after="0" w:line="240" w:lineRule="auto"/>
              <w:rPr>
                <w:rFonts w:ascii="Times New Roman" w:eastAsia="Times New Roman" w:hAnsi="Times New Roman" w:cs="Times New Roman"/>
                <w:sz w:val="20"/>
                <w:szCs w:val="20"/>
                <w:lang w:eastAsia="it-IT"/>
              </w:rPr>
            </w:pPr>
          </w:p>
        </w:tc>
        <w:tc>
          <w:tcPr>
            <w:tcW w:w="780" w:type="dxa"/>
            <w:tcBorders>
              <w:top w:val="nil"/>
              <w:left w:val="nil"/>
              <w:bottom w:val="nil"/>
              <w:right w:val="nil"/>
            </w:tcBorders>
            <w:shd w:val="clear" w:color="auto" w:fill="auto"/>
            <w:noWrap/>
            <w:vAlign w:val="bottom"/>
            <w:hideMark/>
          </w:tcPr>
          <w:p w:rsidR="002B14DE" w:rsidRPr="00FC087A" w:rsidRDefault="002B14DE" w:rsidP="002B14DE">
            <w:pPr>
              <w:spacing w:after="0" w:line="240" w:lineRule="auto"/>
              <w:jc w:val="right"/>
              <w:rPr>
                <w:rFonts w:ascii="Tms Rmn" w:eastAsia="Times New Roman" w:hAnsi="Tms Rmn" w:cs="Times New Roman"/>
                <w:sz w:val="18"/>
                <w:szCs w:val="18"/>
                <w:lang w:eastAsia="it-IT"/>
              </w:rPr>
            </w:pPr>
            <w:r w:rsidRPr="00FC087A">
              <w:rPr>
                <w:rFonts w:ascii="Tms Rmn" w:eastAsia="Times New Roman" w:hAnsi="Tms Rmn" w:cs="Times New Roman"/>
                <w:sz w:val="18"/>
                <w:szCs w:val="18"/>
                <w:lang w:eastAsia="it-IT"/>
              </w:rPr>
              <w:t xml:space="preserve">-646 </w:t>
            </w:r>
          </w:p>
        </w:tc>
        <w:tc>
          <w:tcPr>
            <w:tcW w:w="860" w:type="dxa"/>
            <w:tcBorders>
              <w:top w:val="nil"/>
              <w:left w:val="nil"/>
              <w:bottom w:val="nil"/>
              <w:right w:val="nil"/>
            </w:tcBorders>
            <w:shd w:val="clear" w:color="auto" w:fill="auto"/>
            <w:noWrap/>
            <w:vAlign w:val="bottom"/>
            <w:hideMark/>
          </w:tcPr>
          <w:p w:rsidR="002B14DE" w:rsidRPr="00FC087A" w:rsidRDefault="002B14DE" w:rsidP="002B14DE">
            <w:pPr>
              <w:spacing w:after="0" w:line="240" w:lineRule="auto"/>
              <w:jc w:val="right"/>
              <w:rPr>
                <w:rFonts w:ascii="Tms Rmn" w:eastAsia="Times New Roman" w:hAnsi="Tms Rmn" w:cs="Times New Roman"/>
                <w:sz w:val="18"/>
                <w:szCs w:val="18"/>
                <w:lang w:eastAsia="it-IT"/>
              </w:rPr>
            </w:pPr>
            <w:r w:rsidRPr="00FC087A">
              <w:rPr>
                <w:rFonts w:ascii="Tms Rmn" w:eastAsia="Times New Roman" w:hAnsi="Tms Rmn" w:cs="Times New Roman"/>
                <w:sz w:val="18"/>
                <w:szCs w:val="18"/>
                <w:lang w:eastAsia="it-IT"/>
              </w:rPr>
              <w:t xml:space="preserve">4664 </w:t>
            </w:r>
          </w:p>
        </w:tc>
        <w:tc>
          <w:tcPr>
            <w:tcW w:w="860" w:type="dxa"/>
            <w:tcBorders>
              <w:top w:val="nil"/>
              <w:left w:val="nil"/>
              <w:bottom w:val="nil"/>
              <w:right w:val="nil"/>
            </w:tcBorders>
          </w:tcPr>
          <w:p w:rsidR="002B14DE" w:rsidRPr="00FC087A" w:rsidRDefault="002B14DE" w:rsidP="002B14DE">
            <w:pPr>
              <w:spacing w:after="0" w:line="240" w:lineRule="auto"/>
              <w:jc w:val="right"/>
              <w:rPr>
                <w:rFonts w:ascii="Tms Rmn" w:eastAsia="Times New Roman" w:hAnsi="Tms Rmn" w:cs="Times New Roman"/>
                <w:sz w:val="18"/>
                <w:szCs w:val="18"/>
                <w:lang w:eastAsia="it-IT"/>
              </w:rPr>
            </w:pPr>
            <w:r>
              <w:rPr>
                <w:rFonts w:ascii="Tms Rmn" w:eastAsia="Times New Roman" w:hAnsi="Tms Rmn" w:cs="Times New Roman"/>
                <w:sz w:val="18"/>
                <w:szCs w:val="18"/>
                <w:lang w:eastAsia="it-IT"/>
              </w:rPr>
              <w:t>2969</w:t>
            </w:r>
          </w:p>
        </w:tc>
        <w:tc>
          <w:tcPr>
            <w:tcW w:w="860" w:type="dxa"/>
            <w:tcBorders>
              <w:top w:val="nil"/>
              <w:left w:val="nil"/>
              <w:bottom w:val="nil"/>
              <w:right w:val="nil"/>
            </w:tcBorders>
          </w:tcPr>
          <w:p w:rsidR="002B14DE" w:rsidRPr="00FC087A" w:rsidRDefault="002B14DE" w:rsidP="002B14DE">
            <w:pPr>
              <w:spacing w:after="0" w:line="240" w:lineRule="auto"/>
              <w:jc w:val="right"/>
              <w:rPr>
                <w:rFonts w:ascii="Tms Rmn" w:eastAsia="Times New Roman" w:hAnsi="Tms Rmn" w:cs="Times New Roman"/>
                <w:sz w:val="18"/>
                <w:szCs w:val="18"/>
                <w:lang w:eastAsia="it-IT"/>
              </w:rPr>
            </w:pPr>
            <w:r>
              <w:rPr>
                <w:rFonts w:ascii="Tms Rmn" w:eastAsia="Times New Roman" w:hAnsi="Tms Rmn" w:cs="Times New Roman"/>
                <w:sz w:val="18"/>
                <w:szCs w:val="18"/>
                <w:lang w:eastAsia="it-IT"/>
              </w:rPr>
              <w:t>-1901</w:t>
            </w:r>
          </w:p>
        </w:tc>
      </w:tr>
      <w:tr w:rsidR="002B14DE" w:rsidRPr="00FC087A" w:rsidTr="002B14DE">
        <w:trPr>
          <w:trHeight w:val="240"/>
        </w:trPr>
        <w:tc>
          <w:tcPr>
            <w:tcW w:w="1940" w:type="dxa"/>
            <w:tcBorders>
              <w:top w:val="nil"/>
              <w:left w:val="nil"/>
              <w:bottom w:val="nil"/>
              <w:right w:val="nil"/>
            </w:tcBorders>
            <w:shd w:val="clear" w:color="auto" w:fill="auto"/>
            <w:noWrap/>
            <w:vAlign w:val="bottom"/>
            <w:hideMark/>
          </w:tcPr>
          <w:p w:rsidR="002B14DE" w:rsidRPr="00FC087A" w:rsidRDefault="002B14DE" w:rsidP="002B14DE">
            <w:pPr>
              <w:spacing w:after="0" w:line="240" w:lineRule="auto"/>
              <w:rPr>
                <w:rFonts w:ascii="Tms Rmn" w:eastAsia="Times New Roman" w:hAnsi="Tms Rmn" w:cs="Times New Roman"/>
                <w:sz w:val="18"/>
                <w:szCs w:val="18"/>
                <w:lang w:eastAsia="it-IT"/>
              </w:rPr>
            </w:pPr>
            <w:r w:rsidRPr="00FC087A">
              <w:rPr>
                <w:rFonts w:ascii="Tms Rmn" w:eastAsia="Times New Roman" w:hAnsi="Tms Rmn" w:cs="Times New Roman"/>
                <w:sz w:val="18"/>
                <w:szCs w:val="18"/>
                <w:lang w:eastAsia="it-IT"/>
              </w:rPr>
              <w:t xml:space="preserve">Tasso di </w:t>
            </w:r>
            <w:proofErr w:type="spellStart"/>
            <w:r w:rsidRPr="00FC087A">
              <w:rPr>
                <w:rFonts w:ascii="Tms Rmn" w:eastAsia="Times New Roman" w:hAnsi="Tms Rmn" w:cs="Times New Roman"/>
                <w:sz w:val="18"/>
                <w:szCs w:val="18"/>
                <w:lang w:eastAsia="it-IT"/>
              </w:rPr>
              <w:t>accumul</w:t>
            </w:r>
            <w:proofErr w:type="spellEnd"/>
            <w:r w:rsidRPr="00FC087A">
              <w:rPr>
                <w:rFonts w:ascii="Tms Rmn" w:eastAsia="Times New Roman" w:hAnsi="Tms Rmn" w:cs="Times New Roman"/>
                <w:sz w:val="18"/>
                <w:szCs w:val="18"/>
                <w:lang w:eastAsia="it-IT"/>
              </w:rPr>
              <w:t>.</w:t>
            </w:r>
          </w:p>
        </w:tc>
        <w:tc>
          <w:tcPr>
            <w:tcW w:w="980" w:type="dxa"/>
            <w:tcBorders>
              <w:top w:val="nil"/>
              <w:left w:val="nil"/>
              <w:bottom w:val="nil"/>
              <w:right w:val="nil"/>
            </w:tcBorders>
            <w:shd w:val="clear" w:color="auto" w:fill="auto"/>
            <w:noWrap/>
            <w:vAlign w:val="bottom"/>
            <w:hideMark/>
          </w:tcPr>
          <w:p w:rsidR="002B14DE" w:rsidRPr="00FC087A" w:rsidRDefault="002B14DE" w:rsidP="002B14DE">
            <w:pPr>
              <w:spacing w:after="0" w:line="240" w:lineRule="auto"/>
              <w:rPr>
                <w:rFonts w:ascii="Tms Rmn" w:eastAsia="Times New Roman" w:hAnsi="Tms Rmn" w:cs="Times New Roman"/>
                <w:sz w:val="18"/>
                <w:szCs w:val="18"/>
                <w:lang w:eastAsia="it-IT"/>
              </w:rPr>
            </w:pPr>
          </w:p>
        </w:tc>
        <w:tc>
          <w:tcPr>
            <w:tcW w:w="1180" w:type="dxa"/>
            <w:tcBorders>
              <w:top w:val="nil"/>
              <w:left w:val="nil"/>
              <w:bottom w:val="nil"/>
              <w:right w:val="nil"/>
            </w:tcBorders>
            <w:shd w:val="clear" w:color="auto" w:fill="auto"/>
            <w:noWrap/>
            <w:vAlign w:val="bottom"/>
            <w:hideMark/>
          </w:tcPr>
          <w:p w:rsidR="002B14DE" w:rsidRPr="00FC087A" w:rsidRDefault="002B14DE" w:rsidP="002B14DE">
            <w:pPr>
              <w:spacing w:after="0" w:line="240" w:lineRule="auto"/>
              <w:rPr>
                <w:rFonts w:ascii="Times New Roman" w:eastAsia="Times New Roman" w:hAnsi="Times New Roman" w:cs="Times New Roman"/>
                <w:sz w:val="20"/>
                <w:szCs w:val="20"/>
                <w:lang w:eastAsia="it-IT"/>
              </w:rPr>
            </w:pPr>
          </w:p>
        </w:tc>
        <w:tc>
          <w:tcPr>
            <w:tcW w:w="780" w:type="dxa"/>
            <w:tcBorders>
              <w:top w:val="nil"/>
              <w:left w:val="nil"/>
              <w:bottom w:val="nil"/>
              <w:right w:val="nil"/>
            </w:tcBorders>
            <w:shd w:val="clear" w:color="auto" w:fill="auto"/>
            <w:noWrap/>
            <w:vAlign w:val="bottom"/>
            <w:hideMark/>
          </w:tcPr>
          <w:p w:rsidR="002B14DE" w:rsidRPr="00FC087A" w:rsidRDefault="002B14DE" w:rsidP="002B14DE">
            <w:pPr>
              <w:spacing w:after="0" w:line="240" w:lineRule="auto"/>
              <w:jc w:val="right"/>
              <w:rPr>
                <w:rFonts w:ascii="Tms Rmn" w:eastAsia="Times New Roman" w:hAnsi="Tms Rmn" w:cs="Times New Roman"/>
                <w:sz w:val="18"/>
                <w:szCs w:val="18"/>
                <w:lang w:eastAsia="it-IT"/>
              </w:rPr>
            </w:pPr>
            <w:r w:rsidRPr="00FC087A">
              <w:rPr>
                <w:rFonts w:ascii="Tms Rmn" w:eastAsia="Times New Roman" w:hAnsi="Tms Rmn" w:cs="Times New Roman"/>
                <w:sz w:val="18"/>
                <w:szCs w:val="18"/>
                <w:lang w:eastAsia="it-IT"/>
              </w:rPr>
              <w:t>-0,5%</w:t>
            </w:r>
          </w:p>
        </w:tc>
        <w:tc>
          <w:tcPr>
            <w:tcW w:w="860" w:type="dxa"/>
            <w:tcBorders>
              <w:top w:val="nil"/>
              <w:left w:val="nil"/>
              <w:bottom w:val="nil"/>
              <w:right w:val="nil"/>
            </w:tcBorders>
            <w:shd w:val="clear" w:color="auto" w:fill="auto"/>
            <w:noWrap/>
            <w:vAlign w:val="bottom"/>
            <w:hideMark/>
          </w:tcPr>
          <w:p w:rsidR="002B14DE" w:rsidRPr="00FC087A" w:rsidRDefault="002B14DE" w:rsidP="002B14DE">
            <w:pPr>
              <w:spacing w:after="0" w:line="240" w:lineRule="auto"/>
              <w:jc w:val="right"/>
              <w:rPr>
                <w:rFonts w:ascii="Tms Rmn" w:eastAsia="Times New Roman" w:hAnsi="Tms Rmn" w:cs="Times New Roman"/>
                <w:sz w:val="18"/>
                <w:szCs w:val="18"/>
                <w:lang w:eastAsia="it-IT"/>
              </w:rPr>
            </w:pPr>
            <w:r w:rsidRPr="00FC087A">
              <w:rPr>
                <w:rFonts w:ascii="Tms Rmn" w:eastAsia="Times New Roman" w:hAnsi="Tms Rmn" w:cs="Times New Roman"/>
                <w:sz w:val="18"/>
                <w:szCs w:val="18"/>
                <w:lang w:eastAsia="it-IT"/>
              </w:rPr>
              <w:t>3,5%</w:t>
            </w:r>
          </w:p>
        </w:tc>
        <w:tc>
          <w:tcPr>
            <w:tcW w:w="860" w:type="dxa"/>
            <w:tcBorders>
              <w:top w:val="nil"/>
              <w:left w:val="nil"/>
              <w:bottom w:val="nil"/>
              <w:right w:val="nil"/>
            </w:tcBorders>
          </w:tcPr>
          <w:p w:rsidR="002B14DE" w:rsidRPr="00FC087A" w:rsidRDefault="002B14DE" w:rsidP="002B14DE">
            <w:pPr>
              <w:spacing w:after="0" w:line="240" w:lineRule="auto"/>
              <w:jc w:val="right"/>
              <w:rPr>
                <w:rFonts w:ascii="Tms Rmn" w:eastAsia="Times New Roman" w:hAnsi="Tms Rmn" w:cs="Times New Roman"/>
                <w:sz w:val="18"/>
                <w:szCs w:val="18"/>
                <w:lang w:eastAsia="it-IT"/>
              </w:rPr>
            </w:pPr>
            <w:r>
              <w:rPr>
                <w:rFonts w:ascii="Tms Rmn" w:eastAsia="Times New Roman" w:hAnsi="Tms Rmn" w:cs="Times New Roman"/>
                <w:sz w:val="18"/>
                <w:szCs w:val="18"/>
                <w:lang w:eastAsia="it-IT"/>
              </w:rPr>
              <w:t>2,4</w:t>
            </w:r>
          </w:p>
        </w:tc>
        <w:tc>
          <w:tcPr>
            <w:tcW w:w="860" w:type="dxa"/>
            <w:tcBorders>
              <w:top w:val="nil"/>
              <w:left w:val="nil"/>
              <w:bottom w:val="nil"/>
              <w:right w:val="nil"/>
            </w:tcBorders>
          </w:tcPr>
          <w:p w:rsidR="002B14DE" w:rsidRPr="00FC087A" w:rsidRDefault="002B14DE" w:rsidP="002B14DE">
            <w:pPr>
              <w:spacing w:after="0" w:line="240" w:lineRule="auto"/>
              <w:jc w:val="right"/>
              <w:rPr>
                <w:rFonts w:ascii="Tms Rmn" w:eastAsia="Times New Roman" w:hAnsi="Tms Rmn" w:cs="Times New Roman"/>
                <w:sz w:val="18"/>
                <w:szCs w:val="18"/>
                <w:lang w:eastAsia="it-IT"/>
              </w:rPr>
            </w:pPr>
            <w:r>
              <w:rPr>
                <w:rFonts w:ascii="Tms Rmn" w:eastAsia="Times New Roman" w:hAnsi="Tms Rmn" w:cs="Times New Roman"/>
                <w:sz w:val="18"/>
                <w:szCs w:val="18"/>
                <w:lang w:eastAsia="it-IT"/>
              </w:rPr>
              <w:t>-1,5%</w:t>
            </w:r>
          </w:p>
        </w:tc>
      </w:tr>
      <w:tr w:rsidR="002B14DE" w:rsidRPr="00FC087A" w:rsidTr="002B14DE">
        <w:trPr>
          <w:trHeight w:val="240"/>
        </w:trPr>
        <w:tc>
          <w:tcPr>
            <w:tcW w:w="1940" w:type="dxa"/>
            <w:tcBorders>
              <w:top w:val="nil"/>
              <w:left w:val="nil"/>
              <w:bottom w:val="nil"/>
              <w:right w:val="nil"/>
            </w:tcBorders>
            <w:shd w:val="clear" w:color="auto" w:fill="auto"/>
            <w:noWrap/>
            <w:vAlign w:val="bottom"/>
            <w:hideMark/>
          </w:tcPr>
          <w:p w:rsidR="002B14DE" w:rsidRPr="00FC087A" w:rsidRDefault="002B14DE" w:rsidP="002B14DE">
            <w:pPr>
              <w:spacing w:after="0" w:line="240" w:lineRule="auto"/>
              <w:rPr>
                <w:rFonts w:ascii="Tms Rmn" w:eastAsia="Times New Roman" w:hAnsi="Tms Rmn" w:cs="Times New Roman"/>
                <w:sz w:val="18"/>
                <w:szCs w:val="18"/>
                <w:lang w:eastAsia="it-IT"/>
              </w:rPr>
            </w:pPr>
            <w:r w:rsidRPr="00FC087A">
              <w:rPr>
                <w:rFonts w:ascii="Tms Rmn" w:eastAsia="Times New Roman" w:hAnsi="Tms Rmn" w:cs="Times New Roman"/>
                <w:sz w:val="18"/>
                <w:szCs w:val="18"/>
                <w:lang w:eastAsia="it-IT"/>
              </w:rPr>
              <w:t>Grado di ammortamento</w:t>
            </w:r>
          </w:p>
        </w:tc>
        <w:tc>
          <w:tcPr>
            <w:tcW w:w="980" w:type="dxa"/>
            <w:tcBorders>
              <w:top w:val="nil"/>
              <w:left w:val="nil"/>
              <w:bottom w:val="nil"/>
              <w:right w:val="nil"/>
            </w:tcBorders>
            <w:shd w:val="clear" w:color="auto" w:fill="auto"/>
            <w:noWrap/>
            <w:vAlign w:val="bottom"/>
            <w:hideMark/>
          </w:tcPr>
          <w:p w:rsidR="002B14DE" w:rsidRPr="00FC087A" w:rsidRDefault="002B14DE" w:rsidP="002B14DE">
            <w:pPr>
              <w:spacing w:after="0" w:line="240" w:lineRule="auto"/>
              <w:rPr>
                <w:rFonts w:ascii="Tms Rmn" w:eastAsia="Times New Roman" w:hAnsi="Tms Rmn" w:cs="Times New Roman"/>
                <w:sz w:val="18"/>
                <w:szCs w:val="18"/>
                <w:lang w:eastAsia="it-IT"/>
              </w:rPr>
            </w:pPr>
          </w:p>
        </w:tc>
        <w:tc>
          <w:tcPr>
            <w:tcW w:w="1180" w:type="dxa"/>
            <w:tcBorders>
              <w:top w:val="nil"/>
              <w:left w:val="nil"/>
              <w:bottom w:val="nil"/>
              <w:right w:val="nil"/>
            </w:tcBorders>
            <w:shd w:val="clear" w:color="auto" w:fill="auto"/>
            <w:noWrap/>
            <w:vAlign w:val="bottom"/>
            <w:hideMark/>
          </w:tcPr>
          <w:p w:rsidR="002B14DE" w:rsidRPr="00FC087A" w:rsidRDefault="002B14DE" w:rsidP="002B14DE">
            <w:pPr>
              <w:spacing w:after="0" w:line="240" w:lineRule="auto"/>
              <w:jc w:val="right"/>
              <w:rPr>
                <w:rFonts w:ascii="Tms Rmn" w:eastAsia="Times New Roman" w:hAnsi="Tms Rmn" w:cs="Times New Roman"/>
                <w:sz w:val="18"/>
                <w:szCs w:val="18"/>
                <w:lang w:eastAsia="it-IT"/>
              </w:rPr>
            </w:pPr>
            <w:r w:rsidRPr="00FC087A">
              <w:rPr>
                <w:rFonts w:ascii="Tms Rmn" w:eastAsia="Times New Roman" w:hAnsi="Tms Rmn" w:cs="Times New Roman"/>
                <w:sz w:val="18"/>
                <w:szCs w:val="18"/>
                <w:lang w:eastAsia="it-IT"/>
              </w:rPr>
              <w:t>78,0%</w:t>
            </w:r>
          </w:p>
        </w:tc>
        <w:tc>
          <w:tcPr>
            <w:tcW w:w="780" w:type="dxa"/>
            <w:tcBorders>
              <w:top w:val="nil"/>
              <w:left w:val="nil"/>
              <w:bottom w:val="nil"/>
              <w:right w:val="nil"/>
            </w:tcBorders>
            <w:shd w:val="clear" w:color="auto" w:fill="auto"/>
            <w:noWrap/>
            <w:vAlign w:val="bottom"/>
            <w:hideMark/>
          </w:tcPr>
          <w:p w:rsidR="002B14DE" w:rsidRPr="00FC087A" w:rsidRDefault="002B14DE" w:rsidP="002B14DE">
            <w:pPr>
              <w:spacing w:after="0" w:line="240" w:lineRule="auto"/>
              <w:jc w:val="right"/>
              <w:rPr>
                <w:rFonts w:ascii="Tms Rmn" w:eastAsia="Times New Roman" w:hAnsi="Tms Rmn" w:cs="Times New Roman"/>
                <w:sz w:val="18"/>
                <w:szCs w:val="18"/>
                <w:lang w:eastAsia="it-IT"/>
              </w:rPr>
            </w:pPr>
            <w:r w:rsidRPr="00FC087A">
              <w:rPr>
                <w:rFonts w:ascii="Tms Rmn" w:eastAsia="Times New Roman" w:hAnsi="Tms Rmn" w:cs="Times New Roman"/>
                <w:sz w:val="18"/>
                <w:szCs w:val="18"/>
                <w:lang w:eastAsia="it-IT"/>
              </w:rPr>
              <w:t>80,0%</w:t>
            </w:r>
          </w:p>
        </w:tc>
        <w:tc>
          <w:tcPr>
            <w:tcW w:w="860" w:type="dxa"/>
            <w:tcBorders>
              <w:top w:val="nil"/>
              <w:left w:val="nil"/>
              <w:bottom w:val="nil"/>
              <w:right w:val="nil"/>
            </w:tcBorders>
            <w:shd w:val="clear" w:color="auto" w:fill="auto"/>
            <w:noWrap/>
            <w:vAlign w:val="bottom"/>
            <w:hideMark/>
          </w:tcPr>
          <w:p w:rsidR="002B14DE" w:rsidRPr="00FC087A" w:rsidRDefault="002B14DE" w:rsidP="002B14DE">
            <w:pPr>
              <w:spacing w:after="0" w:line="240" w:lineRule="auto"/>
              <w:jc w:val="right"/>
              <w:rPr>
                <w:rFonts w:ascii="Tms Rmn" w:eastAsia="Times New Roman" w:hAnsi="Tms Rmn" w:cs="Times New Roman"/>
                <w:sz w:val="18"/>
                <w:szCs w:val="18"/>
                <w:lang w:eastAsia="it-IT"/>
              </w:rPr>
            </w:pPr>
            <w:r w:rsidRPr="00FC087A">
              <w:rPr>
                <w:rFonts w:ascii="Tms Rmn" w:eastAsia="Times New Roman" w:hAnsi="Tms Rmn" w:cs="Times New Roman"/>
                <w:sz w:val="18"/>
                <w:szCs w:val="18"/>
                <w:lang w:eastAsia="it-IT"/>
              </w:rPr>
              <w:t>78,8%</w:t>
            </w:r>
          </w:p>
        </w:tc>
        <w:tc>
          <w:tcPr>
            <w:tcW w:w="860" w:type="dxa"/>
            <w:tcBorders>
              <w:top w:val="nil"/>
              <w:left w:val="nil"/>
              <w:bottom w:val="nil"/>
              <w:right w:val="nil"/>
            </w:tcBorders>
          </w:tcPr>
          <w:p w:rsidR="002B14DE" w:rsidRPr="00FC087A" w:rsidRDefault="002B14DE" w:rsidP="002B14DE">
            <w:pPr>
              <w:spacing w:after="0" w:line="240" w:lineRule="auto"/>
              <w:jc w:val="right"/>
              <w:rPr>
                <w:rFonts w:ascii="Tms Rmn" w:eastAsia="Times New Roman" w:hAnsi="Tms Rmn" w:cs="Times New Roman"/>
                <w:sz w:val="18"/>
                <w:szCs w:val="18"/>
                <w:lang w:eastAsia="it-IT"/>
              </w:rPr>
            </w:pPr>
            <w:r>
              <w:rPr>
                <w:rFonts w:ascii="Tms Rmn" w:eastAsia="Times New Roman" w:hAnsi="Tms Rmn" w:cs="Times New Roman"/>
                <w:sz w:val="18"/>
                <w:szCs w:val="18"/>
                <w:lang w:eastAsia="it-IT"/>
              </w:rPr>
              <w:t>84,7%</w:t>
            </w:r>
          </w:p>
        </w:tc>
        <w:tc>
          <w:tcPr>
            <w:tcW w:w="860" w:type="dxa"/>
            <w:tcBorders>
              <w:top w:val="nil"/>
              <w:left w:val="nil"/>
              <w:bottom w:val="nil"/>
              <w:right w:val="nil"/>
            </w:tcBorders>
          </w:tcPr>
          <w:p w:rsidR="002B14DE" w:rsidRPr="00FC087A" w:rsidRDefault="002B14DE" w:rsidP="002B14DE">
            <w:pPr>
              <w:spacing w:after="0" w:line="240" w:lineRule="auto"/>
              <w:jc w:val="right"/>
              <w:rPr>
                <w:rFonts w:ascii="Tms Rmn" w:eastAsia="Times New Roman" w:hAnsi="Tms Rmn" w:cs="Times New Roman"/>
                <w:sz w:val="18"/>
                <w:szCs w:val="18"/>
                <w:lang w:eastAsia="it-IT"/>
              </w:rPr>
            </w:pPr>
            <w:r>
              <w:rPr>
                <w:rFonts w:ascii="Tms Rmn" w:eastAsia="Times New Roman" w:hAnsi="Tms Rmn" w:cs="Times New Roman"/>
                <w:sz w:val="18"/>
                <w:szCs w:val="18"/>
                <w:lang w:eastAsia="it-IT"/>
              </w:rPr>
              <w:t>86,8%</w:t>
            </w:r>
          </w:p>
        </w:tc>
      </w:tr>
      <w:tr w:rsidR="002B14DE" w:rsidRPr="00FC087A" w:rsidTr="002B14DE">
        <w:trPr>
          <w:trHeight w:val="240"/>
        </w:trPr>
        <w:tc>
          <w:tcPr>
            <w:tcW w:w="1940" w:type="dxa"/>
            <w:tcBorders>
              <w:top w:val="nil"/>
              <w:left w:val="nil"/>
              <w:bottom w:val="nil"/>
              <w:right w:val="nil"/>
            </w:tcBorders>
            <w:shd w:val="clear" w:color="auto" w:fill="auto"/>
            <w:noWrap/>
            <w:vAlign w:val="bottom"/>
            <w:hideMark/>
          </w:tcPr>
          <w:p w:rsidR="002B14DE" w:rsidRPr="00FC087A" w:rsidRDefault="002B14DE" w:rsidP="002B14DE">
            <w:pPr>
              <w:spacing w:after="0" w:line="240" w:lineRule="auto"/>
              <w:rPr>
                <w:rFonts w:ascii="Tms Rmn" w:eastAsia="Times New Roman" w:hAnsi="Tms Rmn" w:cs="Times New Roman"/>
                <w:sz w:val="18"/>
                <w:szCs w:val="18"/>
                <w:lang w:eastAsia="it-IT"/>
              </w:rPr>
            </w:pPr>
            <w:r w:rsidRPr="00FC087A">
              <w:rPr>
                <w:rFonts w:ascii="Tms Rmn" w:eastAsia="Times New Roman" w:hAnsi="Tms Rmn" w:cs="Times New Roman"/>
                <w:sz w:val="18"/>
                <w:szCs w:val="18"/>
                <w:lang w:eastAsia="it-IT"/>
              </w:rPr>
              <w:t>Tasso di ammortamento</w:t>
            </w:r>
          </w:p>
        </w:tc>
        <w:tc>
          <w:tcPr>
            <w:tcW w:w="980" w:type="dxa"/>
            <w:tcBorders>
              <w:top w:val="nil"/>
              <w:left w:val="nil"/>
              <w:bottom w:val="nil"/>
              <w:right w:val="nil"/>
            </w:tcBorders>
            <w:shd w:val="clear" w:color="auto" w:fill="auto"/>
            <w:noWrap/>
            <w:vAlign w:val="bottom"/>
            <w:hideMark/>
          </w:tcPr>
          <w:p w:rsidR="002B14DE" w:rsidRPr="00FC087A" w:rsidRDefault="002B14DE" w:rsidP="002B14DE">
            <w:pPr>
              <w:spacing w:after="0" w:line="240" w:lineRule="auto"/>
              <w:rPr>
                <w:rFonts w:ascii="Tms Rmn" w:eastAsia="Times New Roman" w:hAnsi="Tms Rmn" w:cs="Times New Roman"/>
                <w:sz w:val="18"/>
                <w:szCs w:val="18"/>
                <w:lang w:eastAsia="it-IT"/>
              </w:rPr>
            </w:pPr>
          </w:p>
        </w:tc>
        <w:tc>
          <w:tcPr>
            <w:tcW w:w="1180" w:type="dxa"/>
            <w:tcBorders>
              <w:top w:val="nil"/>
              <w:left w:val="nil"/>
              <w:bottom w:val="nil"/>
              <w:right w:val="nil"/>
            </w:tcBorders>
            <w:shd w:val="clear" w:color="auto" w:fill="auto"/>
            <w:noWrap/>
            <w:vAlign w:val="bottom"/>
            <w:hideMark/>
          </w:tcPr>
          <w:p w:rsidR="002B14DE" w:rsidRPr="00FC087A" w:rsidRDefault="002B14DE" w:rsidP="002B14DE">
            <w:pPr>
              <w:spacing w:after="0" w:line="240" w:lineRule="auto"/>
              <w:jc w:val="right"/>
              <w:rPr>
                <w:rFonts w:ascii="Tms Rmn" w:eastAsia="Times New Roman" w:hAnsi="Tms Rmn" w:cs="Times New Roman"/>
                <w:sz w:val="18"/>
                <w:szCs w:val="18"/>
                <w:lang w:eastAsia="it-IT"/>
              </w:rPr>
            </w:pPr>
            <w:r w:rsidRPr="00FC087A">
              <w:rPr>
                <w:rFonts w:ascii="Tms Rmn" w:eastAsia="Times New Roman" w:hAnsi="Tms Rmn" w:cs="Times New Roman"/>
                <w:sz w:val="18"/>
                <w:szCs w:val="18"/>
                <w:lang w:eastAsia="it-IT"/>
              </w:rPr>
              <w:t>14,4%</w:t>
            </w:r>
          </w:p>
        </w:tc>
        <w:tc>
          <w:tcPr>
            <w:tcW w:w="780" w:type="dxa"/>
            <w:tcBorders>
              <w:top w:val="nil"/>
              <w:left w:val="nil"/>
              <w:bottom w:val="nil"/>
              <w:right w:val="nil"/>
            </w:tcBorders>
            <w:shd w:val="clear" w:color="auto" w:fill="auto"/>
            <w:noWrap/>
            <w:vAlign w:val="bottom"/>
            <w:hideMark/>
          </w:tcPr>
          <w:p w:rsidR="002B14DE" w:rsidRPr="00FC087A" w:rsidRDefault="002B14DE" w:rsidP="002B14DE">
            <w:pPr>
              <w:spacing w:after="0" w:line="240" w:lineRule="auto"/>
              <w:jc w:val="right"/>
              <w:rPr>
                <w:rFonts w:ascii="Tms Rmn" w:eastAsia="Times New Roman" w:hAnsi="Tms Rmn" w:cs="Times New Roman"/>
                <w:sz w:val="18"/>
                <w:szCs w:val="18"/>
                <w:lang w:eastAsia="it-IT"/>
              </w:rPr>
            </w:pPr>
            <w:r w:rsidRPr="00FC087A">
              <w:rPr>
                <w:rFonts w:ascii="Tms Rmn" w:eastAsia="Times New Roman" w:hAnsi="Tms Rmn" w:cs="Times New Roman"/>
                <w:sz w:val="18"/>
                <w:szCs w:val="18"/>
                <w:lang w:eastAsia="it-IT"/>
              </w:rPr>
              <w:t>14,4%</w:t>
            </w:r>
          </w:p>
        </w:tc>
        <w:tc>
          <w:tcPr>
            <w:tcW w:w="860" w:type="dxa"/>
            <w:tcBorders>
              <w:top w:val="nil"/>
              <w:left w:val="nil"/>
              <w:bottom w:val="nil"/>
              <w:right w:val="nil"/>
            </w:tcBorders>
            <w:shd w:val="clear" w:color="auto" w:fill="auto"/>
            <w:noWrap/>
            <w:vAlign w:val="bottom"/>
            <w:hideMark/>
          </w:tcPr>
          <w:p w:rsidR="002B14DE" w:rsidRPr="00FC087A" w:rsidRDefault="002B14DE" w:rsidP="002B14DE">
            <w:pPr>
              <w:spacing w:after="0" w:line="240" w:lineRule="auto"/>
              <w:jc w:val="right"/>
              <w:rPr>
                <w:rFonts w:ascii="Tms Rmn" w:eastAsia="Times New Roman" w:hAnsi="Tms Rmn" w:cs="Times New Roman"/>
                <w:sz w:val="18"/>
                <w:szCs w:val="18"/>
                <w:lang w:eastAsia="it-IT"/>
              </w:rPr>
            </w:pPr>
            <w:r w:rsidRPr="00FC087A">
              <w:rPr>
                <w:rFonts w:ascii="Tms Rmn" w:eastAsia="Times New Roman" w:hAnsi="Tms Rmn" w:cs="Times New Roman"/>
                <w:sz w:val="18"/>
                <w:szCs w:val="18"/>
                <w:lang w:eastAsia="it-IT"/>
              </w:rPr>
              <w:t>15,7%</w:t>
            </w:r>
          </w:p>
        </w:tc>
        <w:tc>
          <w:tcPr>
            <w:tcW w:w="860" w:type="dxa"/>
            <w:tcBorders>
              <w:top w:val="nil"/>
              <w:left w:val="nil"/>
              <w:bottom w:val="nil"/>
              <w:right w:val="nil"/>
            </w:tcBorders>
          </w:tcPr>
          <w:p w:rsidR="002B14DE" w:rsidRPr="00FC087A" w:rsidRDefault="002B14DE" w:rsidP="002B14DE">
            <w:pPr>
              <w:spacing w:after="0" w:line="240" w:lineRule="auto"/>
              <w:jc w:val="right"/>
              <w:rPr>
                <w:rFonts w:ascii="Tms Rmn" w:eastAsia="Times New Roman" w:hAnsi="Tms Rmn" w:cs="Times New Roman"/>
                <w:sz w:val="18"/>
                <w:szCs w:val="18"/>
                <w:lang w:eastAsia="it-IT"/>
              </w:rPr>
            </w:pPr>
            <w:r>
              <w:rPr>
                <w:rFonts w:ascii="Tms Rmn" w:eastAsia="Times New Roman" w:hAnsi="Tms Rmn" w:cs="Times New Roman"/>
                <w:sz w:val="18"/>
                <w:szCs w:val="18"/>
                <w:lang w:eastAsia="it-IT"/>
              </w:rPr>
              <w:t>14,0%</w:t>
            </w:r>
          </w:p>
        </w:tc>
        <w:tc>
          <w:tcPr>
            <w:tcW w:w="860" w:type="dxa"/>
            <w:tcBorders>
              <w:top w:val="nil"/>
              <w:left w:val="nil"/>
              <w:bottom w:val="nil"/>
              <w:right w:val="nil"/>
            </w:tcBorders>
          </w:tcPr>
          <w:p w:rsidR="002B14DE" w:rsidRPr="00FC087A" w:rsidRDefault="002B14DE" w:rsidP="002B14DE">
            <w:pPr>
              <w:spacing w:after="0" w:line="240" w:lineRule="auto"/>
              <w:jc w:val="right"/>
              <w:rPr>
                <w:rFonts w:ascii="Tms Rmn" w:eastAsia="Times New Roman" w:hAnsi="Tms Rmn" w:cs="Times New Roman"/>
                <w:sz w:val="18"/>
                <w:szCs w:val="18"/>
                <w:lang w:eastAsia="it-IT"/>
              </w:rPr>
            </w:pPr>
            <w:r>
              <w:rPr>
                <w:rFonts w:ascii="Tms Rmn" w:eastAsia="Times New Roman" w:hAnsi="Tms Rmn" w:cs="Times New Roman"/>
                <w:sz w:val="18"/>
                <w:szCs w:val="18"/>
                <w:lang w:eastAsia="it-IT"/>
              </w:rPr>
              <w:t>14,2%</w:t>
            </w:r>
          </w:p>
        </w:tc>
      </w:tr>
    </w:tbl>
    <w:p w:rsidR="002B14DE" w:rsidRDefault="002B14DE" w:rsidP="002B14DE">
      <w:pPr>
        <w:jc w:val="both"/>
      </w:pPr>
    </w:p>
    <w:p w:rsidR="002B14DE" w:rsidRDefault="002B14DE" w:rsidP="002B14DE">
      <w:pPr>
        <w:jc w:val="both"/>
      </w:pPr>
      <w:r>
        <w:t xml:space="preserve">Le varie immobilizzazioni equivalgono a destinazioni delle risorse sotto controllo dell’azienda; vediamo la ripartizione fra tutte le possibili destinazioni delle risorse aziendali.  Le immobilizzazioni tecniche dopo tutto sono una parte abbastanza modesta delle risorse detenute dalle aziende orafe (fra il 2% e il 5%), in leggera tendenza decrescente, mentre anche le immobilizzazioni immateriali hanno una entità complessiva non elevata (1,2%- 1,4%); queste ultime concentrano risorse di tipo immateriale (come i marchi, i brevetti, le spese in R&amp;S, l’avviamento): evidentemente anche l’investimento in questo tipo di attività da parte delle imprese orafe è mediamente piuttosto modesto. Un altro 2%-2,7% delle attività disponibili per le imprese orafe è collocato in “immobilizzazioni finanziarie” (investimenti di natura finanziaria). Ben più rilevante è il valore di quanto le imprese hanno in magazzino (prodotti finiti, o intermedi), che mediamente equivaleva fino al 2014 ad un terzo delle risorse (attività) delle imprese, con una certa costanza negli anni, ma che </w:t>
      </w:r>
      <w:proofErr w:type="gramStart"/>
      <w:r>
        <w:t>nel  2015</w:t>
      </w:r>
      <w:proofErr w:type="gramEnd"/>
      <w:r>
        <w:t>-16 si è allargata al 40% circa. Un'altra ingente quota di attività è classificata come “crediti commerciali” o “altri crediti”, fra il 42</w:t>
      </w:r>
      <w:proofErr w:type="gramStart"/>
      <w:r>
        <w:t>%  il</w:t>
      </w:r>
      <w:proofErr w:type="gramEnd"/>
      <w:r>
        <w:t xml:space="preserve"> 51% delle attività, negli anni considerati (ma con una tendenza alla riduzione: le attività si concentrano pericolosamente verso il magazzino. Di questi la parte minore (fra l’10% e il 14%, con un andamento </w:t>
      </w:r>
      <w:proofErr w:type="spellStart"/>
      <w:r>
        <w:t>prociclico</w:t>
      </w:r>
      <w:proofErr w:type="spellEnd"/>
      <w:r>
        <w:t xml:space="preserve">) è costituita da crediti alla clientela (si può supporre, aziende della distribuzione, o altre aziende orafe), che dilaziona il pagamento di beni ricevuti dalle aziende orafe. La maggior parte (fra il 31% e il 37%, sempre con andamento leggermente </w:t>
      </w:r>
      <w:proofErr w:type="spellStart"/>
      <w:r>
        <w:t>prociclico</w:t>
      </w:r>
      <w:proofErr w:type="spellEnd"/>
      <w:r>
        <w:t xml:space="preserve">) è però costituita da crediti finanziari o altri crediti, che tra l’altro comprendono la copertura assicurativa del valore della materia aurea. Non è indifferente neanche la quota di attività detenuta come liquidità (banca e cassa) che ha un andamento anticiclico e assorbe dal 7% </w:t>
      </w:r>
      <w:proofErr w:type="spellStart"/>
      <w:r>
        <w:t>alL’</w:t>
      </w:r>
      <w:proofErr w:type="spellEnd"/>
      <w:r>
        <w:t xml:space="preserve"> 11% delle attività.</w:t>
      </w:r>
    </w:p>
    <w:tbl>
      <w:tblPr>
        <w:tblW w:w="7460" w:type="dxa"/>
        <w:tblCellMar>
          <w:left w:w="70" w:type="dxa"/>
          <w:right w:w="70" w:type="dxa"/>
        </w:tblCellMar>
        <w:tblLook w:val="04A0" w:firstRow="1" w:lastRow="0" w:firstColumn="1" w:lastColumn="0" w:noHBand="0" w:noVBand="1"/>
      </w:tblPr>
      <w:tblGrid>
        <w:gridCol w:w="1940"/>
        <w:gridCol w:w="980"/>
        <w:gridCol w:w="1180"/>
        <w:gridCol w:w="780"/>
        <w:gridCol w:w="860"/>
        <w:gridCol w:w="860"/>
        <w:gridCol w:w="860"/>
      </w:tblGrid>
      <w:tr w:rsidR="002B14DE" w:rsidRPr="00FC087A" w:rsidTr="002B14DE">
        <w:trPr>
          <w:trHeight w:val="240"/>
        </w:trPr>
        <w:tc>
          <w:tcPr>
            <w:tcW w:w="1940" w:type="dxa"/>
            <w:tcBorders>
              <w:top w:val="single" w:sz="4" w:space="0" w:color="auto"/>
              <w:left w:val="nil"/>
              <w:bottom w:val="single" w:sz="4" w:space="0" w:color="auto"/>
              <w:right w:val="nil"/>
            </w:tcBorders>
            <w:shd w:val="clear" w:color="auto" w:fill="auto"/>
            <w:noWrap/>
            <w:vAlign w:val="bottom"/>
            <w:hideMark/>
          </w:tcPr>
          <w:p w:rsidR="002B14DE" w:rsidRPr="00FC087A" w:rsidRDefault="002B14DE" w:rsidP="002B14DE">
            <w:pPr>
              <w:spacing w:after="0" w:line="240" w:lineRule="auto"/>
              <w:rPr>
                <w:rFonts w:ascii="Tms Rmn" w:eastAsia="Times New Roman" w:hAnsi="Tms Rmn" w:cs="Times New Roman"/>
                <w:sz w:val="18"/>
                <w:szCs w:val="18"/>
                <w:lang w:eastAsia="it-IT"/>
              </w:rPr>
            </w:pPr>
          </w:p>
        </w:tc>
        <w:tc>
          <w:tcPr>
            <w:tcW w:w="980" w:type="dxa"/>
            <w:tcBorders>
              <w:top w:val="single" w:sz="4" w:space="0" w:color="auto"/>
              <w:left w:val="nil"/>
              <w:bottom w:val="single" w:sz="4" w:space="0" w:color="auto"/>
              <w:right w:val="nil"/>
            </w:tcBorders>
            <w:shd w:val="clear" w:color="auto" w:fill="auto"/>
            <w:noWrap/>
            <w:vAlign w:val="bottom"/>
            <w:hideMark/>
          </w:tcPr>
          <w:p w:rsidR="002B14DE" w:rsidRPr="00FC087A" w:rsidRDefault="002B14DE" w:rsidP="002B14DE">
            <w:pPr>
              <w:spacing w:after="0" w:line="240" w:lineRule="auto"/>
              <w:rPr>
                <w:rFonts w:ascii="Tms Rmn" w:eastAsia="Times New Roman" w:hAnsi="Tms Rmn" w:cs="Times New Roman"/>
                <w:sz w:val="18"/>
                <w:szCs w:val="18"/>
                <w:lang w:eastAsia="it-IT"/>
              </w:rPr>
            </w:pPr>
          </w:p>
        </w:tc>
        <w:tc>
          <w:tcPr>
            <w:tcW w:w="1180" w:type="dxa"/>
            <w:tcBorders>
              <w:top w:val="single" w:sz="4" w:space="0" w:color="auto"/>
              <w:left w:val="nil"/>
              <w:bottom w:val="single" w:sz="4" w:space="0" w:color="auto"/>
              <w:right w:val="nil"/>
            </w:tcBorders>
            <w:shd w:val="clear" w:color="auto" w:fill="auto"/>
            <w:noWrap/>
            <w:vAlign w:val="bottom"/>
            <w:hideMark/>
          </w:tcPr>
          <w:p w:rsidR="002B14DE" w:rsidRPr="00FC087A" w:rsidRDefault="002B14DE" w:rsidP="002B14DE">
            <w:pPr>
              <w:spacing w:after="0" w:line="240" w:lineRule="auto"/>
              <w:jc w:val="right"/>
              <w:rPr>
                <w:rFonts w:ascii="Tms Rmn" w:eastAsia="Times New Roman" w:hAnsi="Tms Rmn" w:cs="Times New Roman"/>
                <w:sz w:val="18"/>
                <w:szCs w:val="18"/>
                <w:lang w:eastAsia="it-IT"/>
              </w:rPr>
            </w:pPr>
            <w:r w:rsidRPr="00FC087A">
              <w:rPr>
                <w:rFonts w:ascii="Tms Rmn" w:eastAsia="Times New Roman" w:hAnsi="Tms Rmn" w:cs="Times New Roman"/>
                <w:sz w:val="18"/>
                <w:szCs w:val="18"/>
                <w:lang w:eastAsia="it-IT"/>
              </w:rPr>
              <w:t xml:space="preserve">2012 </w:t>
            </w:r>
          </w:p>
        </w:tc>
        <w:tc>
          <w:tcPr>
            <w:tcW w:w="780" w:type="dxa"/>
            <w:tcBorders>
              <w:top w:val="single" w:sz="4" w:space="0" w:color="auto"/>
              <w:left w:val="nil"/>
              <w:bottom w:val="single" w:sz="4" w:space="0" w:color="auto"/>
              <w:right w:val="nil"/>
            </w:tcBorders>
            <w:shd w:val="clear" w:color="auto" w:fill="auto"/>
            <w:noWrap/>
            <w:vAlign w:val="bottom"/>
            <w:hideMark/>
          </w:tcPr>
          <w:p w:rsidR="002B14DE" w:rsidRPr="00FC087A" w:rsidRDefault="002B14DE" w:rsidP="002B14DE">
            <w:pPr>
              <w:spacing w:after="0" w:line="240" w:lineRule="auto"/>
              <w:jc w:val="right"/>
              <w:rPr>
                <w:rFonts w:ascii="Tms Rmn" w:eastAsia="Times New Roman" w:hAnsi="Tms Rmn" w:cs="Times New Roman"/>
                <w:sz w:val="18"/>
                <w:szCs w:val="18"/>
                <w:lang w:eastAsia="it-IT"/>
              </w:rPr>
            </w:pPr>
            <w:r w:rsidRPr="00FC087A">
              <w:rPr>
                <w:rFonts w:ascii="Tms Rmn" w:eastAsia="Times New Roman" w:hAnsi="Tms Rmn" w:cs="Times New Roman"/>
                <w:sz w:val="18"/>
                <w:szCs w:val="18"/>
                <w:lang w:eastAsia="it-IT"/>
              </w:rPr>
              <w:t xml:space="preserve">2013 </w:t>
            </w:r>
          </w:p>
        </w:tc>
        <w:tc>
          <w:tcPr>
            <w:tcW w:w="860" w:type="dxa"/>
            <w:tcBorders>
              <w:top w:val="single" w:sz="4" w:space="0" w:color="auto"/>
              <w:left w:val="nil"/>
              <w:bottom w:val="single" w:sz="4" w:space="0" w:color="auto"/>
              <w:right w:val="nil"/>
            </w:tcBorders>
            <w:shd w:val="clear" w:color="auto" w:fill="auto"/>
            <w:noWrap/>
            <w:vAlign w:val="bottom"/>
            <w:hideMark/>
          </w:tcPr>
          <w:p w:rsidR="002B14DE" w:rsidRPr="00FC087A" w:rsidRDefault="002B14DE" w:rsidP="002B14DE">
            <w:pPr>
              <w:spacing w:after="0" w:line="240" w:lineRule="auto"/>
              <w:jc w:val="right"/>
              <w:rPr>
                <w:rFonts w:ascii="Tms Rmn" w:eastAsia="Times New Roman" w:hAnsi="Tms Rmn" w:cs="Times New Roman"/>
                <w:sz w:val="18"/>
                <w:szCs w:val="18"/>
                <w:lang w:eastAsia="it-IT"/>
              </w:rPr>
            </w:pPr>
            <w:r w:rsidRPr="00FC087A">
              <w:rPr>
                <w:rFonts w:ascii="Tms Rmn" w:eastAsia="Times New Roman" w:hAnsi="Tms Rmn" w:cs="Times New Roman"/>
                <w:sz w:val="18"/>
                <w:szCs w:val="18"/>
                <w:lang w:eastAsia="it-IT"/>
              </w:rPr>
              <w:t xml:space="preserve">2014 </w:t>
            </w:r>
          </w:p>
        </w:tc>
        <w:tc>
          <w:tcPr>
            <w:tcW w:w="860" w:type="dxa"/>
            <w:tcBorders>
              <w:top w:val="single" w:sz="4" w:space="0" w:color="auto"/>
              <w:left w:val="nil"/>
              <w:bottom w:val="single" w:sz="4" w:space="0" w:color="auto"/>
              <w:right w:val="nil"/>
            </w:tcBorders>
          </w:tcPr>
          <w:p w:rsidR="002B14DE" w:rsidRPr="00FC087A" w:rsidRDefault="002B14DE" w:rsidP="002B14DE">
            <w:pPr>
              <w:spacing w:after="0" w:line="240" w:lineRule="auto"/>
              <w:jc w:val="right"/>
              <w:rPr>
                <w:rFonts w:ascii="Tms Rmn" w:eastAsia="Times New Roman" w:hAnsi="Tms Rmn" w:cs="Times New Roman"/>
                <w:sz w:val="18"/>
                <w:szCs w:val="18"/>
                <w:lang w:eastAsia="it-IT"/>
              </w:rPr>
            </w:pPr>
            <w:r>
              <w:rPr>
                <w:rFonts w:ascii="Tms Rmn" w:eastAsia="Times New Roman" w:hAnsi="Tms Rmn" w:cs="Times New Roman"/>
                <w:sz w:val="18"/>
                <w:szCs w:val="18"/>
                <w:lang w:eastAsia="it-IT"/>
              </w:rPr>
              <w:t>2015</w:t>
            </w:r>
          </w:p>
        </w:tc>
        <w:tc>
          <w:tcPr>
            <w:tcW w:w="860" w:type="dxa"/>
            <w:tcBorders>
              <w:top w:val="single" w:sz="4" w:space="0" w:color="auto"/>
              <w:left w:val="nil"/>
              <w:bottom w:val="single" w:sz="4" w:space="0" w:color="auto"/>
              <w:right w:val="nil"/>
            </w:tcBorders>
          </w:tcPr>
          <w:p w:rsidR="002B14DE" w:rsidRPr="00FC087A" w:rsidRDefault="002B14DE" w:rsidP="002B14DE">
            <w:pPr>
              <w:spacing w:after="0" w:line="240" w:lineRule="auto"/>
              <w:jc w:val="right"/>
              <w:rPr>
                <w:rFonts w:ascii="Tms Rmn" w:eastAsia="Times New Roman" w:hAnsi="Tms Rmn" w:cs="Times New Roman"/>
                <w:sz w:val="18"/>
                <w:szCs w:val="18"/>
                <w:lang w:eastAsia="it-IT"/>
              </w:rPr>
            </w:pPr>
            <w:r>
              <w:rPr>
                <w:rFonts w:ascii="Tms Rmn" w:eastAsia="Times New Roman" w:hAnsi="Tms Rmn" w:cs="Times New Roman"/>
                <w:sz w:val="18"/>
                <w:szCs w:val="18"/>
                <w:lang w:eastAsia="it-IT"/>
              </w:rPr>
              <w:t>2016</w:t>
            </w:r>
          </w:p>
        </w:tc>
      </w:tr>
      <w:tr w:rsidR="002B14DE" w:rsidRPr="00B81EBC" w:rsidTr="002B14DE">
        <w:trPr>
          <w:trHeight w:val="240"/>
        </w:trPr>
        <w:tc>
          <w:tcPr>
            <w:tcW w:w="1940" w:type="dxa"/>
            <w:tcBorders>
              <w:top w:val="single" w:sz="4" w:space="0" w:color="auto"/>
              <w:left w:val="nil"/>
              <w:bottom w:val="nil"/>
              <w:right w:val="nil"/>
            </w:tcBorders>
            <w:shd w:val="clear" w:color="auto" w:fill="auto"/>
            <w:noWrap/>
            <w:vAlign w:val="bottom"/>
            <w:hideMark/>
          </w:tcPr>
          <w:p w:rsidR="002B14DE" w:rsidRPr="00B81EBC" w:rsidRDefault="002B14DE" w:rsidP="002B14DE">
            <w:pPr>
              <w:spacing w:after="0" w:line="240" w:lineRule="auto"/>
              <w:rPr>
                <w:rFonts w:ascii="Tms Rmn" w:eastAsia="Times New Roman" w:hAnsi="Tms Rmn" w:cs="Times New Roman"/>
                <w:sz w:val="18"/>
                <w:szCs w:val="18"/>
                <w:lang w:eastAsia="it-IT"/>
              </w:rPr>
            </w:pPr>
            <w:proofErr w:type="spellStart"/>
            <w:proofErr w:type="gramStart"/>
            <w:r w:rsidRPr="00B81EBC">
              <w:rPr>
                <w:rFonts w:ascii="Tms Rmn" w:eastAsia="Times New Roman" w:hAnsi="Tms Rmn" w:cs="Times New Roman"/>
                <w:sz w:val="18"/>
                <w:szCs w:val="18"/>
                <w:lang w:eastAsia="it-IT"/>
              </w:rPr>
              <w:t>Imm.Tecn</w:t>
            </w:r>
            <w:proofErr w:type="spellEnd"/>
            <w:r w:rsidRPr="00B81EBC">
              <w:rPr>
                <w:rFonts w:ascii="Tms Rmn" w:eastAsia="Times New Roman" w:hAnsi="Tms Rmn" w:cs="Times New Roman"/>
                <w:sz w:val="18"/>
                <w:szCs w:val="18"/>
                <w:lang w:eastAsia="it-IT"/>
              </w:rPr>
              <w:t>./</w:t>
            </w:r>
            <w:proofErr w:type="spellStart"/>
            <w:proofErr w:type="gramEnd"/>
            <w:r w:rsidRPr="00B81EBC">
              <w:rPr>
                <w:rFonts w:ascii="Tms Rmn" w:eastAsia="Times New Roman" w:hAnsi="Tms Rmn" w:cs="Times New Roman"/>
                <w:sz w:val="18"/>
                <w:szCs w:val="18"/>
                <w:lang w:eastAsia="it-IT"/>
              </w:rPr>
              <w:t>Att</w:t>
            </w:r>
            <w:proofErr w:type="spellEnd"/>
            <w:r w:rsidRPr="00B81EBC">
              <w:rPr>
                <w:rFonts w:ascii="Tms Rmn" w:eastAsia="Times New Roman" w:hAnsi="Tms Rmn" w:cs="Times New Roman"/>
                <w:sz w:val="18"/>
                <w:szCs w:val="18"/>
                <w:lang w:eastAsia="it-IT"/>
              </w:rPr>
              <w:t>.</w:t>
            </w:r>
          </w:p>
        </w:tc>
        <w:tc>
          <w:tcPr>
            <w:tcW w:w="980" w:type="dxa"/>
            <w:tcBorders>
              <w:top w:val="single" w:sz="4" w:space="0" w:color="auto"/>
              <w:left w:val="nil"/>
              <w:bottom w:val="nil"/>
              <w:right w:val="nil"/>
            </w:tcBorders>
            <w:shd w:val="clear" w:color="auto" w:fill="auto"/>
            <w:noWrap/>
            <w:vAlign w:val="bottom"/>
            <w:hideMark/>
          </w:tcPr>
          <w:p w:rsidR="002B14DE" w:rsidRPr="00B81EBC" w:rsidRDefault="002B14DE" w:rsidP="002B14DE">
            <w:pPr>
              <w:spacing w:after="0" w:line="240" w:lineRule="auto"/>
              <w:rPr>
                <w:rFonts w:ascii="Tms Rmn" w:eastAsia="Times New Roman" w:hAnsi="Tms Rmn" w:cs="Times New Roman"/>
                <w:sz w:val="18"/>
                <w:szCs w:val="18"/>
                <w:lang w:eastAsia="it-IT"/>
              </w:rPr>
            </w:pPr>
          </w:p>
        </w:tc>
        <w:tc>
          <w:tcPr>
            <w:tcW w:w="1180" w:type="dxa"/>
            <w:tcBorders>
              <w:top w:val="single" w:sz="4" w:space="0" w:color="auto"/>
              <w:left w:val="nil"/>
              <w:bottom w:val="nil"/>
              <w:right w:val="nil"/>
            </w:tcBorders>
            <w:shd w:val="clear" w:color="auto" w:fill="auto"/>
            <w:noWrap/>
            <w:vAlign w:val="bottom"/>
            <w:hideMark/>
          </w:tcPr>
          <w:p w:rsidR="002B14DE" w:rsidRPr="00B81EBC" w:rsidRDefault="002B14DE" w:rsidP="002B14DE">
            <w:pPr>
              <w:spacing w:after="0" w:line="240" w:lineRule="auto"/>
              <w:jc w:val="right"/>
              <w:rPr>
                <w:rFonts w:ascii="Tms Rmn" w:eastAsia="Times New Roman" w:hAnsi="Tms Rmn" w:cs="Times New Roman"/>
                <w:sz w:val="18"/>
                <w:szCs w:val="18"/>
                <w:lang w:eastAsia="it-IT"/>
              </w:rPr>
            </w:pPr>
            <w:r w:rsidRPr="00B81EBC">
              <w:rPr>
                <w:rFonts w:ascii="Tms Rmn" w:eastAsia="Times New Roman" w:hAnsi="Tms Rmn" w:cs="Times New Roman"/>
                <w:sz w:val="18"/>
                <w:szCs w:val="18"/>
                <w:lang w:eastAsia="it-IT"/>
              </w:rPr>
              <w:t>5,2%</w:t>
            </w:r>
          </w:p>
        </w:tc>
        <w:tc>
          <w:tcPr>
            <w:tcW w:w="780" w:type="dxa"/>
            <w:tcBorders>
              <w:top w:val="single" w:sz="4" w:space="0" w:color="auto"/>
              <w:left w:val="nil"/>
              <w:bottom w:val="nil"/>
              <w:right w:val="nil"/>
            </w:tcBorders>
            <w:shd w:val="clear" w:color="auto" w:fill="auto"/>
            <w:noWrap/>
            <w:vAlign w:val="bottom"/>
            <w:hideMark/>
          </w:tcPr>
          <w:p w:rsidR="002B14DE" w:rsidRPr="00B81EBC" w:rsidRDefault="002B14DE" w:rsidP="002B14DE">
            <w:pPr>
              <w:spacing w:after="0" w:line="240" w:lineRule="auto"/>
              <w:jc w:val="right"/>
              <w:rPr>
                <w:rFonts w:ascii="Tms Rmn" w:eastAsia="Times New Roman" w:hAnsi="Tms Rmn" w:cs="Times New Roman"/>
                <w:sz w:val="18"/>
                <w:szCs w:val="18"/>
                <w:lang w:eastAsia="it-IT"/>
              </w:rPr>
            </w:pPr>
            <w:r w:rsidRPr="00B81EBC">
              <w:rPr>
                <w:rFonts w:ascii="Tms Rmn" w:eastAsia="Times New Roman" w:hAnsi="Tms Rmn" w:cs="Times New Roman"/>
                <w:sz w:val="18"/>
                <w:szCs w:val="18"/>
                <w:lang w:eastAsia="it-IT"/>
              </w:rPr>
              <w:t>4,1%</w:t>
            </w:r>
          </w:p>
        </w:tc>
        <w:tc>
          <w:tcPr>
            <w:tcW w:w="860" w:type="dxa"/>
            <w:tcBorders>
              <w:top w:val="single" w:sz="4" w:space="0" w:color="auto"/>
              <w:left w:val="nil"/>
              <w:bottom w:val="nil"/>
              <w:right w:val="nil"/>
            </w:tcBorders>
            <w:shd w:val="clear" w:color="auto" w:fill="auto"/>
            <w:noWrap/>
            <w:vAlign w:val="bottom"/>
            <w:hideMark/>
          </w:tcPr>
          <w:p w:rsidR="002B14DE" w:rsidRPr="00B81EBC" w:rsidRDefault="002B14DE" w:rsidP="002B14DE">
            <w:pPr>
              <w:spacing w:after="0" w:line="240" w:lineRule="auto"/>
              <w:jc w:val="right"/>
              <w:rPr>
                <w:rFonts w:ascii="Tms Rmn" w:eastAsia="Times New Roman" w:hAnsi="Tms Rmn" w:cs="Times New Roman"/>
                <w:sz w:val="18"/>
                <w:szCs w:val="18"/>
                <w:lang w:eastAsia="it-IT"/>
              </w:rPr>
            </w:pPr>
            <w:r w:rsidRPr="00B81EBC">
              <w:rPr>
                <w:rFonts w:ascii="Tms Rmn" w:eastAsia="Times New Roman" w:hAnsi="Tms Rmn" w:cs="Times New Roman"/>
                <w:sz w:val="18"/>
                <w:szCs w:val="18"/>
                <w:lang w:eastAsia="it-IT"/>
              </w:rPr>
              <w:t>4,3%</w:t>
            </w:r>
          </w:p>
        </w:tc>
        <w:tc>
          <w:tcPr>
            <w:tcW w:w="860" w:type="dxa"/>
            <w:tcBorders>
              <w:top w:val="single" w:sz="4" w:space="0" w:color="auto"/>
              <w:left w:val="nil"/>
              <w:bottom w:val="nil"/>
              <w:right w:val="nil"/>
            </w:tcBorders>
          </w:tcPr>
          <w:p w:rsidR="002B14DE" w:rsidRPr="00B81EBC" w:rsidRDefault="002B14DE" w:rsidP="002B14DE">
            <w:pPr>
              <w:spacing w:after="0" w:line="240" w:lineRule="auto"/>
              <w:jc w:val="right"/>
              <w:rPr>
                <w:rFonts w:ascii="Tms Rmn" w:eastAsia="Times New Roman" w:hAnsi="Tms Rmn" w:cs="Times New Roman"/>
                <w:sz w:val="18"/>
                <w:szCs w:val="18"/>
                <w:lang w:eastAsia="it-IT"/>
              </w:rPr>
            </w:pPr>
            <w:r>
              <w:rPr>
                <w:rFonts w:ascii="Tms Rmn" w:eastAsia="Times New Roman" w:hAnsi="Tms Rmn" w:cs="Times New Roman"/>
                <w:sz w:val="18"/>
                <w:szCs w:val="18"/>
                <w:lang w:eastAsia="it-IT"/>
              </w:rPr>
              <w:t>3,4%</w:t>
            </w:r>
          </w:p>
        </w:tc>
        <w:tc>
          <w:tcPr>
            <w:tcW w:w="860" w:type="dxa"/>
            <w:tcBorders>
              <w:top w:val="single" w:sz="4" w:space="0" w:color="auto"/>
              <w:left w:val="nil"/>
              <w:bottom w:val="nil"/>
              <w:right w:val="nil"/>
            </w:tcBorders>
          </w:tcPr>
          <w:p w:rsidR="002B14DE" w:rsidRPr="00B81EBC" w:rsidRDefault="002B14DE" w:rsidP="002B14DE">
            <w:pPr>
              <w:spacing w:after="0" w:line="240" w:lineRule="auto"/>
              <w:jc w:val="right"/>
              <w:rPr>
                <w:rFonts w:ascii="Tms Rmn" w:eastAsia="Times New Roman" w:hAnsi="Tms Rmn" w:cs="Times New Roman"/>
                <w:sz w:val="18"/>
                <w:szCs w:val="18"/>
                <w:lang w:eastAsia="it-IT"/>
              </w:rPr>
            </w:pPr>
            <w:r>
              <w:rPr>
                <w:rFonts w:ascii="Tms Rmn" w:eastAsia="Times New Roman" w:hAnsi="Tms Rmn" w:cs="Times New Roman"/>
                <w:sz w:val="18"/>
                <w:szCs w:val="18"/>
                <w:lang w:eastAsia="it-IT"/>
              </w:rPr>
              <w:t>2,7%</w:t>
            </w:r>
          </w:p>
        </w:tc>
      </w:tr>
      <w:tr w:rsidR="002B14DE" w:rsidRPr="00B81EBC" w:rsidTr="002B14DE">
        <w:trPr>
          <w:trHeight w:val="240"/>
        </w:trPr>
        <w:tc>
          <w:tcPr>
            <w:tcW w:w="1940" w:type="dxa"/>
            <w:tcBorders>
              <w:top w:val="nil"/>
              <w:left w:val="nil"/>
              <w:bottom w:val="nil"/>
              <w:right w:val="nil"/>
            </w:tcBorders>
            <w:shd w:val="clear" w:color="auto" w:fill="auto"/>
            <w:noWrap/>
            <w:vAlign w:val="bottom"/>
            <w:hideMark/>
          </w:tcPr>
          <w:p w:rsidR="002B14DE" w:rsidRPr="00B81EBC" w:rsidRDefault="002B14DE" w:rsidP="002B14DE">
            <w:pPr>
              <w:spacing w:after="0" w:line="240" w:lineRule="auto"/>
              <w:rPr>
                <w:rFonts w:ascii="Tms Rmn" w:eastAsia="Times New Roman" w:hAnsi="Tms Rmn" w:cs="Times New Roman"/>
                <w:sz w:val="18"/>
                <w:szCs w:val="18"/>
                <w:lang w:eastAsia="it-IT"/>
              </w:rPr>
            </w:pPr>
            <w:proofErr w:type="spellStart"/>
            <w:proofErr w:type="gramStart"/>
            <w:r w:rsidRPr="00B81EBC">
              <w:rPr>
                <w:rFonts w:ascii="Tms Rmn" w:eastAsia="Times New Roman" w:hAnsi="Tms Rmn" w:cs="Times New Roman"/>
                <w:sz w:val="18"/>
                <w:szCs w:val="18"/>
                <w:lang w:eastAsia="it-IT"/>
              </w:rPr>
              <w:t>Imm.Imm</w:t>
            </w:r>
            <w:proofErr w:type="spellEnd"/>
            <w:r w:rsidRPr="00B81EBC">
              <w:rPr>
                <w:rFonts w:ascii="Tms Rmn" w:eastAsia="Times New Roman" w:hAnsi="Tms Rmn" w:cs="Times New Roman"/>
                <w:sz w:val="18"/>
                <w:szCs w:val="18"/>
                <w:lang w:eastAsia="it-IT"/>
              </w:rPr>
              <w:t>./</w:t>
            </w:r>
            <w:proofErr w:type="spellStart"/>
            <w:proofErr w:type="gramEnd"/>
            <w:r w:rsidRPr="00B81EBC">
              <w:rPr>
                <w:rFonts w:ascii="Tms Rmn" w:eastAsia="Times New Roman" w:hAnsi="Tms Rmn" w:cs="Times New Roman"/>
                <w:sz w:val="18"/>
                <w:szCs w:val="18"/>
                <w:lang w:eastAsia="it-IT"/>
              </w:rPr>
              <w:t>Att</w:t>
            </w:r>
            <w:proofErr w:type="spellEnd"/>
            <w:r w:rsidRPr="00B81EBC">
              <w:rPr>
                <w:rFonts w:ascii="Tms Rmn" w:eastAsia="Times New Roman" w:hAnsi="Tms Rmn" w:cs="Times New Roman"/>
                <w:sz w:val="18"/>
                <w:szCs w:val="18"/>
                <w:lang w:eastAsia="it-IT"/>
              </w:rPr>
              <w:t>.</w:t>
            </w:r>
          </w:p>
        </w:tc>
        <w:tc>
          <w:tcPr>
            <w:tcW w:w="980" w:type="dxa"/>
            <w:tcBorders>
              <w:top w:val="nil"/>
              <w:left w:val="nil"/>
              <w:bottom w:val="nil"/>
              <w:right w:val="nil"/>
            </w:tcBorders>
            <w:shd w:val="clear" w:color="auto" w:fill="auto"/>
            <w:noWrap/>
            <w:vAlign w:val="bottom"/>
            <w:hideMark/>
          </w:tcPr>
          <w:p w:rsidR="002B14DE" w:rsidRPr="00B81EBC" w:rsidRDefault="002B14DE" w:rsidP="002B14DE">
            <w:pPr>
              <w:spacing w:after="0" w:line="240" w:lineRule="auto"/>
              <w:rPr>
                <w:rFonts w:ascii="Tms Rmn" w:eastAsia="Times New Roman" w:hAnsi="Tms Rmn" w:cs="Times New Roman"/>
                <w:sz w:val="18"/>
                <w:szCs w:val="18"/>
                <w:lang w:eastAsia="it-IT"/>
              </w:rPr>
            </w:pPr>
          </w:p>
        </w:tc>
        <w:tc>
          <w:tcPr>
            <w:tcW w:w="1180" w:type="dxa"/>
            <w:tcBorders>
              <w:top w:val="nil"/>
              <w:left w:val="nil"/>
              <w:bottom w:val="nil"/>
              <w:right w:val="nil"/>
            </w:tcBorders>
            <w:shd w:val="clear" w:color="auto" w:fill="auto"/>
            <w:noWrap/>
            <w:vAlign w:val="bottom"/>
            <w:hideMark/>
          </w:tcPr>
          <w:p w:rsidR="002B14DE" w:rsidRPr="00B81EBC" w:rsidRDefault="002B14DE" w:rsidP="002B14DE">
            <w:pPr>
              <w:spacing w:after="0" w:line="240" w:lineRule="auto"/>
              <w:jc w:val="right"/>
              <w:rPr>
                <w:rFonts w:ascii="Tms Rmn" w:eastAsia="Times New Roman" w:hAnsi="Tms Rmn" w:cs="Times New Roman"/>
                <w:sz w:val="18"/>
                <w:szCs w:val="18"/>
                <w:lang w:eastAsia="it-IT"/>
              </w:rPr>
            </w:pPr>
            <w:r w:rsidRPr="00B81EBC">
              <w:rPr>
                <w:rFonts w:ascii="Tms Rmn" w:eastAsia="Times New Roman" w:hAnsi="Tms Rmn" w:cs="Times New Roman"/>
                <w:sz w:val="18"/>
                <w:szCs w:val="18"/>
                <w:lang w:eastAsia="it-IT"/>
              </w:rPr>
              <w:t>1,4%</w:t>
            </w:r>
          </w:p>
        </w:tc>
        <w:tc>
          <w:tcPr>
            <w:tcW w:w="780" w:type="dxa"/>
            <w:tcBorders>
              <w:top w:val="nil"/>
              <w:left w:val="nil"/>
              <w:bottom w:val="nil"/>
              <w:right w:val="nil"/>
            </w:tcBorders>
            <w:shd w:val="clear" w:color="auto" w:fill="auto"/>
            <w:noWrap/>
            <w:vAlign w:val="bottom"/>
            <w:hideMark/>
          </w:tcPr>
          <w:p w:rsidR="002B14DE" w:rsidRPr="00B81EBC" w:rsidRDefault="002B14DE" w:rsidP="002B14DE">
            <w:pPr>
              <w:spacing w:after="0" w:line="240" w:lineRule="auto"/>
              <w:jc w:val="right"/>
              <w:rPr>
                <w:rFonts w:ascii="Tms Rmn" w:eastAsia="Times New Roman" w:hAnsi="Tms Rmn" w:cs="Times New Roman"/>
                <w:sz w:val="18"/>
                <w:szCs w:val="18"/>
                <w:lang w:eastAsia="it-IT"/>
              </w:rPr>
            </w:pPr>
            <w:r w:rsidRPr="00B81EBC">
              <w:rPr>
                <w:rFonts w:ascii="Tms Rmn" w:eastAsia="Times New Roman" w:hAnsi="Tms Rmn" w:cs="Times New Roman"/>
                <w:sz w:val="18"/>
                <w:szCs w:val="18"/>
                <w:lang w:eastAsia="it-IT"/>
              </w:rPr>
              <w:t>1,4%</w:t>
            </w:r>
          </w:p>
        </w:tc>
        <w:tc>
          <w:tcPr>
            <w:tcW w:w="860" w:type="dxa"/>
            <w:tcBorders>
              <w:top w:val="nil"/>
              <w:left w:val="nil"/>
              <w:bottom w:val="nil"/>
              <w:right w:val="nil"/>
            </w:tcBorders>
            <w:shd w:val="clear" w:color="auto" w:fill="auto"/>
            <w:noWrap/>
            <w:vAlign w:val="bottom"/>
            <w:hideMark/>
          </w:tcPr>
          <w:p w:rsidR="002B14DE" w:rsidRPr="00B81EBC" w:rsidRDefault="002B14DE" w:rsidP="002B14DE">
            <w:pPr>
              <w:spacing w:after="0" w:line="240" w:lineRule="auto"/>
              <w:jc w:val="right"/>
              <w:rPr>
                <w:rFonts w:ascii="Tms Rmn" w:eastAsia="Times New Roman" w:hAnsi="Tms Rmn" w:cs="Times New Roman"/>
                <w:sz w:val="18"/>
                <w:szCs w:val="18"/>
                <w:lang w:eastAsia="it-IT"/>
              </w:rPr>
            </w:pPr>
            <w:r w:rsidRPr="00B81EBC">
              <w:rPr>
                <w:rFonts w:ascii="Tms Rmn" w:eastAsia="Times New Roman" w:hAnsi="Tms Rmn" w:cs="Times New Roman"/>
                <w:sz w:val="18"/>
                <w:szCs w:val="18"/>
                <w:lang w:eastAsia="it-IT"/>
              </w:rPr>
              <w:t>1,3%</w:t>
            </w:r>
          </w:p>
        </w:tc>
        <w:tc>
          <w:tcPr>
            <w:tcW w:w="860" w:type="dxa"/>
            <w:tcBorders>
              <w:top w:val="nil"/>
              <w:left w:val="nil"/>
              <w:bottom w:val="nil"/>
              <w:right w:val="nil"/>
            </w:tcBorders>
          </w:tcPr>
          <w:p w:rsidR="002B14DE" w:rsidRPr="00B81EBC" w:rsidRDefault="002B14DE" w:rsidP="002B14DE">
            <w:pPr>
              <w:spacing w:after="0" w:line="240" w:lineRule="auto"/>
              <w:jc w:val="right"/>
              <w:rPr>
                <w:rFonts w:ascii="Tms Rmn" w:eastAsia="Times New Roman" w:hAnsi="Tms Rmn" w:cs="Times New Roman"/>
                <w:sz w:val="18"/>
                <w:szCs w:val="18"/>
                <w:lang w:eastAsia="it-IT"/>
              </w:rPr>
            </w:pPr>
            <w:r>
              <w:rPr>
                <w:rFonts w:ascii="Tms Rmn" w:eastAsia="Times New Roman" w:hAnsi="Tms Rmn" w:cs="Times New Roman"/>
                <w:sz w:val="18"/>
                <w:szCs w:val="18"/>
                <w:lang w:eastAsia="it-IT"/>
              </w:rPr>
              <w:t>1,4%</w:t>
            </w:r>
          </w:p>
        </w:tc>
        <w:tc>
          <w:tcPr>
            <w:tcW w:w="860" w:type="dxa"/>
            <w:tcBorders>
              <w:top w:val="nil"/>
              <w:left w:val="nil"/>
              <w:bottom w:val="nil"/>
              <w:right w:val="nil"/>
            </w:tcBorders>
          </w:tcPr>
          <w:p w:rsidR="002B14DE" w:rsidRPr="00B81EBC" w:rsidRDefault="002B14DE" w:rsidP="002B14DE">
            <w:pPr>
              <w:spacing w:after="0" w:line="240" w:lineRule="auto"/>
              <w:jc w:val="right"/>
              <w:rPr>
                <w:rFonts w:ascii="Tms Rmn" w:eastAsia="Times New Roman" w:hAnsi="Tms Rmn" w:cs="Times New Roman"/>
                <w:sz w:val="18"/>
                <w:szCs w:val="18"/>
                <w:lang w:eastAsia="it-IT"/>
              </w:rPr>
            </w:pPr>
            <w:r>
              <w:rPr>
                <w:rFonts w:ascii="Tms Rmn" w:eastAsia="Times New Roman" w:hAnsi="Tms Rmn" w:cs="Times New Roman"/>
                <w:sz w:val="18"/>
                <w:szCs w:val="18"/>
                <w:lang w:eastAsia="it-IT"/>
              </w:rPr>
              <w:t>1,2%</w:t>
            </w:r>
          </w:p>
        </w:tc>
      </w:tr>
      <w:tr w:rsidR="002B14DE" w:rsidRPr="00B81EBC" w:rsidTr="002B14DE">
        <w:trPr>
          <w:trHeight w:val="240"/>
        </w:trPr>
        <w:tc>
          <w:tcPr>
            <w:tcW w:w="1940" w:type="dxa"/>
            <w:tcBorders>
              <w:top w:val="nil"/>
              <w:left w:val="nil"/>
              <w:bottom w:val="nil"/>
              <w:right w:val="nil"/>
            </w:tcBorders>
            <w:shd w:val="clear" w:color="auto" w:fill="auto"/>
            <w:noWrap/>
            <w:vAlign w:val="bottom"/>
            <w:hideMark/>
          </w:tcPr>
          <w:p w:rsidR="002B14DE" w:rsidRPr="00B81EBC" w:rsidRDefault="002B14DE" w:rsidP="002B14DE">
            <w:pPr>
              <w:spacing w:after="0" w:line="240" w:lineRule="auto"/>
              <w:rPr>
                <w:rFonts w:ascii="Tms Rmn" w:eastAsia="Times New Roman" w:hAnsi="Tms Rmn" w:cs="Times New Roman"/>
                <w:sz w:val="18"/>
                <w:szCs w:val="18"/>
                <w:lang w:eastAsia="it-IT"/>
              </w:rPr>
            </w:pPr>
            <w:proofErr w:type="spellStart"/>
            <w:proofErr w:type="gramStart"/>
            <w:r w:rsidRPr="00B81EBC">
              <w:rPr>
                <w:rFonts w:ascii="Tms Rmn" w:eastAsia="Times New Roman" w:hAnsi="Tms Rmn" w:cs="Times New Roman"/>
                <w:sz w:val="18"/>
                <w:szCs w:val="18"/>
                <w:lang w:eastAsia="it-IT"/>
              </w:rPr>
              <w:t>Imm.Fin</w:t>
            </w:r>
            <w:proofErr w:type="spellEnd"/>
            <w:r w:rsidRPr="00B81EBC">
              <w:rPr>
                <w:rFonts w:ascii="Tms Rmn" w:eastAsia="Times New Roman" w:hAnsi="Tms Rmn" w:cs="Times New Roman"/>
                <w:sz w:val="18"/>
                <w:szCs w:val="18"/>
                <w:lang w:eastAsia="it-IT"/>
              </w:rPr>
              <w:t>./</w:t>
            </w:r>
            <w:proofErr w:type="spellStart"/>
            <w:proofErr w:type="gramEnd"/>
            <w:r w:rsidRPr="00B81EBC">
              <w:rPr>
                <w:rFonts w:ascii="Tms Rmn" w:eastAsia="Times New Roman" w:hAnsi="Tms Rmn" w:cs="Times New Roman"/>
                <w:sz w:val="18"/>
                <w:szCs w:val="18"/>
                <w:lang w:eastAsia="it-IT"/>
              </w:rPr>
              <w:t>Att</w:t>
            </w:r>
            <w:proofErr w:type="spellEnd"/>
            <w:r w:rsidRPr="00B81EBC">
              <w:rPr>
                <w:rFonts w:ascii="Tms Rmn" w:eastAsia="Times New Roman" w:hAnsi="Tms Rmn" w:cs="Times New Roman"/>
                <w:sz w:val="18"/>
                <w:szCs w:val="18"/>
                <w:lang w:eastAsia="it-IT"/>
              </w:rPr>
              <w:t>.</w:t>
            </w:r>
          </w:p>
        </w:tc>
        <w:tc>
          <w:tcPr>
            <w:tcW w:w="980" w:type="dxa"/>
            <w:tcBorders>
              <w:top w:val="nil"/>
              <w:left w:val="nil"/>
              <w:bottom w:val="nil"/>
              <w:right w:val="nil"/>
            </w:tcBorders>
            <w:shd w:val="clear" w:color="auto" w:fill="auto"/>
            <w:noWrap/>
            <w:vAlign w:val="bottom"/>
            <w:hideMark/>
          </w:tcPr>
          <w:p w:rsidR="002B14DE" w:rsidRPr="00B81EBC" w:rsidRDefault="002B14DE" w:rsidP="002B14DE">
            <w:pPr>
              <w:spacing w:after="0" w:line="240" w:lineRule="auto"/>
              <w:rPr>
                <w:rFonts w:ascii="Tms Rmn" w:eastAsia="Times New Roman" w:hAnsi="Tms Rmn" w:cs="Times New Roman"/>
                <w:sz w:val="18"/>
                <w:szCs w:val="18"/>
                <w:lang w:eastAsia="it-IT"/>
              </w:rPr>
            </w:pPr>
          </w:p>
        </w:tc>
        <w:tc>
          <w:tcPr>
            <w:tcW w:w="1180" w:type="dxa"/>
            <w:tcBorders>
              <w:top w:val="nil"/>
              <w:left w:val="nil"/>
              <w:bottom w:val="nil"/>
              <w:right w:val="nil"/>
            </w:tcBorders>
            <w:shd w:val="clear" w:color="auto" w:fill="auto"/>
            <w:noWrap/>
            <w:vAlign w:val="bottom"/>
            <w:hideMark/>
          </w:tcPr>
          <w:p w:rsidR="002B14DE" w:rsidRPr="00B81EBC" w:rsidRDefault="002B14DE" w:rsidP="002B14DE">
            <w:pPr>
              <w:spacing w:after="0" w:line="240" w:lineRule="auto"/>
              <w:jc w:val="right"/>
              <w:rPr>
                <w:rFonts w:ascii="Tms Rmn" w:eastAsia="Times New Roman" w:hAnsi="Tms Rmn" w:cs="Times New Roman"/>
                <w:sz w:val="18"/>
                <w:szCs w:val="18"/>
                <w:lang w:eastAsia="it-IT"/>
              </w:rPr>
            </w:pPr>
            <w:r w:rsidRPr="00B81EBC">
              <w:rPr>
                <w:rFonts w:ascii="Tms Rmn" w:eastAsia="Times New Roman" w:hAnsi="Tms Rmn" w:cs="Times New Roman"/>
                <w:sz w:val="18"/>
                <w:szCs w:val="18"/>
                <w:lang w:eastAsia="it-IT"/>
              </w:rPr>
              <w:t>2,7%</w:t>
            </w:r>
          </w:p>
        </w:tc>
        <w:tc>
          <w:tcPr>
            <w:tcW w:w="780" w:type="dxa"/>
            <w:tcBorders>
              <w:top w:val="nil"/>
              <w:left w:val="nil"/>
              <w:bottom w:val="nil"/>
              <w:right w:val="nil"/>
            </w:tcBorders>
            <w:shd w:val="clear" w:color="auto" w:fill="auto"/>
            <w:noWrap/>
            <w:vAlign w:val="bottom"/>
            <w:hideMark/>
          </w:tcPr>
          <w:p w:rsidR="002B14DE" w:rsidRPr="00B81EBC" w:rsidRDefault="002B14DE" w:rsidP="002B14DE">
            <w:pPr>
              <w:spacing w:after="0" w:line="240" w:lineRule="auto"/>
              <w:jc w:val="right"/>
              <w:rPr>
                <w:rFonts w:ascii="Tms Rmn" w:eastAsia="Times New Roman" w:hAnsi="Tms Rmn" w:cs="Times New Roman"/>
                <w:sz w:val="18"/>
                <w:szCs w:val="18"/>
                <w:lang w:eastAsia="it-IT"/>
              </w:rPr>
            </w:pPr>
            <w:r w:rsidRPr="00B81EBC">
              <w:rPr>
                <w:rFonts w:ascii="Tms Rmn" w:eastAsia="Times New Roman" w:hAnsi="Tms Rmn" w:cs="Times New Roman"/>
                <w:sz w:val="18"/>
                <w:szCs w:val="18"/>
                <w:lang w:eastAsia="it-IT"/>
              </w:rPr>
              <w:t>2,5%</w:t>
            </w:r>
          </w:p>
        </w:tc>
        <w:tc>
          <w:tcPr>
            <w:tcW w:w="860" w:type="dxa"/>
            <w:tcBorders>
              <w:top w:val="nil"/>
              <w:left w:val="nil"/>
              <w:bottom w:val="nil"/>
              <w:right w:val="nil"/>
            </w:tcBorders>
            <w:shd w:val="clear" w:color="auto" w:fill="auto"/>
            <w:noWrap/>
            <w:vAlign w:val="bottom"/>
            <w:hideMark/>
          </w:tcPr>
          <w:p w:rsidR="002B14DE" w:rsidRPr="00B81EBC" w:rsidRDefault="002B14DE" w:rsidP="002B14DE">
            <w:pPr>
              <w:spacing w:after="0" w:line="240" w:lineRule="auto"/>
              <w:jc w:val="right"/>
              <w:rPr>
                <w:rFonts w:ascii="Tms Rmn" w:eastAsia="Times New Roman" w:hAnsi="Tms Rmn" w:cs="Times New Roman"/>
                <w:sz w:val="18"/>
                <w:szCs w:val="18"/>
                <w:lang w:eastAsia="it-IT"/>
              </w:rPr>
            </w:pPr>
            <w:r w:rsidRPr="00B81EBC">
              <w:rPr>
                <w:rFonts w:ascii="Tms Rmn" w:eastAsia="Times New Roman" w:hAnsi="Tms Rmn" w:cs="Times New Roman"/>
                <w:sz w:val="18"/>
                <w:szCs w:val="18"/>
                <w:lang w:eastAsia="it-IT"/>
              </w:rPr>
              <w:t>2,5%</w:t>
            </w:r>
          </w:p>
        </w:tc>
        <w:tc>
          <w:tcPr>
            <w:tcW w:w="860" w:type="dxa"/>
            <w:tcBorders>
              <w:top w:val="nil"/>
              <w:left w:val="nil"/>
              <w:bottom w:val="nil"/>
              <w:right w:val="nil"/>
            </w:tcBorders>
          </w:tcPr>
          <w:p w:rsidR="002B14DE" w:rsidRPr="00B81EBC" w:rsidRDefault="002B14DE" w:rsidP="002B14DE">
            <w:pPr>
              <w:spacing w:after="0" w:line="240" w:lineRule="auto"/>
              <w:jc w:val="right"/>
              <w:rPr>
                <w:rFonts w:ascii="Tms Rmn" w:eastAsia="Times New Roman" w:hAnsi="Tms Rmn" w:cs="Times New Roman"/>
                <w:sz w:val="18"/>
                <w:szCs w:val="18"/>
                <w:lang w:eastAsia="it-IT"/>
              </w:rPr>
            </w:pPr>
            <w:r>
              <w:rPr>
                <w:rFonts w:ascii="Tms Rmn" w:eastAsia="Times New Roman" w:hAnsi="Tms Rmn" w:cs="Times New Roman"/>
                <w:sz w:val="18"/>
                <w:szCs w:val="18"/>
                <w:lang w:eastAsia="it-IT"/>
              </w:rPr>
              <w:t>1,9%</w:t>
            </w:r>
          </w:p>
        </w:tc>
        <w:tc>
          <w:tcPr>
            <w:tcW w:w="860" w:type="dxa"/>
            <w:tcBorders>
              <w:top w:val="nil"/>
              <w:left w:val="nil"/>
              <w:bottom w:val="nil"/>
              <w:right w:val="nil"/>
            </w:tcBorders>
          </w:tcPr>
          <w:p w:rsidR="002B14DE" w:rsidRPr="00B81EBC" w:rsidRDefault="002B14DE" w:rsidP="002B14DE">
            <w:pPr>
              <w:spacing w:after="0" w:line="240" w:lineRule="auto"/>
              <w:jc w:val="right"/>
              <w:rPr>
                <w:rFonts w:ascii="Tms Rmn" w:eastAsia="Times New Roman" w:hAnsi="Tms Rmn" w:cs="Times New Roman"/>
                <w:sz w:val="18"/>
                <w:szCs w:val="18"/>
                <w:lang w:eastAsia="it-IT"/>
              </w:rPr>
            </w:pPr>
            <w:r>
              <w:rPr>
                <w:rFonts w:ascii="Tms Rmn" w:eastAsia="Times New Roman" w:hAnsi="Tms Rmn" w:cs="Times New Roman"/>
                <w:sz w:val="18"/>
                <w:szCs w:val="18"/>
                <w:lang w:eastAsia="it-IT"/>
              </w:rPr>
              <w:t>2,3%</w:t>
            </w:r>
          </w:p>
        </w:tc>
      </w:tr>
      <w:tr w:rsidR="002B14DE" w:rsidRPr="00B81EBC" w:rsidTr="002B14DE">
        <w:trPr>
          <w:trHeight w:val="240"/>
        </w:trPr>
        <w:tc>
          <w:tcPr>
            <w:tcW w:w="1940" w:type="dxa"/>
            <w:tcBorders>
              <w:top w:val="nil"/>
              <w:left w:val="nil"/>
              <w:bottom w:val="nil"/>
              <w:right w:val="nil"/>
            </w:tcBorders>
            <w:shd w:val="clear" w:color="auto" w:fill="auto"/>
            <w:noWrap/>
            <w:vAlign w:val="bottom"/>
            <w:hideMark/>
          </w:tcPr>
          <w:p w:rsidR="002B14DE" w:rsidRPr="00B81EBC" w:rsidRDefault="002B14DE" w:rsidP="002B14DE">
            <w:pPr>
              <w:spacing w:after="0" w:line="240" w:lineRule="auto"/>
              <w:rPr>
                <w:rFonts w:ascii="Tms Rmn" w:eastAsia="Times New Roman" w:hAnsi="Tms Rmn" w:cs="Times New Roman"/>
                <w:sz w:val="18"/>
                <w:szCs w:val="18"/>
                <w:lang w:eastAsia="it-IT"/>
              </w:rPr>
            </w:pPr>
            <w:proofErr w:type="spellStart"/>
            <w:proofErr w:type="gramStart"/>
            <w:r w:rsidRPr="00B81EBC">
              <w:rPr>
                <w:rFonts w:ascii="Tms Rmn" w:eastAsia="Times New Roman" w:hAnsi="Tms Rmn" w:cs="Times New Roman"/>
                <w:sz w:val="18"/>
                <w:szCs w:val="18"/>
                <w:lang w:eastAsia="it-IT"/>
              </w:rPr>
              <w:t>Magazz</w:t>
            </w:r>
            <w:proofErr w:type="spellEnd"/>
            <w:r w:rsidRPr="00B81EBC">
              <w:rPr>
                <w:rFonts w:ascii="Tms Rmn" w:eastAsia="Times New Roman" w:hAnsi="Tms Rmn" w:cs="Times New Roman"/>
                <w:sz w:val="18"/>
                <w:szCs w:val="18"/>
                <w:lang w:eastAsia="it-IT"/>
              </w:rPr>
              <w:t>./</w:t>
            </w:r>
            <w:proofErr w:type="spellStart"/>
            <w:proofErr w:type="gramEnd"/>
            <w:r w:rsidRPr="00B81EBC">
              <w:rPr>
                <w:rFonts w:ascii="Tms Rmn" w:eastAsia="Times New Roman" w:hAnsi="Tms Rmn" w:cs="Times New Roman"/>
                <w:sz w:val="18"/>
                <w:szCs w:val="18"/>
                <w:lang w:eastAsia="it-IT"/>
              </w:rPr>
              <w:t>Att</w:t>
            </w:r>
            <w:proofErr w:type="spellEnd"/>
            <w:r w:rsidRPr="00B81EBC">
              <w:rPr>
                <w:rFonts w:ascii="Tms Rmn" w:eastAsia="Times New Roman" w:hAnsi="Tms Rmn" w:cs="Times New Roman"/>
                <w:sz w:val="18"/>
                <w:szCs w:val="18"/>
                <w:lang w:eastAsia="it-IT"/>
              </w:rPr>
              <w:t>.</w:t>
            </w:r>
          </w:p>
        </w:tc>
        <w:tc>
          <w:tcPr>
            <w:tcW w:w="980" w:type="dxa"/>
            <w:tcBorders>
              <w:top w:val="nil"/>
              <w:left w:val="nil"/>
              <w:bottom w:val="nil"/>
              <w:right w:val="nil"/>
            </w:tcBorders>
            <w:shd w:val="clear" w:color="auto" w:fill="auto"/>
            <w:noWrap/>
            <w:vAlign w:val="bottom"/>
            <w:hideMark/>
          </w:tcPr>
          <w:p w:rsidR="002B14DE" w:rsidRPr="00B81EBC" w:rsidRDefault="002B14DE" w:rsidP="002B14DE">
            <w:pPr>
              <w:spacing w:after="0" w:line="240" w:lineRule="auto"/>
              <w:rPr>
                <w:rFonts w:ascii="Tms Rmn" w:eastAsia="Times New Roman" w:hAnsi="Tms Rmn" w:cs="Times New Roman"/>
                <w:sz w:val="18"/>
                <w:szCs w:val="18"/>
                <w:lang w:eastAsia="it-IT"/>
              </w:rPr>
            </w:pPr>
          </w:p>
        </w:tc>
        <w:tc>
          <w:tcPr>
            <w:tcW w:w="1180" w:type="dxa"/>
            <w:tcBorders>
              <w:top w:val="nil"/>
              <w:left w:val="nil"/>
              <w:bottom w:val="nil"/>
              <w:right w:val="nil"/>
            </w:tcBorders>
            <w:shd w:val="clear" w:color="auto" w:fill="auto"/>
            <w:noWrap/>
            <w:vAlign w:val="bottom"/>
            <w:hideMark/>
          </w:tcPr>
          <w:p w:rsidR="002B14DE" w:rsidRPr="00B81EBC" w:rsidRDefault="002B14DE" w:rsidP="002B14DE">
            <w:pPr>
              <w:spacing w:after="0" w:line="240" w:lineRule="auto"/>
              <w:jc w:val="right"/>
              <w:rPr>
                <w:rFonts w:ascii="Tms Rmn" w:eastAsia="Times New Roman" w:hAnsi="Tms Rmn" w:cs="Times New Roman"/>
                <w:sz w:val="18"/>
                <w:szCs w:val="18"/>
                <w:lang w:eastAsia="it-IT"/>
              </w:rPr>
            </w:pPr>
            <w:r w:rsidRPr="00B81EBC">
              <w:rPr>
                <w:rFonts w:ascii="Tms Rmn" w:eastAsia="Times New Roman" w:hAnsi="Tms Rmn" w:cs="Times New Roman"/>
                <w:sz w:val="18"/>
                <w:szCs w:val="18"/>
                <w:lang w:eastAsia="it-IT"/>
              </w:rPr>
              <w:t>34,5%</w:t>
            </w:r>
          </w:p>
        </w:tc>
        <w:tc>
          <w:tcPr>
            <w:tcW w:w="780" w:type="dxa"/>
            <w:tcBorders>
              <w:top w:val="nil"/>
              <w:left w:val="nil"/>
              <w:bottom w:val="nil"/>
              <w:right w:val="nil"/>
            </w:tcBorders>
            <w:shd w:val="clear" w:color="auto" w:fill="auto"/>
            <w:noWrap/>
            <w:vAlign w:val="bottom"/>
            <w:hideMark/>
          </w:tcPr>
          <w:p w:rsidR="002B14DE" w:rsidRPr="00B81EBC" w:rsidRDefault="002B14DE" w:rsidP="002B14DE">
            <w:pPr>
              <w:spacing w:after="0" w:line="240" w:lineRule="auto"/>
              <w:jc w:val="right"/>
              <w:rPr>
                <w:rFonts w:ascii="Tms Rmn" w:eastAsia="Times New Roman" w:hAnsi="Tms Rmn" w:cs="Times New Roman"/>
                <w:sz w:val="18"/>
                <w:szCs w:val="18"/>
                <w:lang w:eastAsia="it-IT"/>
              </w:rPr>
            </w:pPr>
            <w:r w:rsidRPr="00B81EBC">
              <w:rPr>
                <w:rFonts w:ascii="Tms Rmn" w:eastAsia="Times New Roman" w:hAnsi="Tms Rmn" w:cs="Times New Roman"/>
                <w:sz w:val="18"/>
                <w:szCs w:val="18"/>
                <w:lang w:eastAsia="it-IT"/>
              </w:rPr>
              <w:t>33,0%</w:t>
            </w:r>
          </w:p>
        </w:tc>
        <w:tc>
          <w:tcPr>
            <w:tcW w:w="860" w:type="dxa"/>
            <w:tcBorders>
              <w:top w:val="nil"/>
              <w:left w:val="nil"/>
              <w:bottom w:val="nil"/>
              <w:right w:val="nil"/>
            </w:tcBorders>
            <w:shd w:val="clear" w:color="auto" w:fill="auto"/>
            <w:noWrap/>
            <w:vAlign w:val="bottom"/>
            <w:hideMark/>
          </w:tcPr>
          <w:p w:rsidR="002B14DE" w:rsidRPr="00B81EBC" w:rsidRDefault="002B14DE" w:rsidP="002B14DE">
            <w:pPr>
              <w:spacing w:after="0" w:line="240" w:lineRule="auto"/>
              <w:jc w:val="right"/>
              <w:rPr>
                <w:rFonts w:ascii="Tms Rmn" w:eastAsia="Times New Roman" w:hAnsi="Tms Rmn" w:cs="Times New Roman"/>
                <w:sz w:val="18"/>
                <w:szCs w:val="18"/>
                <w:lang w:eastAsia="it-IT"/>
              </w:rPr>
            </w:pPr>
            <w:r w:rsidRPr="00B81EBC">
              <w:rPr>
                <w:rFonts w:ascii="Tms Rmn" w:eastAsia="Times New Roman" w:hAnsi="Tms Rmn" w:cs="Times New Roman"/>
                <w:sz w:val="18"/>
                <w:szCs w:val="18"/>
                <w:lang w:eastAsia="it-IT"/>
              </w:rPr>
              <w:t>33,1%</w:t>
            </w:r>
          </w:p>
        </w:tc>
        <w:tc>
          <w:tcPr>
            <w:tcW w:w="860" w:type="dxa"/>
            <w:tcBorders>
              <w:top w:val="nil"/>
              <w:left w:val="nil"/>
              <w:bottom w:val="nil"/>
              <w:right w:val="nil"/>
            </w:tcBorders>
          </w:tcPr>
          <w:p w:rsidR="002B14DE" w:rsidRPr="00B81EBC" w:rsidRDefault="002B14DE" w:rsidP="002B14DE">
            <w:pPr>
              <w:spacing w:after="0" w:line="240" w:lineRule="auto"/>
              <w:jc w:val="right"/>
              <w:rPr>
                <w:rFonts w:ascii="Tms Rmn" w:eastAsia="Times New Roman" w:hAnsi="Tms Rmn" w:cs="Times New Roman"/>
                <w:sz w:val="18"/>
                <w:szCs w:val="18"/>
                <w:lang w:eastAsia="it-IT"/>
              </w:rPr>
            </w:pPr>
            <w:r>
              <w:rPr>
                <w:rFonts w:ascii="Tms Rmn" w:eastAsia="Times New Roman" w:hAnsi="Tms Rmn" w:cs="Times New Roman"/>
                <w:sz w:val="18"/>
                <w:szCs w:val="18"/>
                <w:lang w:eastAsia="it-IT"/>
              </w:rPr>
              <w:t>40,15</w:t>
            </w:r>
          </w:p>
        </w:tc>
        <w:tc>
          <w:tcPr>
            <w:tcW w:w="860" w:type="dxa"/>
            <w:tcBorders>
              <w:top w:val="nil"/>
              <w:left w:val="nil"/>
              <w:bottom w:val="nil"/>
              <w:right w:val="nil"/>
            </w:tcBorders>
          </w:tcPr>
          <w:p w:rsidR="002B14DE" w:rsidRPr="00B81EBC" w:rsidRDefault="002B14DE" w:rsidP="002B14DE">
            <w:pPr>
              <w:spacing w:after="0" w:line="240" w:lineRule="auto"/>
              <w:jc w:val="right"/>
              <w:rPr>
                <w:rFonts w:ascii="Tms Rmn" w:eastAsia="Times New Roman" w:hAnsi="Tms Rmn" w:cs="Times New Roman"/>
                <w:sz w:val="18"/>
                <w:szCs w:val="18"/>
                <w:lang w:eastAsia="it-IT"/>
              </w:rPr>
            </w:pPr>
            <w:r>
              <w:rPr>
                <w:rFonts w:ascii="Tms Rmn" w:eastAsia="Times New Roman" w:hAnsi="Tms Rmn" w:cs="Times New Roman"/>
                <w:sz w:val="18"/>
                <w:szCs w:val="18"/>
                <w:lang w:eastAsia="it-IT"/>
              </w:rPr>
              <w:t>40,6%</w:t>
            </w:r>
          </w:p>
        </w:tc>
      </w:tr>
      <w:tr w:rsidR="002B14DE" w:rsidRPr="00B81EBC" w:rsidTr="002B14DE">
        <w:trPr>
          <w:trHeight w:val="240"/>
        </w:trPr>
        <w:tc>
          <w:tcPr>
            <w:tcW w:w="1940" w:type="dxa"/>
            <w:tcBorders>
              <w:top w:val="nil"/>
              <w:left w:val="nil"/>
              <w:bottom w:val="nil"/>
              <w:right w:val="nil"/>
            </w:tcBorders>
            <w:shd w:val="clear" w:color="auto" w:fill="auto"/>
            <w:noWrap/>
            <w:vAlign w:val="bottom"/>
            <w:hideMark/>
          </w:tcPr>
          <w:p w:rsidR="002B14DE" w:rsidRPr="00B81EBC" w:rsidRDefault="002B14DE" w:rsidP="002B14DE">
            <w:pPr>
              <w:spacing w:after="0" w:line="240" w:lineRule="auto"/>
              <w:rPr>
                <w:rFonts w:ascii="Tms Rmn" w:eastAsia="Times New Roman" w:hAnsi="Tms Rmn" w:cs="Times New Roman"/>
                <w:sz w:val="18"/>
                <w:szCs w:val="18"/>
                <w:lang w:eastAsia="it-IT"/>
              </w:rPr>
            </w:pPr>
            <w:r w:rsidRPr="00B81EBC">
              <w:rPr>
                <w:rFonts w:ascii="Tms Rmn" w:eastAsia="Times New Roman" w:hAnsi="Tms Rmn" w:cs="Times New Roman"/>
                <w:sz w:val="18"/>
                <w:szCs w:val="18"/>
                <w:lang w:eastAsia="it-IT"/>
              </w:rPr>
              <w:t>Crediti</w:t>
            </w:r>
            <w:r>
              <w:rPr>
                <w:rFonts w:ascii="Tms Rmn" w:eastAsia="Times New Roman" w:hAnsi="Tms Rmn" w:cs="Times New Roman"/>
                <w:sz w:val="18"/>
                <w:szCs w:val="18"/>
                <w:lang w:eastAsia="it-IT"/>
              </w:rPr>
              <w:t xml:space="preserve"> comm.li</w:t>
            </w:r>
            <w:r w:rsidRPr="00B81EBC">
              <w:rPr>
                <w:rFonts w:ascii="Tms Rmn" w:eastAsia="Times New Roman" w:hAnsi="Tms Rmn" w:cs="Times New Roman"/>
                <w:sz w:val="18"/>
                <w:szCs w:val="18"/>
                <w:lang w:eastAsia="it-IT"/>
              </w:rPr>
              <w:t>/</w:t>
            </w:r>
            <w:proofErr w:type="spellStart"/>
            <w:r w:rsidRPr="00B81EBC">
              <w:rPr>
                <w:rFonts w:ascii="Tms Rmn" w:eastAsia="Times New Roman" w:hAnsi="Tms Rmn" w:cs="Times New Roman"/>
                <w:sz w:val="18"/>
                <w:szCs w:val="18"/>
                <w:lang w:eastAsia="it-IT"/>
              </w:rPr>
              <w:t>Att</w:t>
            </w:r>
            <w:proofErr w:type="spellEnd"/>
            <w:r w:rsidRPr="00B81EBC">
              <w:rPr>
                <w:rFonts w:ascii="Tms Rmn" w:eastAsia="Times New Roman" w:hAnsi="Tms Rmn" w:cs="Times New Roman"/>
                <w:sz w:val="18"/>
                <w:szCs w:val="18"/>
                <w:lang w:eastAsia="it-IT"/>
              </w:rPr>
              <w:t>.</w:t>
            </w:r>
          </w:p>
        </w:tc>
        <w:tc>
          <w:tcPr>
            <w:tcW w:w="980" w:type="dxa"/>
            <w:tcBorders>
              <w:top w:val="nil"/>
              <w:left w:val="nil"/>
              <w:bottom w:val="nil"/>
              <w:right w:val="nil"/>
            </w:tcBorders>
            <w:shd w:val="clear" w:color="auto" w:fill="auto"/>
            <w:noWrap/>
            <w:vAlign w:val="bottom"/>
            <w:hideMark/>
          </w:tcPr>
          <w:p w:rsidR="002B14DE" w:rsidRPr="00B81EBC" w:rsidRDefault="002B14DE" w:rsidP="002B14DE">
            <w:pPr>
              <w:spacing w:after="0" w:line="240" w:lineRule="auto"/>
              <w:rPr>
                <w:rFonts w:ascii="Tms Rmn" w:eastAsia="Times New Roman" w:hAnsi="Tms Rmn" w:cs="Times New Roman"/>
                <w:sz w:val="18"/>
                <w:szCs w:val="18"/>
                <w:lang w:eastAsia="it-IT"/>
              </w:rPr>
            </w:pPr>
          </w:p>
        </w:tc>
        <w:tc>
          <w:tcPr>
            <w:tcW w:w="1180" w:type="dxa"/>
            <w:tcBorders>
              <w:top w:val="nil"/>
              <w:left w:val="nil"/>
              <w:bottom w:val="nil"/>
              <w:right w:val="nil"/>
            </w:tcBorders>
            <w:shd w:val="clear" w:color="auto" w:fill="auto"/>
            <w:noWrap/>
            <w:vAlign w:val="bottom"/>
            <w:hideMark/>
          </w:tcPr>
          <w:p w:rsidR="002B14DE" w:rsidRPr="00B81EBC" w:rsidRDefault="002B14DE" w:rsidP="002B14DE">
            <w:pPr>
              <w:spacing w:after="0" w:line="240" w:lineRule="auto"/>
              <w:jc w:val="right"/>
              <w:rPr>
                <w:rFonts w:ascii="Tms Rmn" w:eastAsia="Times New Roman" w:hAnsi="Tms Rmn" w:cs="Times New Roman"/>
                <w:sz w:val="18"/>
                <w:szCs w:val="18"/>
                <w:lang w:eastAsia="it-IT"/>
              </w:rPr>
            </w:pPr>
            <w:r w:rsidRPr="00B81EBC">
              <w:rPr>
                <w:rFonts w:ascii="Tms Rmn" w:eastAsia="Times New Roman" w:hAnsi="Tms Rmn" w:cs="Times New Roman"/>
                <w:sz w:val="18"/>
                <w:szCs w:val="18"/>
                <w:lang w:eastAsia="it-IT"/>
              </w:rPr>
              <w:t>11,6%</w:t>
            </w:r>
          </w:p>
        </w:tc>
        <w:tc>
          <w:tcPr>
            <w:tcW w:w="780" w:type="dxa"/>
            <w:tcBorders>
              <w:top w:val="nil"/>
              <w:left w:val="nil"/>
              <w:bottom w:val="nil"/>
              <w:right w:val="nil"/>
            </w:tcBorders>
            <w:shd w:val="clear" w:color="auto" w:fill="auto"/>
            <w:noWrap/>
            <w:vAlign w:val="bottom"/>
            <w:hideMark/>
          </w:tcPr>
          <w:p w:rsidR="002B14DE" w:rsidRPr="00B81EBC" w:rsidRDefault="002B14DE" w:rsidP="002B14DE">
            <w:pPr>
              <w:spacing w:after="0" w:line="240" w:lineRule="auto"/>
              <w:jc w:val="right"/>
              <w:rPr>
                <w:rFonts w:ascii="Tms Rmn" w:eastAsia="Times New Roman" w:hAnsi="Tms Rmn" w:cs="Times New Roman"/>
                <w:sz w:val="18"/>
                <w:szCs w:val="18"/>
                <w:lang w:eastAsia="it-IT"/>
              </w:rPr>
            </w:pPr>
            <w:r w:rsidRPr="00B81EBC">
              <w:rPr>
                <w:rFonts w:ascii="Tms Rmn" w:eastAsia="Times New Roman" w:hAnsi="Tms Rmn" w:cs="Times New Roman"/>
                <w:sz w:val="18"/>
                <w:szCs w:val="18"/>
                <w:lang w:eastAsia="it-IT"/>
              </w:rPr>
              <w:t>14,1%</w:t>
            </w:r>
          </w:p>
        </w:tc>
        <w:tc>
          <w:tcPr>
            <w:tcW w:w="860" w:type="dxa"/>
            <w:tcBorders>
              <w:top w:val="nil"/>
              <w:left w:val="nil"/>
              <w:bottom w:val="nil"/>
              <w:right w:val="nil"/>
            </w:tcBorders>
            <w:shd w:val="clear" w:color="auto" w:fill="auto"/>
            <w:noWrap/>
            <w:vAlign w:val="bottom"/>
            <w:hideMark/>
          </w:tcPr>
          <w:p w:rsidR="002B14DE" w:rsidRPr="00B81EBC" w:rsidRDefault="002B14DE" w:rsidP="002B14DE">
            <w:pPr>
              <w:spacing w:after="0" w:line="240" w:lineRule="auto"/>
              <w:jc w:val="right"/>
              <w:rPr>
                <w:rFonts w:ascii="Tms Rmn" w:eastAsia="Times New Roman" w:hAnsi="Tms Rmn" w:cs="Times New Roman"/>
                <w:sz w:val="18"/>
                <w:szCs w:val="18"/>
                <w:lang w:eastAsia="it-IT"/>
              </w:rPr>
            </w:pPr>
            <w:r w:rsidRPr="00B81EBC">
              <w:rPr>
                <w:rFonts w:ascii="Tms Rmn" w:eastAsia="Times New Roman" w:hAnsi="Tms Rmn" w:cs="Times New Roman"/>
                <w:sz w:val="18"/>
                <w:szCs w:val="18"/>
                <w:lang w:eastAsia="it-IT"/>
              </w:rPr>
              <w:t>13,9%</w:t>
            </w:r>
          </w:p>
        </w:tc>
        <w:tc>
          <w:tcPr>
            <w:tcW w:w="860" w:type="dxa"/>
            <w:tcBorders>
              <w:top w:val="nil"/>
              <w:left w:val="nil"/>
              <w:bottom w:val="nil"/>
              <w:right w:val="nil"/>
            </w:tcBorders>
          </w:tcPr>
          <w:p w:rsidR="002B14DE" w:rsidRPr="00B81EBC" w:rsidRDefault="002B14DE" w:rsidP="002B14DE">
            <w:pPr>
              <w:spacing w:after="0" w:line="240" w:lineRule="auto"/>
              <w:jc w:val="right"/>
              <w:rPr>
                <w:rFonts w:ascii="Tms Rmn" w:eastAsia="Times New Roman" w:hAnsi="Tms Rmn" w:cs="Times New Roman"/>
                <w:sz w:val="18"/>
                <w:szCs w:val="18"/>
                <w:lang w:eastAsia="it-IT"/>
              </w:rPr>
            </w:pPr>
            <w:r>
              <w:rPr>
                <w:rFonts w:ascii="Tms Rmn" w:eastAsia="Times New Roman" w:hAnsi="Tms Rmn" w:cs="Times New Roman"/>
                <w:sz w:val="18"/>
                <w:szCs w:val="18"/>
                <w:lang w:eastAsia="it-IT"/>
              </w:rPr>
              <w:t>10,1%</w:t>
            </w:r>
          </w:p>
        </w:tc>
        <w:tc>
          <w:tcPr>
            <w:tcW w:w="860" w:type="dxa"/>
            <w:tcBorders>
              <w:top w:val="nil"/>
              <w:left w:val="nil"/>
              <w:bottom w:val="nil"/>
              <w:right w:val="nil"/>
            </w:tcBorders>
          </w:tcPr>
          <w:p w:rsidR="002B14DE" w:rsidRPr="00B81EBC" w:rsidRDefault="002B14DE" w:rsidP="002B14DE">
            <w:pPr>
              <w:spacing w:after="0" w:line="240" w:lineRule="auto"/>
              <w:jc w:val="right"/>
              <w:rPr>
                <w:rFonts w:ascii="Tms Rmn" w:eastAsia="Times New Roman" w:hAnsi="Tms Rmn" w:cs="Times New Roman"/>
                <w:sz w:val="18"/>
                <w:szCs w:val="18"/>
                <w:lang w:eastAsia="it-IT"/>
              </w:rPr>
            </w:pPr>
            <w:r>
              <w:rPr>
                <w:rFonts w:ascii="Tms Rmn" w:eastAsia="Times New Roman" w:hAnsi="Tms Rmn" w:cs="Times New Roman"/>
                <w:sz w:val="18"/>
                <w:szCs w:val="18"/>
                <w:lang w:eastAsia="it-IT"/>
              </w:rPr>
              <w:t>10,1%</w:t>
            </w:r>
          </w:p>
        </w:tc>
      </w:tr>
      <w:tr w:rsidR="002B14DE" w:rsidRPr="00B81EBC" w:rsidTr="002B14DE">
        <w:trPr>
          <w:trHeight w:val="240"/>
        </w:trPr>
        <w:tc>
          <w:tcPr>
            <w:tcW w:w="1940" w:type="dxa"/>
            <w:tcBorders>
              <w:top w:val="nil"/>
              <w:left w:val="nil"/>
              <w:bottom w:val="nil"/>
              <w:right w:val="nil"/>
            </w:tcBorders>
            <w:shd w:val="clear" w:color="auto" w:fill="auto"/>
            <w:noWrap/>
            <w:vAlign w:val="bottom"/>
            <w:hideMark/>
          </w:tcPr>
          <w:p w:rsidR="002B14DE" w:rsidRPr="00B81EBC" w:rsidRDefault="002B14DE" w:rsidP="002B14DE">
            <w:pPr>
              <w:spacing w:after="0" w:line="240" w:lineRule="auto"/>
              <w:rPr>
                <w:rFonts w:ascii="Tms Rmn" w:eastAsia="Times New Roman" w:hAnsi="Tms Rmn" w:cs="Times New Roman"/>
                <w:sz w:val="18"/>
                <w:szCs w:val="18"/>
                <w:lang w:eastAsia="it-IT"/>
              </w:rPr>
            </w:pPr>
            <w:r w:rsidRPr="00B81EBC">
              <w:rPr>
                <w:rFonts w:ascii="Tms Rmn" w:eastAsia="Times New Roman" w:hAnsi="Tms Rmn" w:cs="Times New Roman"/>
                <w:sz w:val="18"/>
                <w:szCs w:val="18"/>
                <w:lang w:eastAsia="it-IT"/>
              </w:rPr>
              <w:t>Altri/</w:t>
            </w:r>
            <w:proofErr w:type="spellStart"/>
            <w:r w:rsidRPr="00B81EBC">
              <w:rPr>
                <w:rFonts w:ascii="Tms Rmn" w:eastAsia="Times New Roman" w:hAnsi="Tms Rmn" w:cs="Times New Roman"/>
                <w:sz w:val="18"/>
                <w:szCs w:val="18"/>
                <w:lang w:eastAsia="it-IT"/>
              </w:rPr>
              <w:t>Att</w:t>
            </w:r>
            <w:proofErr w:type="spellEnd"/>
            <w:r w:rsidRPr="00B81EBC">
              <w:rPr>
                <w:rFonts w:ascii="Tms Rmn" w:eastAsia="Times New Roman" w:hAnsi="Tms Rmn" w:cs="Times New Roman"/>
                <w:sz w:val="18"/>
                <w:szCs w:val="18"/>
                <w:lang w:eastAsia="it-IT"/>
              </w:rPr>
              <w:t>.</w:t>
            </w:r>
          </w:p>
        </w:tc>
        <w:tc>
          <w:tcPr>
            <w:tcW w:w="980" w:type="dxa"/>
            <w:tcBorders>
              <w:top w:val="nil"/>
              <w:left w:val="nil"/>
              <w:bottom w:val="nil"/>
              <w:right w:val="nil"/>
            </w:tcBorders>
            <w:shd w:val="clear" w:color="auto" w:fill="auto"/>
            <w:noWrap/>
            <w:vAlign w:val="bottom"/>
            <w:hideMark/>
          </w:tcPr>
          <w:p w:rsidR="002B14DE" w:rsidRPr="00B81EBC" w:rsidRDefault="002B14DE" w:rsidP="002B14DE">
            <w:pPr>
              <w:spacing w:after="0" w:line="240" w:lineRule="auto"/>
              <w:rPr>
                <w:rFonts w:ascii="Tms Rmn" w:eastAsia="Times New Roman" w:hAnsi="Tms Rmn" w:cs="Times New Roman"/>
                <w:sz w:val="18"/>
                <w:szCs w:val="18"/>
                <w:lang w:eastAsia="it-IT"/>
              </w:rPr>
            </w:pPr>
          </w:p>
        </w:tc>
        <w:tc>
          <w:tcPr>
            <w:tcW w:w="1180" w:type="dxa"/>
            <w:tcBorders>
              <w:top w:val="nil"/>
              <w:left w:val="nil"/>
              <w:bottom w:val="nil"/>
              <w:right w:val="nil"/>
            </w:tcBorders>
            <w:shd w:val="clear" w:color="auto" w:fill="auto"/>
            <w:noWrap/>
            <w:vAlign w:val="bottom"/>
            <w:hideMark/>
          </w:tcPr>
          <w:p w:rsidR="002B14DE" w:rsidRPr="00B81EBC" w:rsidRDefault="002B14DE" w:rsidP="002B14DE">
            <w:pPr>
              <w:spacing w:after="0" w:line="240" w:lineRule="auto"/>
              <w:jc w:val="right"/>
              <w:rPr>
                <w:rFonts w:ascii="Tms Rmn" w:eastAsia="Times New Roman" w:hAnsi="Tms Rmn" w:cs="Times New Roman"/>
                <w:sz w:val="18"/>
                <w:szCs w:val="18"/>
                <w:lang w:eastAsia="it-IT"/>
              </w:rPr>
            </w:pPr>
            <w:r w:rsidRPr="00B81EBC">
              <w:rPr>
                <w:rFonts w:ascii="Tms Rmn" w:eastAsia="Times New Roman" w:hAnsi="Tms Rmn" w:cs="Times New Roman"/>
                <w:sz w:val="18"/>
                <w:szCs w:val="18"/>
                <w:lang w:eastAsia="it-IT"/>
              </w:rPr>
              <w:t>35,2%</w:t>
            </w:r>
          </w:p>
        </w:tc>
        <w:tc>
          <w:tcPr>
            <w:tcW w:w="780" w:type="dxa"/>
            <w:tcBorders>
              <w:top w:val="nil"/>
              <w:left w:val="nil"/>
              <w:bottom w:val="nil"/>
              <w:right w:val="nil"/>
            </w:tcBorders>
            <w:shd w:val="clear" w:color="auto" w:fill="auto"/>
            <w:noWrap/>
            <w:vAlign w:val="bottom"/>
            <w:hideMark/>
          </w:tcPr>
          <w:p w:rsidR="002B14DE" w:rsidRPr="00B81EBC" w:rsidRDefault="002B14DE" w:rsidP="002B14DE">
            <w:pPr>
              <w:spacing w:after="0" w:line="240" w:lineRule="auto"/>
              <w:jc w:val="right"/>
              <w:rPr>
                <w:rFonts w:ascii="Tms Rmn" w:eastAsia="Times New Roman" w:hAnsi="Tms Rmn" w:cs="Times New Roman"/>
                <w:sz w:val="18"/>
                <w:szCs w:val="18"/>
                <w:lang w:eastAsia="it-IT"/>
              </w:rPr>
            </w:pPr>
            <w:r w:rsidRPr="00B81EBC">
              <w:rPr>
                <w:rFonts w:ascii="Tms Rmn" w:eastAsia="Times New Roman" w:hAnsi="Tms Rmn" w:cs="Times New Roman"/>
                <w:sz w:val="18"/>
                <w:szCs w:val="18"/>
                <w:lang w:eastAsia="it-IT"/>
              </w:rPr>
              <w:t>36,8%</w:t>
            </w:r>
          </w:p>
        </w:tc>
        <w:tc>
          <w:tcPr>
            <w:tcW w:w="860" w:type="dxa"/>
            <w:tcBorders>
              <w:top w:val="nil"/>
              <w:left w:val="nil"/>
              <w:bottom w:val="nil"/>
              <w:right w:val="nil"/>
            </w:tcBorders>
            <w:shd w:val="clear" w:color="auto" w:fill="auto"/>
            <w:noWrap/>
            <w:vAlign w:val="bottom"/>
            <w:hideMark/>
          </w:tcPr>
          <w:p w:rsidR="002B14DE" w:rsidRPr="00B81EBC" w:rsidRDefault="002B14DE" w:rsidP="002B14DE">
            <w:pPr>
              <w:spacing w:after="0" w:line="240" w:lineRule="auto"/>
              <w:jc w:val="right"/>
              <w:rPr>
                <w:rFonts w:ascii="Tms Rmn" w:eastAsia="Times New Roman" w:hAnsi="Tms Rmn" w:cs="Times New Roman"/>
                <w:sz w:val="18"/>
                <w:szCs w:val="18"/>
                <w:lang w:eastAsia="it-IT"/>
              </w:rPr>
            </w:pPr>
            <w:r w:rsidRPr="00B81EBC">
              <w:rPr>
                <w:rFonts w:ascii="Tms Rmn" w:eastAsia="Times New Roman" w:hAnsi="Tms Rmn" w:cs="Times New Roman"/>
                <w:sz w:val="18"/>
                <w:szCs w:val="18"/>
                <w:lang w:eastAsia="it-IT"/>
              </w:rPr>
              <w:t>36,5%</w:t>
            </w:r>
          </w:p>
        </w:tc>
        <w:tc>
          <w:tcPr>
            <w:tcW w:w="860" w:type="dxa"/>
            <w:tcBorders>
              <w:top w:val="nil"/>
              <w:left w:val="nil"/>
              <w:bottom w:val="nil"/>
              <w:right w:val="nil"/>
            </w:tcBorders>
          </w:tcPr>
          <w:p w:rsidR="002B14DE" w:rsidRPr="00B81EBC" w:rsidRDefault="002B14DE" w:rsidP="002B14DE">
            <w:pPr>
              <w:spacing w:after="0" w:line="240" w:lineRule="auto"/>
              <w:jc w:val="right"/>
              <w:rPr>
                <w:rFonts w:ascii="Tms Rmn" w:eastAsia="Times New Roman" w:hAnsi="Tms Rmn" w:cs="Times New Roman"/>
                <w:sz w:val="18"/>
                <w:szCs w:val="18"/>
                <w:lang w:eastAsia="it-IT"/>
              </w:rPr>
            </w:pPr>
            <w:r>
              <w:rPr>
                <w:rFonts w:ascii="Tms Rmn" w:eastAsia="Times New Roman" w:hAnsi="Tms Rmn" w:cs="Times New Roman"/>
                <w:sz w:val="18"/>
                <w:szCs w:val="18"/>
                <w:lang w:eastAsia="it-IT"/>
              </w:rPr>
              <w:t>32,1%</w:t>
            </w:r>
          </w:p>
        </w:tc>
        <w:tc>
          <w:tcPr>
            <w:tcW w:w="860" w:type="dxa"/>
            <w:tcBorders>
              <w:top w:val="nil"/>
              <w:left w:val="nil"/>
              <w:bottom w:val="nil"/>
              <w:right w:val="nil"/>
            </w:tcBorders>
          </w:tcPr>
          <w:p w:rsidR="002B14DE" w:rsidRPr="00B81EBC" w:rsidRDefault="002B14DE" w:rsidP="002B14DE">
            <w:pPr>
              <w:spacing w:after="0" w:line="240" w:lineRule="auto"/>
              <w:jc w:val="right"/>
              <w:rPr>
                <w:rFonts w:ascii="Tms Rmn" w:eastAsia="Times New Roman" w:hAnsi="Tms Rmn" w:cs="Times New Roman"/>
                <w:sz w:val="18"/>
                <w:szCs w:val="18"/>
                <w:lang w:eastAsia="it-IT"/>
              </w:rPr>
            </w:pPr>
            <w:r>
              <w:rPr>
                <w:rFonts w:ascii="Tms Rmn" w:eastAsia="Times New Roman" w:hAnsi="Tms Rmn" w:cs="Times New Roman"/>
                <w:sz w:val="18"/>
                <w:szCs w:val="18"/>
                <w:lang w:eastAsia="it-IT"/>
              </w:rPr>
              <w:t>31,8%</w:t>
            </w:r>
          </w:p>
        </w:tc>
      </w:tr>
      <w:tr w:rsidR="002B14DE" w:rsidRPr="00B81EBC" w:rsidTr="002B14DE">
        <w:trPr>
          <w:trHeight w:val="240"/>
        </w:trPr>
        <w:tc>
          <w:tcPr>
            <w:tcW w:w="1940" w:type="dxa"/>
            <w:tcBorders>
              <w:top w:val="nil"/>
              <w:left w:val="nil"/>
              <w:right w:val="nil"/>
            </w:tcBorders>
            <w:shd w:val="clear" w:color="auto" w:fill="auto"/>
            <w:noWrap/>
            <w:vAlign w:val="bottom"/>
            <w:hideMark/>
          </w:tcPr>
          <w:p w:rsidR="002B14DE" w:rsidRPr="00B81EBC" w:rsidRDefault="002B14DE" w:rsidP="002B14DE">
            <w:pPr>
              <w:spacing w:after="0" w:line="240" w:lineRule="auto"/>
              <w:rPr>
                <w:rFonts w:ascii="Tms Rmn" w:eastAsia="Times New Roman" w:hAnsi="Tms Rmn" w:cs="Times New Roman"/>
                <w:sz w:val="18"/>
                <w:szCs w:val="18"/>
                <w:lang w:eastAsia="it-IT"/>
              </w:rPr>
            </w:pPr>
            <w:r w:rsidRPr="00B81EBC">
              <w:rPr>
                <w:rFonts w:ascii="Tms Rmn" w:eastAsia="Times New Roman" w:hAnsi="Tms Rmn" w:cs="Times New Roman"/>
                <w:sz w:val="18"/>
                <w:szCs w:val="18"/>
                <w:lang w:eastAsia="it-IT"/>
              </w:rPr>
              <w:t>Titoli/</w:t>
            </w:r>
            <w:proofErr w:type="spellStart"/>
            <w:r w:rsidRPr="00B81EBC">
              <w:rPr>
                <w:rFonts w:ascii="Tms Rmn" w:eastAsia="Times New Roman" w:hAnsi="Tms Rmn" w:cs="Times New Roman"/>
                <w:sz w:val="18"/>
                <w:szCs w:val="18"/>
                <w:lang w:eastAsia="it-IT"/>
              </w:rPr>
              <w:t>Att</w:t>
            </w:r>
            <w:proofErr w:type="spellEnd"/>
            <w:r w:rsidRPr="00B81EBC">
              <w:rPr>
                <w:rFonts w:ascii="Tms Rmn" w:eastAsia="Times New Roman" w:hAnsi="Tms Rmn" w:cs="Times New Roman"/>
                <w:sz w:val="18"/>
                <w:szCs w:val="18"/>
                <w:lang w:eastAsia="it-IT"/>
              </w:rPr>
              <w:t>.</w:t>
            </w:r>
          </w:p>
        </w:tc>
        <w:tc>
          <w:tcPr>
            <w:tcW w:w="980" w:type="dxa"/>
            <w:tcBorders>
              <w:top w:val="nil"/>
              <w:left w:val="nil"/>
              <w:right w:val="nil"/>
            </w:tcBorders>
            <w:shd w:val="clear" w:color="auto" w:fill="auto"/>
            <w:noWrap/>
            <w:vAlign w:val="bottom"/>
            <w:hideMark/>
          </w:tcPr>
          <w:p w:rsidR="002B14DE" w:rsidRPr="00B81EBC" w:rsidRDefault="002B14DE" w:rsidP="002B14DE">
            <w:pPr>
              <w:spacing w:after="0" w:line="240" w:lineRule="auto"/>
              <w:rPr>
                <w:rFonts w:ascii="Tms Rmn" w:eastAsia="Times New Roman" w:hAnsi="Tms Rmn" w:cs="Times New Roman"/>
                <w:sz w:val="18"/>
                <w:szCs w:val="18"/>
                <w:lang w:eastAsia="it-IT"/>
              </w:rPr>
            </w:pPr>
          </w:p>
        </w:tc>
        <w:tc>
          <w:tcPr>
            <w:tcW w:w="1180" w:type="dxa"/>
            <w:tcBorders>
              <w:top w:val="nil"/>
              <w:left w:val="nil"/>
              <w:right w:val="nil"/>
            </w:tcBorders>
            <w:shd w:val="clear" w:color="auto" w:fill="auto"/>
            <w:noWrap/>
            <w:vAlign w:val="bottom"/>
            <w:hideMark/>
          </w:tcPr>
          <w:p w:rsidR="002B14DE" w:rsidRPr="00B81EBC" w:rsidRDefault="002B14DE" w:rsidP="002B14DE">
            <w:pPr>
              <w:spacing w:after="0" w:line="240" w:lineRule="auto"/>
              <w:jc w:val="right"/>
              <w:rPr>
                <w:rFonts w:ascii="Tms Rmn" w:eastAsia="Times New Roman" w:hAnsi="Tms Rmn" w:cs="Times New Roman"/>
                <w:sz w:val="18"/>
                <w:szCs w:val="18"/>
                <w:lang w:eastAsia="it-IT"/>
              </w:rPr>
            </w:pPr>
            <w:r w:rsidRPr="00B81EBC">
              <w:rPr>
                <w:rFonts w:ascii="Tms Rmn" w:eastAsia="Times New Roman" w:hAnsi="Tms Rmn" w:cs="Times New Roman"/>
                <w:sz w:val="18"/>
                <w:szCs w:val="18"/>
                <w:lang w:eastAsia="it-IT"/>
              </w:rPr>
              <w:t>0,0%</w:t>
            </w:r>
          </w:p>
        </w:tc>
        <w:tc>
          <w:tcPr>
            <w:tcW w:w="780" w:type="dxa"/>
            <w:tcBorders>
              <w:top w:val="nil"/>
              <w:left w:val="nil"/>
              <w:right w:val="nil"/>
            </w:tcBorders>
            <w:shd w:val="clear" w:color="auto" w:fill="auto"/>
            <w:noWrap/>
            <w:vAlign w:val="bottom"/>
            <w:hideMark/>
          </w:tcPr>
          <w:p w:rsidR="002B14DE" w:rsidRPr="00B81EBC" w:rsidRDefault="002B14DE" w:rsidP="002B14DE">
            <w:pPr>
              <w:spacing w:after="0" w:line="240" w:lineRule="auto"/>
              <w:jc w:val="right"/>
              <w:rPr>
                <w:rFonts w:ascii="Tms Rmn" w:eastAsia="Times New Roman" w:hAnsi="Tms Rmn" w:cs="Times New Roman"/>
                <w:sz w:val="18"/>
                <w:szCs w:val="18"/>
                <w:lang w:eastAsia="it-IT"/>
              </w:rPr>
            </w:pPr>
            <w:r w:rsidRPr="00B81EBC">
              <w:rPr>
                <w:rFonts w:ascii="Tms Rmn" w:eastAsia="Times New Roman" w:hAnsi="Tms Rmn" w:cs="Times New Roman"/>
                <w:sz w:val="18"/>
                <w:szCs w:val="18"/>
                <w:lang w:eastAsia="it-IT"/>
              </w:rPr>
              <w:t>0,4%</w:t>
            </w:r>
          </w:p>
        </w:tc>
        <w:tc>
          <w:tcPr>
            <w:tcW w:w="860" w:type="dxa"/>
            <w:tcBorders>
              <w:top w:val="nil"/>
              <w:left w:val="nil"/>
              <w:right w:val="nil"/>
            </w:tcBorders>
            <w:shd w:val="clear" w:color="auto" w:fill="auto"/>
            <w:noWrap/>
            <w:vAlign w:val="bottom"/>
            <w:hideMark/>
          </w:tcPr>
          <w:p w:rsidR="002B14DE" w:rsidRPr="00B81EBC" w:rsidRDefault="002B14DE" w:rsidP="002B14DE">
            <w:pPr>
              <w:spacing w:after="0" w:line="240" w:lineRule="auto"/>
              <w:jc w:val="right"/>
              <w:rPr>
                <w:rFonts w:ascii="Tms Rmn" w:eastAsia="Times New Roman" w:hAnsi="Tms Rmn" w:cs="Times New Roman"/>
                <w:sz w:val="18"/>
                <w:szCs w:val="18"/>
                <w:lang w:eastAsia="it-IT"/>
              </w:rPr>
            </w:pPr>
            <w:r w:rsidRPr="00B81EBC">
              <w:rPr>
                <w:rFonts w:ascii="Tms Rmn" w:eastAsia="Times New Roman" w:hAnsi="Tms Rmn" w:cs="Times New Roman"/>
                <w:sz w:val="18"/>
                <w:szCs w:val="18"/>
                <w:lang w:eastAsia="it-IT"/>
              </w:rPr>
              <w:t>0,6%</w:t>
            </w:r>
          </w:p>
        </w:tc>
        <w:tc>
          <w:tcPr>
            <w:tcW w:w="860" w:type="dxa"/>
            <w:tcBorders>
              <w:top w:val="nil"/>
              <w:left w:val="nil"/>
              <w:right w:val="nil"/>
            </w:tcBorders>
          </w:tcPr>
          <w:p w:rsidR="002B14DE" w:rsidRPr="00B81EBC" w:rsidRDefault="002B14DE" w:rsidP="002B14DE">
            <w:pPr>
              <w:spacing w:after="0" w:line="240" w:lineRule="auto"/>
              <w:jc w:val="right"/>
              <w:rPr>
                <w:rFonts w:ascii="Tms Rmn" w:eastAsia="Times New Roman" w:hAnsi="Tms Rmn" w:cs="Times New Roman"/>
                <w:sz w:val="18"/>
                <w:szCs w:val="18"/>
                <w:lang w:eastAsia="it-IT"/>
              </w:rPr>
            </w:pPr>
            <w:r>
              <w:rPr>
                <w:rFonts w:ascii="Tms Rmn" w:eastAsia="Times New Roman" w:hAnsi="Tms Rmn" w:cs="Times New Roman"/>
                <w:sz w:val="18"/>
                <w:szCs w:val="18"/>
                <w:lang w:eastAsia="it-IT"/>
              </w:rPr>
              <w:t>1,1%</w:t>
            </w:r>
          </w:p>
        </w:tc>
        <w:tc>
          <w:tcPr>
            <w:tcW w:w="860" w:type="dxa"/>
            <w:tcBorders>
              <w:top w:val="nil"/>
              <w:left w:val="nil"/>
              <w:right w:val="nil"/>
            </w:tcBorders>
          </w:tcPr>
          <w:p w:rsidR="002B14DE" w:rsidRPr="00B81EBC" w:rsidRDefault="002B14DE" w:rsidP="002B14DE">
            <w:pPr>
              <w:spacing w:after="0" w:line="240" w:lineRule="auto"/>
              <w:jc w:val="right"/>
              <w:rPr>
                <w:rFonts w:ascii="Tms Rmn" w:eastAsia="Times New Roman" w:hAnsi="Tms Rmn" w:cs="Times New Roman"/>
                <w:sz w:val="18"/>
                <w:szCs w:val="18"/>
                <w:lang w:eastAsia="it-IT"/>
              </w:rPr>
            </w:pPr>
            <w:r>
              <w:rPr>
                <w:rFonts w:ascii="Tms Rmn" w:eastAsia="Times New Roman" w:hAnsi="Tms Rmn" w:cs="Times New Roman"/>
                <w:sz w:val="18"/>
                <w:szCs w:val="18"/>
                <w:lang w:eastAsia="it-IT"/>
              </w:rPr>
              <w:t>1,1%</w:t>
            </w:r>
          </w:p>
        </w:tc>
      </w:tr>
      <w:tr w:rsidR="002B14DE" w:rsidRPr="00B81EBC" w:rsidTr="002B14DE">
        <w:trPr>
          <w:trHeight w:val="240"/>
        </w:trPr>
        <w:tc>
          <w:tcPr>
            <w:tcW w:w="1940" w:type="dxa"/>
            <w:tcBorders>
              <w:top w:val="nil"/>
              <w:left w:val="nil"/>
              <w:bottom w:val="single" w:sz="4" w:space="0" w:color="auto"/>
              <w:right w:val="nil"/>
            </w:tcBorders>
            <w:shd w:val="clear" w:color="auto" w:fill="auto"/>
            <w:noWrap/>
            <w:vAlign w:val="bottom"/>
            <w:hideMark/>
          </w:tcPr>
          <w:p w:rsidR="002B14DE" w:rsidRPr="00B81EBC" w:rsidRDefault="002B14DE" w:rsidP="002B14DE">
            <w:pPr>
              <w:spacing w:after="0" w:line="240" w:lineRule="auto"/>
              <w:rPr>
                <w:rFonts w:ascii="Tms Rmn" w:eastAsia="Times New Roman" w:hAnsi="Tms Rmn" w:cs="Times New Roman"/>
                <w:sz w:val="18"/>
                <w:szCs w:val="18"/>
                <w:lang w:eastAsia="it-IT"/>
              </w:rPr>
            </w:pPr>
            <w:proofErr w:type="spellStart"/>
            <w:proofErr w:type="gramStart"/>
            <w:r w:rsidRPr="00B81EBC">
              <w:rPr>
                <w:rFonts w:ascii="Tms Rmn" w:eastAsia="Times New Roman" w:hAnsi="Tms Rmn" w:cs="Times New Roman"/>
                <w:sz w:val="18"/>
                <w:szCs w:val="18"/>
                <w:lang w:eastAsia="it-IT"/>
              </w:rPr>
              <w:t>Disp.Liq</w:t>
            </w:r>
            <w:proofErr w:type="spellEnd"/>
            <w:r w:rsidRPr="00B81EBC">
              <w:rPr>
                <w:rFonts w:ascii="Tms Rmn" w:eastAsia="Times New Roman" w:hAnsi="Tms Rmn" w:cs="Times New Roman"/>
                <w:sz w:val="18"/>
                <w:szCs w:val="18"/>
                <w:lang w:eastAsia="it-IT"/>
              </w:rPr>
              <w:t>./</w:t>
            </w:r>
            <w:proofErr w:type="spellStart"/>
            <w:proofErr w:type="gramEnd"/>
            <w:r w:rsidRPr="00B81EBC">
              <w:rPr>
                <w:rFonts w:ascii="Tms Rmn" w:eastAsia="Times New Roman" w:hAnsi="Tms Rmn" w:cs="Times New Roman"/>
                <w:sz w:val="18"/>
                <w:szCs w:val="18"/>
                <w:lang w:eastAsia="it-IT"/>
              </w:rPr>
              <w:t>Att</w:t>
            </w:r>
            <w:proofErr w:type="spellEnd"/>
            <w:r w:rsidRPr="00B81EBC">
              <w:rPr>
                <w:rFonts w:ascii="Tms Rmn" w:eastAsia="Times New Roman" w:hAnsi="Tms Rmn" w:cs="Times New Roman"/>
                <w:sz w:val="18"/>
                <w:szCs w:val="18"/>
                <w:lang w:eastAsia="it-IT"/>
              </w:rPr>
              <w:t>.</w:t>
            </w:r>
          </w:p>
        </w:tc>
        <w:tc>
          <w:tcPr>
            <w:tcW w:w="980" w:type="dxa"/>
            <w:tcBorders>
              <w:top w:val="nil"/>
              <w:left w:val="nil"/>
              <w:bottom w:val="single" w:sz="4" w:space="0" w:color="auto"/>
              <w:right w:val="nil"/>
            </w:tcBorders>
            <w:shd w:val="clear" w:color="auto" w:fill="auto"/>
            <w:noWrap/>
            <w:vAlign w:val="bottom"/>
            <w:hideMark/>
          </w:tcPr>
          <w:p w:rsidR="002B14DE" w:rsidRPr="00B81EBC" w:rsidRDefault="002B14DE" w:rsidP="002B14DE">
            <w:pPr>
              <w:spacing w:after="0" w:line="240" w:lineRule="auto"/>
              <w:rPr>
                <w:rFonts w:ascii="Tms Rmn" w:eastAsia="Times New Roman" w:hAnsi="Tms Rmn" w:cs="Times New Roman"/>
                <w:sz w:val="18"/>
                <w:szCs w:val="18"/>
                <w:lang w:eastAsia="it-IT"/>
              </w:rPr>
            </w:pPr>
          </w:p>
        </w:tc>
        <w:tc>
          <w:tcPr>
            <w:tcW w:w="1180" w:type="dxa"/>
            <w:tcBorders>
              <w:top w:val="nil"/>
              <w:left w:val="nil"/>
              <w:bottom w:val="single" w:sz="4" w:space="0" w:color="auto"/>
              <w:right w:val="nil"/>
            </w:tcBorders>
            <w:shd w:val="clear" w:color="auto" w:fill="auto"/>
            <w:noWrap/>
            <w:vAlign w:val="bottom"/>
            <w:hideMark/>
          </w:tcPr>
          <w:p w:rsidR="002B14DE" w:rsidRPr="00B81EBC" w:rsidRDefault="002B14DE" w:rsidP="002B14DE">
            <w:pPr>
              <w:spacing w:after="0" w:line="240" w:lineRule="auto"/>
              <w:jc w:val="right"/>
              <w:rPr>
                <w:rFonts w:ascii="Tms Rmn" w:eastAsia="Times New Roman" w:hAnsi="Tms Rmn" w:cs="Times New Roman"/>
                <w:sz w:val="18"/>
                <w:szCs w:val="18"/>
                <w:lang w:eastAsia="it-IT"/>
              </w:rPr>
            </w:pPr>
            <w:r w:rsidRPr="00B81EBC">
              <w:rPr>
                <w:rFonts w:ascii="Tms Rmn" w:eastAsia="Times New Roman" w:hAnsi="Tms Rmn" w:cs="Times New Roman"/>
                <w:sz w:val="18"/>
                <w:szCs w:val="18"/>
                <w:lang w:eastAsia="it-IT"/>
              </w:rPr>
              <w:t>9,5%</w:t>
            </w:r>
          </w:p>
        </w:tc>
        <w:tc>
          <w:tcPr>
            <w:tcW w:w="780" w:type="dxa"/>
            <w:tcBorders>
              <w:top w:val="nil"/>
              <w:left w:val="nil"/>
              <w:bottom w:val="single" w:sz="4" w:space="0" w:color="auto"/>
              <w:right w:val="nil"/>
            </w:tcBorders>
            <w:shd w:val="clear" w:color="auto" w:fill="auto"/>
            <w:noWrap/>
            <w:vAlign w:val="bottom"/>
            <w:hideMark/>
          </w:tcPr>
          <w:p w:rsidR="002B14DE" w:rsidRPr="00B81EBC" w:rsidRDefault="002B14DE" w:rsidP="002B14DE">
            <w:pPr>
              <w:spacing w:after="0" w:line="240" w:lineRule="auto"/>
              <w:jc w:val="right"/>
              <w:rPr>
                <w:rFonts w:ascii="Tms Rmn" w:eastAsia="Times New Roman" w:hAnsi="Tms Rmn" w:cs="Times New Roman"/>
                <w:sz w:val="18"/>
                <w:szCs w:val="18"/>
                <w:lang w:eastAsia="it-IT"/>
              </w:rPr>
            </w:pPr>
            <w:r w:rsidRPr="00B81EBC">
              <w:rPr>
                <w:rFonts w:ascii="Tms Rmn" w:eastAsia="Times New Roman" w:hAnsi="Tms Rmn" w:cs="Times New Roman"/>
                <w:sz w:val="18"/>
                <w:szCs w:val="18"/>
                <w:lang w:eastAsia="it-IT"/>
              </w:rPr>
              <w:t>7,7%</w:t>
            </w:r>
          </w:p>
        </w:tc>
        <w:tc>
          <w:tcPr>
            <w:tcW w:w="860" w:type="dxa"/>
            <w:tcBorders>
              <w:top w:val="nil"/>
              <w:left w:val="nil"/>
              <w:bottom w:val="single" w:sz="4" w:space="0" w:color="auto"/>
              <w:right w:val="nil"/>
            </w:tcBorders>
            <w:shd w:val="clear" w:color="auto" w:fill="auto"/>
            <w:noWrap/>
            <w:vAlign w:val="bottom"/>
            <w:hideMark/>
          </w:tcPr>
          <w:p w:rsidR="002B14DE" w:rsidRPr="00B81EBC" w:rsidRDefault="002B14DE" w:rsidP="002B14DE">
            <w:pPr>
              <w:spacing w:after="0" w:line="240" w:lineRule="auto"/>
              <w:jc w:val="right"/>
              <w:rPr>
                <w:rFonts w:ascii="Tms Rmn" w:eastAsia="Times New Roman" w:hAnsi="Tms Rmn" w:cs="Times New Roman"/>
                <w:sz w:val="18"/>
                <w:szCs w:val="18"/>
                <w:lang w:eastAsia="it-IT"/>
              </w:rPr>
            </w:pPr>
            <w:r w:rsidRPr="00B81EBC">
              <w:rPr>
                <w:rFonts w:ascii="Tms Rmn" w:eastAsia="Times New Roman" w:hAnsi="Tms Rmn" w:cs="Times New Roman"/>
                <w:sz w:val="18"/>
                <w:szCs w:val="18"/>
                <w:lang w:eastAsia="it-IT"/>
              </w:rPr>
              <w:t>7,9%</w:t>
            </w:r>
          </w:p>
        </w:tc>
        <w:tc>
          <w:tcPr>
            <w:tcW w:w="860" w:type="dxa"/>
            <w:tcBorders>
              <w:top w:val="nil"/>
              <w:left w:val="nil"/>
              <w:bottom w:val="single" w:sz="4" w:space="0" w:color="auto"/>
              <w:right w:val="nil"/>
            </w:tcBorders>
          </w:tcPr>
          <w:p w:rsidR="002B14DE" w:rsidRPr="00B81EBC" w:rsidRDefault="002B14DE" w:rsidP="002B14DE">
            <w:pPr>
              <w:spacing w:after="0" w:line="240" w:lineRule="auto"/>
              <w:jc w:val="right"/>
              <w:rPr>
                <w:rFonts w:ascii="Tms Rmn" w:eastAsia="Times New Roman" w:hAnsi="Tms Rmn" w:cs="Times New Roman"/>
                <w:sz w:val="18"/>
                <w:szCs w:val="18"/>
                <w:lang w:eastAsia="it-IT"/>
              </w:rPr>
            </w:pPr>
            <w:r>
              <w:rPr>
                <w:rFonts w:ascii="Tms Rmn" w:eastAsia="Times New Roman" w:hAnsi="Tms Rmn" w:cs="Times New Roman"/>
                <w:sz w:val="18"/>
                <w:szCs w:val="18"/>
                <w:lang w:eastAsia="it-IT"/>
              </w:rPr>
              <w:t>10,8%</w:t>
            </w:r>
          </w:p>
        </w:tc>
        <w:tc>
          <w:tcPr>
            <w:tcW w:w="860" w:type="dxa"/>
            <w:tcBorders>
              <w:top w:val="nil"/>
              <w:left w:val="nil"/>
              <w:bottom w:val="single" w:sz="4" w:space="0" w:color="auto"/>
              <w:right w:val="nil"/>
            </w:tcBorders>
          </w:tcPr>
          <w:p w:rsidR="002B14DE" w:rsidRPr="00B81EBC" w:rsidRDefault="002B14DE" w:rsidP="002B14DE">
            <w:pPr>
              <w:spacing w:after="0" w:line="240" w:lineRule="auto"/>
              <w:jc w:val="right"/>
              <w:rPr>
                <w:rFonts w:ascii="Tms Rmn" w:eastAsia="Times New Roman" w:hAnsi="Tms Rmn" w:cs="Times New Roman"/>
                <w:sz w:val="18"/>
                <w:szCs w:val="18"/>
                <w:lang w:eastAsia="it-IT"/>
              </w:rPr>
            </w:pPr>
            <w:r>
              <w:rPr>
                <w:rFonts w:ascii="Tms Rmn" w:eastAsia="Times New Roman" w:hAnsi="Tms Rmn" w:cs="Times New Roman"/>
                <w:sz w:val="18"/>
                <w:szCs w:val="18"/>
                <w:lang w:eastAsia="it-IT"/>
              </w:rPr>
              <w:t>10,2%</w:t>
            </w:r>
          </w:p>
        </w:tc>
      </w:tr>
    </w:tbl>
    <w:p w:rsidR="002B14DE" w:rsidRDefault="002B14DE" w:rsidP="002B14DE">
      <w:pPr>
        <w:jc w:val="both"/>
      </w:pPr>
    </w:p>
    <w:p w:rsidR="002B14DE" w:rsidRDefault="002B14DE" w:rsidP="002B14DE">
      <w:pPr>
        <w:jc w:val="both"/>
      </w:pPr>
      <w:r>
        <w:t xml:space="preserve">Un’analoga sommaria analisi può essere fatta sulle voci del passivo, che corrispondono ad un obbligo di pagamento (differito e condizionale nel caso dei mezzi propri dell’azienda) dell’impresa. Il capitale netto, ossia i mezzi propri dell’impresa, sia come quote di capitale sia come riserve di vario tipo, è piuttosto alto, ammontando fra il 34% e il 38% di tutte le passività. Una quota fra il 7% e l’8% delle passività proviene da vari di tipi di fondi, anzitutto il Tfr (che costituisce una anticipazione dei lavoratori alle finanze aziendali) e in parte minore dal fondo di riserva e altri fondi. Sia il capitale netto che i fondi hanno come caratteristica di non dover essere rimborsati, se non in un periodo abbastanza lungo (in media). Il debito a lungo è costituito da indebitamento che deve essere rimborsato non prima del termine dell’esercizio in corso: il suo valore, negli anni in questione, è compreso fra l’8% e il 10% delle passività, con un picco dell’11,3% nel 2016. Vi sono poi debiti commerciali verso fornitori, in sostanza fra il 7% e l’8% delle passività. Il grosso delle passività, intorno al 41% delle stesse, proviene da debiti finanziari, e di altro tipo, a breve termine, che nell’ultimo biennio si sono ridotti al 37-38%. </w:t>
      </w:r>
    </w:p>
    <w:p w:rsidR="002B14DE" w:rsidRDefault="002B14DE" w:rsidP="002B14DE">
      <w:pPr>
        <w:jc w:val="both"/>
      </w:pPr>
    </w:p>
    <w:tbl>
      <w:tblPr>
        <w:tblW w:w="7460" w:type="dxa"/>
        <w:tblCellMar>
          <w:left w:w="70" w:type="dxa"/>
          <w:right w:w="70" w:type="dxa"/>
        </w:tblCellMar>
        <w:tblLook w:val="04A0" w:firstRow="1" w:lastRow="0" w:firstColumn="1" w:lastColumn="0" w:noHBand="0" w:noVBand="1"/>
      </w:tblPr>
      <w:tblGrid>
        <w:gridCol w:w="2694"/>
        <w:gridCol w:w="226"/>
        <w:gridCol w:w="1180"/>
        <w:gridCol w:w="780"/>
        <w:gridCol w:w="860"/>
        <w:gridCol w:w="860"/>
        <w:gridCol w:w="860"/>
      </w:tblGrid>
      <w:tr w:rsidR="002B14DE" w:rsidRPr="00413D71" w:rsidTr="002B14DE">
        <w:trPr>
          <w:trHeight w:val="240"/>
        </w:trPr>
        <w:tc>
          <w:tcPr>
            <w:tcW w:w="2694" w:type="dxa"/>
            <w:tcBorders>
              <w:top w:val="single" w:sz="4" w:space="0" w:color="auto"/>
              <w:left w:val="nil"/>
              <w:bottom w:val="single" w:sz="4" w:space="0" w:color="auto"/>
              <w:right w:val="nil"/>
            </w:tcBorders>
            <w:shd w:val="clear" w:color="auto" w:fill="auto"/>
            <w:noWrap/>
            <w:vAlign w:val="bottom"/>
          </w:tcPr>
          <w:p w:rsidR="002B14DE" w:rsidRPr="00413D71" w:rsidRDefault="002B14DE" w:rsidP="002B14DE">
            <w:pPr>
              <w:spacing w:after="0" w:line="240" w:lineRule="auto"/>
              <w:rPr>
                <w:rFonts w:ascii="Tms Rmn" w:eastAsia="Times New Roman" w:hAnsi="Tms Rmn" w:cs="Times New Roman"/>
                <w:sz w:val="18"/>
                <w:szCs w:val="18"/>
                <w:lang w:eastAsia="it-IT"/>
              </w:rPr>
            </w:pPr>
          </w:p>
        </w:tc>
        <w:tc>
          <w:tcPr>
            <w:tcW w:w="226" w:type="dxa"/>
            <w:tcBorders>
              <w:top w:val="single" w:sz="4" w:space="0" w:color="auto"/>
              <w:left w:val="nil"/>
              <w:bottom w:val="single" w:sz="4" w:space="0" w:color="auto"/>
              <w:right w:val="nil"/>
            </w:tcBorders>
            <w:shd w:val="clear" w:color="auto" w:fill="auto"/>
            <w:noWrap/>
            <w:vAlign w:val="bottom"/>
          </w:tcPr>
          <w:p w:rsidR="002B14DE" w:rsidRPr="00413D71" w:rsidRDefault="002B14DE" w:rsidP="002B14DE">
            <w:pPr>
              <w:spacing w:after="0" w:line="240" w:lineRule="auto"/>
              <w:rPr>
                <w:rFonts w:ascii="Tms Rmn" w:eastAsia="Times New Roman" w:hAnsi="Tms Rmn" w:cs="Times New Roman"/>
                <w:sz w:val="18"/>
                <w:szCs w:val="18"/>
                <w:lang w:eastAsia="it-IT"/>
              </w:rPr>
            </w:pPr>
          </w:p>
        </w:tc>
        <w:tc>
          <w:tcPr>
            <w:tcW w:w="1180" w:type="dxa"/>
            <w:tcBorders>
              <w:top w:val="single" w:sz="4" w:space="0" w:color="auto"/>
              <w:left w:val="nil"/>
              <w:bottom w:val="single" w:sz="4" w:space="0" w:color="auto"/>
              <w:right w:val="nil"/>
            </w:tcBorders>
            <w:shd w:val="clear" w:color="auto" w:fill="auto"/>
            <w:noWrap/>
            <w:vAlign w:val="bottom"/>
          </w:tcPr>
          <w:p w:rsidR="002B14DE" w:rsidRPr="00413D71" w:rsidRDefault="002B14DE" w:rsidP="002B14DE">
            <w:pPr>
              <w:spacing w:after="0" w:line="240" w:lineRule="auto"/>
              <w:jc w:val="right"/>
              <w:rPr>
                <w:rFonts w:ascii="Tms Rmn" w:eastAsia="Times New Roman" w:hAnsi="Tms Rmn" w:cs="Times New Roman"/>
                <w:sz w:val="18"/>
                <w:szCs w:val="18"/>
                <w:lang w:eastAsia="it-IT"/>
              </w:rPr>
            </w:pPr>
            <w:r>
              <w:rPr>
                <w:rFonts w:ascii="Tms Rmn" w:eastAsia="Times New Roman" w:hAnsi="Tms Rmn" w:cs="Times New Roman"/>
                <w:sz w:val="18"/>
                <w:szCs w:val="18"/>
                <w:lang w:eastAsia="it-IT"/>
              </w:rPr>
              <w:t>2012</w:t>
            </w:r>
          </w:p>
        </w:tc>
        <w:tc>
          <w:tcPr>
            <w:tcW w:w="780" w:type="dxa"/>
            <w:tcBorders>
              <w:top w:val="single" w:sz="4" w:space="0" w:color="auto"/>
              <w:left w:val="nil"/>
              <w:bottom w:val="single" w:sz="4" w:space="0" w:color="auto"/>
              <w:right w:val="nil"/>
            </w:tcBorders>
            <w:shd w:val="clear" w:color="auto" w:fill="auto"/>
            <w:noWrap/>
            <w:vAlign w:val="bottom"/>
          </w:tcPr>
          <w:p w:rsidR="002B14DE" w:rsidRPr="00413D71" w:rsidRDefault="002B14DE" w:rsidP="002B14DE">
            <w:pPr>
              <w:spacing w:after="0" w:line="240" w:lineRule="auto"/>
              <w:jc w:val="right"/>
              <w:rPr>
                <w:rFonts w:ascii="Tms Rmn" w:eastAsia="Times New Roman" w:hAnsi="Tms Rmn" w:cs="Times New Roman"/>
                <w:sz w:val="18"/>
                <w:szCs w:val="18"/>
                <w:lang w:eastAsia="it-IT"/>
              </w:rPr>
            </w:pPr>
            <w:r>
              <w:rPr>
                <w:rFonts w:ascii="Tms Rmn" w:eastAsia="Times New Roman" w:hAnsi="Tms Rmn" w:cs="Times New Roman"/>
                <w:sz w:val="18"/>
                <w:szCs w:val="18"/>
                <w:lang w:eastAsia="it-IT"/>
              </w:rPr>
              <w:t>2013</w:t>
            </w:r>
          </w:p>
        </w:tc>
        <w:tc>
          <w:tcPr>
            <w:tcW w:w="860" w:type="dxa"/>
            <w:tcBorders>
              <w:top w:val="single" w:sz="4" w:space="0" w:color="auto"/>
              <w:left w:val="nil"/>
              <w:bottom w:val="single" w:sz="4" w:space="0" w:color="auto"/>
              <w:right w:val="nil"/>
            </w:tcBorders>
            <w:shd w:val="clear" w:color="auto" w:fill="auto"/>
            <w:noWrap/>
            <w:vAlign w:val="bottom"/>
          </w:tcPr>
          <w:p w:rsidR="002B14DE" w:rsidRPr="00413D71" w:rsidRDefault="002B14DE" w:rsidP="002B14DE">
            <w:pPr>
              <w:spacing w:after="0" w:line="240" w:lineRule="auto"/>
              <w:jc w:val="right"/>
              <w:rPr>
                <w:rFonts w:ascii="Tms Rmn" w:eastAsia="Times New Roman" w:hAnsi="Tms Rmn" w:cs="Times New Roman"/>
                <w:sz w:val="18"/>
                <w:szCs w:val="18"/>
                <w:lang w:eastAsia="it-IT"/>
              </w:rPr>
            </w:pPr>
            <w:r>
              <w:rPr>
                <w:rFonts w:ascii="Tms Rmn" w:eastAsia="Times New Roman" w:hAnsi="Tms Rmn" w:cs="Times New Roman"/>
                <w:sz w:val="18"/>
                <w:szCs w:val="18"/>
                <w:lang w:eastAsia="it-IT"/>
              </w:rPr>
              <w:t>2014</w:t>
            </w:r>
          </w:p>
        </w:tc>
        <w:tc>
          <w:tcPr>
            <w:tcW w:w="860" w:type="dxa"/>
            <w:tcBorders>
              <w:top w:val="single" w:sz="4" w:space="0" w:color="auto"/>
              <w:left w:val="nil"/>
              <w:bottom w:val="single" w:sz="4" w:space="0" w:color="auto"/>
              <w:right w:val="nil"/>
            </w:tcBorders>
          </w:tcPr>
          <w:p w:rsidR="002B14DE" w:rsidRDefault="002B14DE" w:rsidP="002B14DE">
            <w:pPr>
              <w:spacing w:after="0" w:line="240" w:lineRule="auto"/>
              <w:jc w:val="right"/>
              <w:rPr>
                <w:rFonts w:ascii="Tms Rmn" w:eastAsia="Times New Roman" w:hAnsi="Tms Rmn" w:cs="Times New Roman"/>
                <w:sz w:val="18"/>
                <w:szCs w:val="18"/>
                <w:lang w:eastAsia="it-IT"/>
              </w:rPr>
            </w:pPr>
            <w:r>
              <w:rPr>
                <w:rFonts w:ascii="Tms Rmn" w:eastAsia="Times New Roman" w:hAnsi="Tms Rmn" w:cs="Times New Roman"/>
                <w:sz w:val="18"/>
                <w:szCs w:val="18"/>
                <w:lang w:eastAsia="it-IT"/>
              </w:rPr>
              <w:t>2015</w:t>
            </w:r>
          </w:p>
        </w:tc>
        <w:tc>
          <w:tcPr>
            <w:tcW w:w="860" w:type="dxa"/>
            <w:tcBorders>
              <w:top w:val="single" w:sz="4" w:space="0" w:color="auto"/>
              <w:left w:val="nil"/>
              <w:bottom w:val="single" w:sz="4" w:space="0" w:color="auto"/>
              <w:right w:val="nil"/>
            </w:tcBorders>
          </w:tcPr>
          <w:p w:rsidR="002B14DE" w:rsidRDefault="002B14DE" w:rsidP="002B14DE">
            <w:pPr>
              <w:spacing w:after="0" w:line="240" w:lineRule="auto"/>
              <w:jc w:val="right"/>
              <w:rPr>
                <w:rFonts w:ascii="Tms Rmn" w:eastAsia="Times New Roman" w:hAnsi="Tms Rmn" w:cs="Times New Roman"/>
                <w:sz w:val="18"/>
                <w:szCs w:val="18"/>
                <w:lang w:eastAsia="it-IT"/>
              </w:rPr>
            </w:pPr>
            <w:r>
              <w:rPr>
                <w:rFonts w:ascii="Tms Rmn" w:eastAsia="Times New Roman" w:hAnsi="Tms Rmn" w:cs="Times New Roman"/>
                <w:sz w:val="18"/>
                <w:szCs w:val="18"/>
                <w:lang w:eastAsia="it-IT"/>
              </w:rPr>
              <w:t>2016</w:t>
            </w:r>
          </w:p>
        </w:tc>
      </w:tr>
      <w:tr w:rsidR="002B14DE" w:rsidRPr="00413D71" w:rsidTr="002B14DE">
        <w:trPr>
          <w:trHeight w:val="240"/>
        </w:trPr>
        <w:tc>
          <w:tcPr>
            <w:tcW w:w="2694" w:type="dxa"/>
            <w:tcBorders>
              <w:top w:val="single" w:sz="4" w:space="0" w:color="auto"/>
              <w:left w:val="nil"/>
              <w:bottom w:val="nil"/>
              <w:right w:val="nil"/>
            </w:tcBorders>
            <w:shd w:val="clear" w:color="auto" w:fill="auto"/>
            <w:noWrap/>
            <w:vAlign w:val="bottom"/>
            <w:hideMark/>
          </w:tcPr>
          <w:p w:rsidR="002B14DE" w:rsidRPr="00413D71" w:rsidRDefault="002B14DE" w:rsidP="002B14DE">
            <w:pPr>
              <w:spacing w:after="0" w:line="240" w:lineRule="auto"/>
              <w:rPr>
                <w:rFonts w:ascii="Tms Rmn" w:eastAsia="Times New Roman" w:hAnsi="Tms Rmn" w:cs="Times New Roman"/>
                <w:sz w:val="18"/>
                <w:szCs w:val="18"/>
                <w:lang w:eastAsia="it-IT"/>
              </w:rPr>
            </w:pPr>
            <w:proofErr w:type="spellStart"/>
            <w:r w:rsidRPr="00413D71">
              <w:rPr>
                <w:rFonts w:ascii="Tms Rmn" w:eastAsia="Times New Roman" w:hAnsi="Tms Rmn" w:cs="Times New Roman"/>
                <w:sz w:val="18"/>
                <w:szCs w:val="18"/>
                <w:lang w:eastAsia="it-IT"/>
              </w:rPr>
              <w:t>Cap.Netto</w:t>
            </w:r>
            <w:proofErr w:type="spellEnd"/>
            <w:r w:rsidRPr="00413D71">
              <w:rPr>
                <w:rFonts w:ascii="Tms Rmn" w:eastAsia="Times New Roman" w:hAnsi="Tms Rmn" w:cs="Times New Roman"/>
                <w:sz w:val="18"/>
                <w:szCs w:val="18"/>
                <w:lang w:eastAsia="it-IT"/>
              </w:rPr>
              <w:t>/Pass.</w:t>
            </w:r>
          </w:p>
        </w:tc>
        <w:tc>
          <w:tcPr>
            <w:tcW w:w="226" w:type="dxa"/>
            <w:tcBorders>
              <w:top w:val="single" w:sz="4" w:space="0" w:color="auto"/>
              <w:left w:val="nil"/>
              <w:bottom w:val="nil"/>
              <w:right w:val="nil"/>
            </w:tcBorders>
            <w:shd w:val="clear" w:color="auto" w:fill="auto"/>
            <w:noWrap/>
            <w:vAlign w:val="bottom"/>
            <w:hideMark/>
          </w:tcPr>
          <w:p w:rsidR="002B14DE" w:rsidRPr="00413D71" w:rsidRDefault="002B14DE" w:rsidP="002B14DE">
            <w:pPr>
              <w:spacing w:after="0" w:line="240" w:lineRule="auto"/>
              <w:rPr>
                <w:rFonts w:ascii="Tms Rmn" w:eastAsia="Times New Roman" w:hAnsi="Tms Rmn" w:cs="Times New Roman"/>
                <w:sz w:val="18"/>
                <w:szCs w:val="18"/>
                <w:lang w:eastAsia="it-IT"/>
              </w:rPr>
            </w:pPr>
          </w:p>
        </w:tc>
        <w:tc>
          <w:tcPr>
            <w:tcW w:w="1180" w:type="dxa"/>
            <w:tcBorders>
              <w:top w:val="single" w:sz="4" w:space="0" w:color="auto"/>
              <w:left w:val="nil"/>
              <w:bottom w:val="nil"/>
              <w:right w:val="nil"/>
            </w:tcBorders>
            <w:shd w:val="clear" w:color="auto" w:fill="auto"/>
            <w:noWrap/>
            <w:vAlign w:val="bottom"/>
            <w:hideMark/>
          </w:tcPr>
          <w:p w:rsidR="002B14DE" w:rsidRPr="00413D71" w:rsidRDefault="002B14DE" w:rsidP="002B14DE">
            <w:pPr>
              <w:spacing w:after="0" w:line="240" w:lineRule="auto"/>
              <w:jc w:val="right"/>
              <w:rPr>
                <w:rFonts w:ascii="Tms Rmn" w:eastAsia="Times New Roman" w:hAnsi="Tms Rmn" w:cs="Times New Roman"/>
                <w:sz w:val="18"/>
                <w:szCs w:val="18"/>
                <w:lang w:eastAsia="it-IT"/>
              </w:rPr>
            </w:pPr>
            <w:r w:rsidRPr="00413D71">
              <w:rPr>
                <w:rFonts w:ascii="Tms Rmn" w:eastAsia="Times New Roman" w:hAnsi="Tms Rmn" w:cs="Times New Roman"/>
                <w:sz w:val="18"/>
                <w:szCs w:val="18"/>
                <w:lang w:eastAsia="it-IT"/>
              </w:rPr>
              <w:t>34,5%</w:t>
            </w:r>
          </w:p>
        </w:tc>
        <w:tc>
          <w:tcPr>
            <w:tcW w:w="780" w:type="dxa"/>
            <w:tcBorders>
              <w:top w:val="single" w:sz="4" w:space="0" w:color="auto"/>
              <w:left w:val="nil"/>
              <w:bottom w:val="nil"/>
              <w:right w:val="nil"/>
            </w:tcBorders>
            <w:shd w:val="clear" w:color="auto" w:fill="auto"/>
            <w:noWrap/>
            <w:vAlign w:val="bottom"/>
            <w:hideMark/>
          </w:tcPr>
          <w:p w:rsidR="002B14DE" w:rsidRPr="00413D71" w:rsidRDefault="002B14DE" w:rsidP="002B14DE">
            <w:pPr>
              <w:spacing w:after="0" w:line="240" w:lineRule="auto"/>
              <w:jc w:val="right"/>
              <w:rPr>
                <w:rFonts w:ascii="Tms Rmn" w:eastAsia="Times New Roman" w:hAnsi="Tms Rmn" w:cs="Times New Roman"/>
                <w:sz w:val="18"/>
                <w:szCs w:val="18"/>
                <w:lang w:eastAsia="it-IT"/>
              </w:rPr>
            </w:pPr>
            <w:r w:rsidRPr="00413D71">
              <w:rPr>
                <w:rFonts w:ascii="Tms Rmn" w:eastAsia="Times New Roman" w:hAnsi="Tms Rmn" w:cs="Times New Roman"/>
                <w:sz w:val="18"/>
                <w:szCs w:val="18"/>
                <w:lang w:eastAsia="it-IT"/>
              </w:rPr>
              <w:t>34,9%</w:t>
            </w:r>
          </w:p>
        </w:tc>
        <w:tc>
          <w:tcPr>
            <w:tcW w:w="860" w:type="dxa"/>
            <w:tcBorders>
              <w:top w:val="single" w:sz="4" w:space="0" w:color="auto"/>
              <w:left w:val="nil"/>
              <w:bottom w:val="nil"/>
              <w:right w:val="nil"/>
            </w:tcBorders>
            <w:shd w:val="clear" w:color="auto" w:fill="auto"/>
            <w:noWrap/>
            <w:vAlign w:val="bottom"/>
            <w:hideMark/>
          </w:tcPr>
          <w:p w:rsidR="002B14DE" w:rsidRPr="00413D71" w:rsidRDefault="002B14DE" w:rsidP="002B14DE">
            <w:pPr>
              <w:spacing w:after="0" w:line="240" w:lineRule="auto"/>
              <w:jc w:val="right"/>
              <w:rPr>
                <w:rFonts w:ascii="Tms Rmn" w:eastAsia="Times New Roman" w:hAnsi="Tms Rmn" w:cs="Times New Roman"/>
                <w:sz w:val="18"/>
                <w:szCs w:val="18"/>
                <w:lang w:eastAsia="it-IT"/>
              </w:rPr>
            </w:pPr>
            <w:r w:rsidRPr="00413D71">
              <w:rPr>
                <w:rFonts w:ascii="Tms Rmn" w:eastAsia="Times New Roman" w:hAnsi="Tms Rmn" w:cs="Times New Roman"/>
                <w:sz w:val="18"/>
                <w:szCs w:val="18"/>
                <w:lang w:eastAsia="it-IT"/>
              </w:rPr>
              <w:t>34,5%</w:t>
            </w:r>
          </w:p>
        </w:tc>
        <w:tc>
          <w:tcPr>
            <w:tcW w:w="860" w:type="dxa"/>
            <w:tcBorders>
              <w:top w:val="single" w:sz="4" w:space="0" w:color="auto"/>
              <w:left w:val="nil"/>
              <w:bottom w:val="nil"/>
              <w:right w:val="nil"/>
            </w:tcBorders>
          </w:tcPr>
          <w:p w:rsidR="002B14DE" w:rsidRPr="00413D71" w:rsidRDefault="002B14DE" w:rsidP="002B14DE">
            <w:pPr>
              <w:spacing w:after="0" w:line="240" w:lineRule="auto"/>
              <w:jc w:val="right"/>
              <w:rPr>
                <w:rFonts w:ascii="Tms Rmn" w:eastAsia="Times New Roman" w:hAnsi="Tms Rmn" w:cs="Times New Roman"/>
                <w:sz w:val="18"/>
                <w:szCs w:val="18"/>
                <w:lang w:eastAsia="it-IT"/>
              </w:rPr>
            </w:pPr>
            <w:r>
              <w:rPr>
                <w:rFonts w:ascii="Tms Rmn" w:eastAsia="Times New Roman" w:hAnsi="Tms Rmn" w:cs="Times New Roman"/>
                <w:sz w:val="18"/>
                <w:szCs w:val="18"/>
                <w:lang w:eastAsia="it-IT"/>
              </w:rPr>
              <w:t>38,4%</w:t>
            </w:r>
          </w:p>
        </w:tc>
        <w:tc>
          <w:tcPr>
            <w:tcW w:w="860" w:type="dxa"/>
            <w:tcBorders>
              <w:top w:val="single" w:sz="4" w:space="0" w:color="auto"/>
              <w:left w:val="nil"/>
              <w:bottom w:val="nil"/>
              <w:right w:val="nil"/>
            </w:tcBorders>
          </w:tcPr>
          <w:p w:rsidR="002B14DE" w:rsidRPr="00413D71" w:rsidRDefault="002B14DE" w:rsidP="002B14DE">
            <w:pPr>
              <w:spacing w:after="0" w:line="240" w:lineRule="auto"/>
              <w:jc w:val="right"/>
              <w:rPr>
                <w:rFonts w:ascii="Tms Rmn" w:eastAsia="Times New Roman" w:hAnsi="Tms Rmn" w:cs="Times New Roman"/>
                <w:sz w:val="18"/>
                <w:szCs w:val="18"/>
                <w:lang w:eastAsia="it-IT"/>
              </w:rPr>
            </w:pPr>
            <w:r>
              <w:rPr>
                <w:rFonts w:ascii="Tms Rmn" w:eastAsia="Times New Roman" w:hAnsi="Tms Rmn" w:cs="Times New Roman"/>
                <w:sz w:val="18"/>
                <w:szCs w:val="18"/>
                <w:lang w:eastAsia="it-IT"/>
              </w:rPr>
              <w:t>37,2%</w:t>
            </w:r>
          </w:p>
        </w:tc>
      </w:tr>
      <w:tr w:rsidR="002B14DE" w:rsidRPr="00413D71" w:rsidTr="002B14DE">
        <w:trPr>
          <w:trHeight w:val="240"/>
        </w:trPr>
        <w:tc>
          <w:tcPr>
            <w:tcW w:w="2694" w:type="dxa"/>
            <w:tcBorders>
              <w:top w:val="nil"/>
              <w:left w:val="nil"/>
              <w:bottom w:val="nil"/>
              <w:right w:val="nil"/>
            </w:tcBorders>
            <w:shd w:val="clear" w:color="auto" w:fill="auto"/>
            <w:noWrap/>
            <w:vAlign w:val="bottom"/>
            <w:hideMark/>
          </w:tcPr>
          <w:p w:rsidR="002B14DE" w:rsidRPr="00413D71" w:rsidRDefault="002B14DE" w:rsidP="002B14DE">
            <w:pPr>
              <w:spacing w:after="0" w:line="240" w:lineRule="auto"/>
              <w:rPr>
                <w:rFonts w:ascii="Tms Rmn" w:eastAsia="Times New Roman" w:hAnsi="Tms Rmn" w:cs="Times New Roman"/>
                <w:sz w:val="18"/>
                <w:szCs w:val="18"/>
                <w:lang w:eastAsia="it-IT"/>
              </w:rPr>
            </w:pPr>
            <w:r w:rsidRPr="00413D71">
              <w:rPr>
                <w:rFonts w:ascii="Tms Rmn" w:eastAsia="Times New Roman" w:hAnsi="Tms Rmn" w:cs="Times New Roman"/>
                <w:sz w:val="18"/>
                <w:szCs w:val="18"/>
                <w:lang w:eastAsia="it-IT"/>
              </w:rPr>
              <w:t>Fondi/Pass.</w:t>
            </w:r>
          </w:p>
        </w:tc>
        <w:tc>
          <w:tcPr>
            <w:tcW w:w="226" w:type="dxa"/>
            <w:tcBorders>
              <w:top w:val="nil"/>
              <w:left w:val="nil"/>
              <w:bottom w:val="nil"/>
              <w:right w:val="nil"/>
            </w:tcBorders>
            <w:shd w:val="clear" w:color="auto" w:fill="auto"/>
            <w:noWrap/>
            <w:vAlign w:val="bottom"/>
            <w:hideMark/>
          </w:tcPr>
          <w:p w:rsidR="002B14DE" w:rsidRPr="00413D71" w:rsidRDefault="002B14DE" w:rsidP="002B14DE">
            <w:pPr>
              <w:spacing w:after="0" w:line="240" w:lineRule="auto"/>
              <w:rPr>
                <w:rFonts w:ascii="Tms Rmn" w:eastAsia="Times New Roman" w:hAnsi="Tms Rmn" w:cs="Times New Roman"/>
                <w:sz w:val="18"/>
                <w:szCs w:val="18"/>
                <w:lang w:eastAsia="it-IT"/>
              </w:rPr>
            </w:pPr>
          </w:p>
        </w:tc>
        <w:tc>
          <w:tcPr>
            <w:tcW w:w="1180" w:type="dxa"/>
            <w:tcBorders>
              <w:top w:val="nil"/>
              <w:left w:val="nil"/>
              <w:bottom w:val="nil"/>
              <w:right w:val="nil"/>
            </w:tcBorders>
            <w:shd w:val="clear" w:color="auto" w:fill="auto"/>
            <w:noWrap/>
            <w:vAlign w:val="bottom"/>
            <w:hideMark/>
          </w:tcPr>
          <w:p w:rsidR="002B14DE" w:rsidRPr="00413D71" w:rsidRDefault="002B14DE" w:rsidP="002B14DE">
            <w:pPr>
              <w:spacing w:after="0" w:line="240" w:lineRule="auto"/>
              <w:jc w:val="right"/>
              <w:rPr>
                <w:rFonts w:ascii="Tms Rmn" w:eastAsia="Times New Roman" w:hAnsi="Tms Rmn" w:cs="Times New Roman"/>
                <w:sz w:val="18"/>
                <w:szCs w:val="18"/>
                <w:lang w:eastAsia="it-IT"/>
              </w:rPr>
            </w:pPr>
            <w:r w:rsidRPr="00413D71">
              <w:rPr>
                <w:rFonts w:ascii="Tms Rmn" w:eastAsia="Times New Roman" w:hAnsi="Tms Rmn" w:cs="Times New Roman"/>
                <w:sz w:val="18"/>
                <w:szCs w:val="18"/>
                <w:lang w:eastAsia="it-IT"/>
              </w:rPr>
              <w:t>7,6%</w:t>
            </w:r>
          </w:p>
        </w:tc>
        <w:tc>
          <w:tcPr>
            <w:tcW w:w="780" w:type="dxa"/>
            <w:tcBorders>
              <w:top w:val="nil"/>
              <w:left w:val="nil"/>
              <w:bottom w:val="nil"/>
              <w:right w:val="nil"/>
            </w:tcBorders>
            <w:shd w:val="clear" w:color="auto" w:fill="auto"/>
            <w:noWrap/>
            <w:vAlign w:val="bottom"/>
            <w:hideMark/>
          </w:tcPr>
          <w:p w:rsidR="002B14DE" w:rsidRPr="00413D71" w:rsidRDefault="002B14DE" w:rsidP="002B14DE">
            <w:pPr>
              <w:spacing w:after="0" w:line="240" w:lineRule="auto"/>
              <w:jc w:val="right"/>
              <w:rPr>
                <w:rFonts w:ascii="Tms Rmn" w:eastAsia="Times New Roman" w:hAnsi="Tms Rmn" w:cs="Times New Roman"/>
                <w:sz w:val="18"/>
                <w:szCs w:val="18"/>
                <w:lang w:eastAsia="it-IT"/>
              </w:rPr>
            </w:pPr>
            <w:r w:rsidRPr="00413D71">
              <w:rPr>
                <w:rFonts w:ascii="Tms Rmn" w:eastAsia="Times New Roman" w:hAnsi="Tms Rmn" w:cs="Times New Roman"/>
                <w:sz w:val="18"/>
                <w:szCs w:val="18"/>
                <w:lang w:eastAsia="it-IT"/>
              </w:rPr>
              <w:t>7,3%</w:t>
            </w:r>
          </w:p>
        </w:tc>
        <w:tc>
          <w:tcPr>
            <w:tcW w:w="860" w:type="dxa"/>
            <w:tcBorders>
              <w:top w:val="nil"/>
              <w:left w:val="nil"/>
              <w:bottom w:val="nil"/>
              <w:right w:val="nil"/>
            </w:tcBorders>
            <w:shd w:val="clear" w:color="auto" w:fill="auto"/>
            <w:noWrap/>
            <w:vAlign w:val="bottom"/>
            <w:hideMark/>
          </w:tcPr>
          <w:p w:rsidR="002B14DE" w:rsidRPr="00413D71" w:rsidRDefault="002B14DE" w:rsidP="002B14DE">
            <w:pPr>
              <w:spacing w:after="0" w:line="240" w:lineRule="auto"/>
              <w:jc w:val="right"/>
              <w:rPr>
                <w:rFonts w:ascii="Tms Rmn" w:eastAsia="Times New Roman" w:hAnsi="Tms Rmn" w:cs="Times New Roman"/>
                <w:sz w:val="18"/>
                <w:szCs w:val="18"/>
                <w:lang w:eastAsia="it-IT"/>
              </w:rPr>
            </w:pPr>
            <w:r w:rsidRPr="00413D71">
              <w:rPr>
                <w:rFonts w:ascii="Tms Rmn" w:eastAsia="Times New Roman" w:hAnsi="Tms Rmn" w:cs="Times New Roman"/>
                <w:sz w:val="18"/>
                <w:szCs w:val="18"/>
                <w:lang w:eastAsia="it-IT"/>
              </w:rPr>
              <w:t>7,3%</w:t>
            </w:r>
          </w:p>
        </w:tc>
        <w:tc>
          <w:tcPr>
            <w:tcW w:w="860" w:type="dxa"/>
            <w:tcBorders>
              <w:top w:val="nil"/>
              <w:left w:val="nil"/>
              <w:bottom w:val="nil"/>
              <w:right w:val="nil"/>
            </w:tcBorders>
          </w:tcPr>
          <w:p w:rsidR="002B14DE" w:rsidRPr="00413D71" w:rsidRDefault="002B14DE" w:rsidP="002B14DE">
            <w:pPr>
              <w:spacing w:after="0" w:line="240" w:lineRule="auto"/>
              <w:jc w:val="right"/>
              <w:rPr>
                <w:rFonts w:ascii="Tms Rmn" w:eastAsia="Times New Roman" w:hAnsi="Tms Rmn" w:cs="Times New Roman"/>
                <w:sz w:val="18"/>
                <w:szCs w:val="18"/>
                <w:lang w:eastAsia="it-IT"/>
              </w:rPr>
            </w:pPr>
            <w:r>
              <w:rPr>
                <w:rFonts w:ascii="Tms Rmn" w:eastAsia="Times New Roman" w:hAnsi="Tms Rmn" w:cs="Times New Roman"/>
                <w:sz w:val="18"/>
                <w:szCs w:val="18"/>
                <w:lang w:eastAsia="it-IT"/>
              </w:rPr>
              <w:t>7,9%</w:t>
            </w:r>
          </w:p>
        </w:tc>
        <w:tc>
          <w:tcPr>
            <w:tcW w:w="860" w:type="dxa"/>
            <w:tcBorders>
              <w:top w:val="nil"/>
              <w:left w:val="nil"/>
              <w:bottom w:val="nil"/>
              <w:right w:val="nil"/>
            </w:tcBorders>
          </w:tcPr>
          <w:p w:rsidR="002B14DE" w:rsidRPr="00413D71" w:rsidRDefault="002B14DE" w:rsidP="002B14DE">
            <w:pPr>
              <w:spacing w:after="0" w:line="240" w:lineRule="auto"/>
              <w:jc w:val="right"/>
              <w:rPr>
                <w:rFonts w:ascii="Tms Rmn" w:eastAsia="Times New Roman" w:hAnsi="Tms Rmn" w:cs="Times New Roman"/>
                <w:sz w:val="18"/>
                <w:szCs w:val="18"/>
                <w:lang w:eastAsia="it-IT"/>
              </w:rPr>
            </w:pPr>
            <w:r>
              <w:rPr>
                <w:rFonts w:ascii="Tms Rmn" w:eastAsia="Times New Roman" w:hAnsi="Tms Rmn" w:cs="Times New Roman"/>
                <w:sz w:val="18"/>
                <w:szCs w:val="18"/>
                <w:lang w:eastAsia="it-IT"/>
              </w:rPr>
              <w:t>7,6%</w:t>
            </w:r>
          </w:p>
        </w:tc>
      </w:tr>
      <w:tr w:rsidR="002B14DE" w:rsidRPr="00413D71" w:rsidTr="002B14DE">
        <w:trPr>
          <w:trHeight w:val="240"/>
        </w:trPr>
        <w:tc>
          <w:tcPr>
            <w:tcW w:w="2694" w:type="dxa"/>
            <w:tcBorders>
              <w:top w:val="nil"/>
              <w:left w:val="nil"/>
              <w:bottom w:val="nil"/>
              <w:right w:val="nil"/>
            </w:tcBorders>
            <w:shd w:val="clear" w:color="auto" w:fill="auto"/>
            <w:noWrap/>
            <w:vAlign w:val="bottom"/>
            <w:hideMark/>
          </w:tcPr>
          <w:p w:rsidR="002B14DE" w:rsidRPr="00413D71" w:rsidRDefault="002B14DE" w:rsidP="002B14DE">
            <w:pPr>
              <w:spacing w:after="0" w:line="240" w:lineRule="auto"/>
              <w:rPr>
                <w:rFonts w:ascii="Tms Rmn" w:eastAsia="Times New Roman" w:hAnsi="Tms Rmn" w:cs="Times New Roman"/>
                <w:sz w:val="18"/>
                <w:szCs w:val="18"/>
                <w:lang w:eastAsia="it-IT"/>
              </w:rPr>
            </w:pPr>
            <w:proofErr w:type="spellStart"/>
            <w:r w:rsidRPr="00413D71">
              <w:rPr>
                <w:rFonts w:ascii="Tms Rmn" w:eastAsia="Times New Roman" w:hAnsi="Tms Rmn" w:cs="Times New Roman"/>
                <w:sz w:val="18"/>
                <w:szCs w:val="18"/>
                <w:lang w:eastAsia="it-IT"/>
              </w:rPr>
              <w:t>Deb.Lungo</w:t>
            </w:r>
            <w:proofErr w:type="spellEnd"/>
            <w:r w:rsidRPr="00413D71">
              <w:rPr>
                <w:rFonts w:ascii="Tms Rmn" w:eastAsia="Times New Roman" w:hAnsi="Tms Rmn" w:cs="Times New Roman"/>
                <w:sz w:val="18"/>
                <w:szCs w:val="18"/>
                <w:lang w:eastAsia="it-IT"/>
              </w:rPr>
              <w:t>/Pass.</w:t>
            </w:r>
          </w:p>
        </w:tc>
        <w:tc>
          <w:tcPr>
            <w:tcW w:w="226" w:type="dxa"/>
            <w:tcBorders>
              <w:top w:val="nil"/>
              <w:left w:val="nil"/>
              <w:bottom w:val="nil"/>
              <w:right w:val="nil"/>
            </w:tcBorders>
            <w:shd w:val="clear" w:color="auto" w:fill="auto"/>
            <w:noWrap/>
            <w:vAlign w:val="bottom"/>
            <w:hideMark/>
          </w:tcPr>
          <w:p w:rsidR="002B14DE" w:rsidRPr="00413D71" w:rsidRDefault="002B14DE" w:rsidP="002B14DE">
            <w:pPr>
              <w:spacing w:after="0" w:line="240" w:lineRule="auto"/>
              <w:rPr>
                <w:rFonts w:ascii="Tms Rmn" w:eastAsia="Times New Roman" w:hAnsi="Tms Rmn" w:cs="Times New Roman"/>
                <w:sz w:val="18"/>
                <w:szCs w:val="18"/>
                <w:lang w:eastAsia="it-IT"/>
              </w:rPr>
            </w:pPr>
          </w:p>
        </w:tc>
        <w:tc>
          <w:tcPr>
            <w:tcW w:w="1180" w:type="dxa"/>
            <w:tcBorders>
              <w:top w:val="nil"/>
              <w:left w:val="nil"/>
              <w:bottom w:val="nil"/>
              <w:right w:val="nil"/>
            </w:tcBorders>
            <w:shd w:val="clear" w:color="auto" w:fill="auto"/>
            <w:noWrap/>
            <w:vAlign w:val="bottom"/>
            <w:hideMark/>
          </w:tcPr>
          <w:p w:rsidR="002B14DE" w:rsidRPr="00413D71" w:rsidRDefault="002B14DE" w:rsidP="002B14DE">
            <w:pPr>
              <w:spacing w:after="0" w:line="240" w:lineRule="auto"/>
              <w:jc w:val="right"/>
              <w:rPr>
                <w:rFonts w:ascii="Tms Rmn" w:eastAsia="Times New Roman" w:hAnsi="Tms Rmn" w:cs="Times New Roman"/>
                <w:sz w:val="18"/>
                <w:szCs w:val="18"/>
                <w:lang w:eastAsia="it-IT"/>
              </w:rPr>
            </w:pPr>
            <w:r w:rsidRPr="00413D71">
              <w:rPr>
                <w:rFonts w:ascii="Tms Rmn" w:eastAsia="Times New Roman" w:hAnsi="Tms Rmn" w:cs="Times New Roman"/>
                <w:sz w:val="18"/>
                <w:szCs w:val="18"/>
                <w:lang w:eastAsia="it-IT"/>
              </w:rPr>
              <w:t>9,6%</w:t>
            </w:r>
          </w:p>
        </w:tc>
        <w:tc>
          <w:tcPr>
            <w:tcW w:w="780" w:type="dxa"/>
            <w:tcBorders>
              <w:top w:val="nil"/>
              <w:left w:val="nil"/>
              <w:bottom w:val="nil"/>
              <w:right w:val="nil"/>
            </w:tcBorders>
            <w:shd w:val="clear" w:color="auto" w:fill="auto"/>
            <w:noWrap/>
            <w:vAlign w:val="bottom"/>
            <w:hideMark/>
          </w:tcPr>
          <w:p w:rsidR="002B14DE" w:rsidRPr="00413D71" w:rsidRDefault="002B14DE" w:rsidP="002B14DE">
            <w:pPr>
              <w:spacing w:after="0" w:line="240" w:lineRule="auto"/>
              <w:jc w:val="right"/>
              <w:rPr>
                <w:rFonts w:ascii="Tms Rmn" w:eastAsia="Times New Roman" w:hAnsi="Tms Rmn" w:cs="Times New Roman"/>
                <w:sz w:val="18"/>
                <w:szCs w:val="18"/>
                <w:lang w:eastAsia="it-IT"/>
              </w:rPr>
            </w:pPr>
            <w:r w:rsidRPr="00413D71">
              <w:rPr>
                <w:rFonts w:ascii="Tms Rmn" w:eastAsia="Times New Roman" w:hAnsi="Tms Rmn" w:cs="Times New Roman"/>
                <w:sz w:val="18"/>
                <w:szCs w:val="18"/>
                <w:lang w:eastAsia="it-IT"/>
              </w:rPr>
              <w:t>8,7%</w:t>
            </w:r>
          </w:p>
        </w:tc>
        <w:tc>
          <w:tcPr>
            <w:tcW w:w="860" w:type="dxa"/>
            <w:tcBorders>
              <w:top w:val="nil"/>
              <w:left w:val="nil"/>
              <w:bottom w:val="nil"/>
              <w:right w:val="nil"/>
            </w:tcBorders>
            <w:shd w:val="clear" w:color="auto" w:fill="auto"/>
            <w:noWrap/>
            <w:vAlign w:val="bottom"/>
            <w:hideMark/>
          </w:tcPr>
          <w:p w:rsidR="002B14DE" w:rsidRPr="00413D71" w:rsidRDefault="002B14DE" w:rsidP="002B14DE">
            <w:pPr>
              <w:spacing w:after="0" w:line="240" w:lineRule="auto"/>
              <w:jc w:val="right"/>
              <w:rPr>
                <w:rFonts w:ascii="Tms Rmn" w:eastAsia="Times New Roman" w:hAnsi="Tms Rmn" w:cs="Times New Roman"/>
                <w:sz w:val="18"/>
                <w:szCs w:val="18"/>
                <w:lang w:eastAsia="it-IT"/>
              </w:rPr>
            </w:pPr>
            <w:r w:rsidRPr="00413D71">
              <w:rPr>
                <w:rFonts w:ascii="Tms Rmn" w:eastAsia="Times New Roman" w:hAnsi="Tms Rmn" w:cs="Times New Roman"/>
                <w:sz w:val="18"/>
                <w:szCs w:val="18"/>
                <w:lang w:eastAsia="it-IT"/>
              </w:rPr>
              <w:t>8,7%</w:t>
            </w:r>
          </w:p>
        </w:tc>
        <w:tc>
          <w:tcPr>
            <w:tcW w:w="860" w:type="dxa"/>
            <w:tcBorders>
              <w:top w:val="nil"/>
              <w:left w:val="nil"/>
              <w:bottom w:val="nil"/>
              <w:right w:val="nil"/>
            </w:tcBorders>
          </w:tcPr>
          <w:p w:rsidR="002B14DE" w:rsidRPr="00413D71" w:rsidRDefault="002B14DE" w:rsidP="002B14DE">
            <w:pPr>
              <w:spacing w:after="0" w:line="240" w:lineRule="auto"/>
              <w:jc w:val="right"/>
              <w:rPr>
                <w:rFonts w:ascii="Tms Rmn" w:eastAsia="Times New Roman" w:hAnsi="Tms Rmn" w:cs="Times New Roman"/>
                <w:sz w:val="18"/>
                <w:szCs w:val="18"/>
                <w:lang w:eastAsia="it-IT"/>
              </w:rPr>
            </w:pPr>
            <w:r>
              <w:rPr>
                <w:rFonts w:ascii="Tms Rmn" w:eastAsia="Times New Roman" w:hAnsi="Tms Rmn" w:cs="Times New Roman"/>
                <w:sz w:val="18"/>
                <w:szCs w:val="18"/>
                <w:lang w:eastAsia="it-IT"/>
              </w:rPr>
              <w:t>9,1%</w:t>
            </w:r>
          </w:p>
        </w:tc>
        <w:tc>
          <w:tcPr>
            <w:tcW w:w="860" w:type="dxa"/>
            <w:tcBorders>
              <w:top w:val="nil"/>
              <w:left w:val="nil"/>
              <w:bottom w:val="nil"/>
              <w:right w:val="nil"/>
            </w:tcBorders>
          </w:tcPr>
          <w:p w:rsidR="002B14DE" w:rsidRPr="00413D71" w:rsidRDefault="002B14DE" w:rsidP="002B14DE">
            <w:pPr>
              <w:spacing w:after="0" w:line="240" w:lineRule="auto"/>
              <w:jc w:val="right"/>
              <w:rPr>
                <w:rFonts w:ascii="Tms Rmn" w:eastAsia="Times New Roman" w:hAnsi="Tms Rmn" w:cs="Times New Roman"/>
                <w:sz w:val="18"/>
                <w:szCs w:val="18"/>
                <w:lang w:eastAsia="it-IT"/>
              </w:rPr>
            </w:pPr>
            <w:r>
              <w:rPr>
                <w:rFonts w:ascii="Tms Rmn" w:eastAsia="Times New Roman" w:hAnsi="Tms Rmn" w:cs="Times New Roman"/>
                <w:sz w:val="18"/>
                <w:szCs w:val="18"/>
                <w:lang w:eastAsia="it-IT"/>
              </w:rPr>
              <w:t>11,3%</w:t>
            </w:r>
          </w:p>
        </w:tc>
      </w:tr>
      <w:tr w:rsidR="002B14DE" w:rsidRPr="00413D71" w:rsidTr="002B14DE">
        <w:trPr>
          <w:trHeight w:val="240"/>
        </w:trPr>
        <w:tc>
          <w:tcPr>
            <w:tcW w:w="2694" w:type="dxa"/>
            <w:tcBorders>
              <w:top w:val="nil"/>
              <w:left w:val="nil"/>
              <w:right w:val="nil"/>
            </w:tcBorders>
            <w:shd w:val="clear" w:color="auto" w:fill="auto"/>
            <w:noWrap/>
            <w:vAlign w:val="bottom"/>
            <w:hideMark/>
          </w:tcPr>
          <w:p w:rsidR="002B14DE" w:rsidRPr="00413D71" w:rsidRDefault="002B14DE" w:rsidP="002B14DE">
            <w:pPr>
              <w:spacing w:after="0" w:line="240" w:lineRule="auto"/>
              <w:rPr>
                <w:rFonts w:ascii="Tms Rmn" w:eastAsia="Times New Roman" w:hAnsi="Tms Rmn" w:cs="Times New Roman"/>
                <w:sz w:val="18"/>
                <w:szCs w:val="18"/>
                <w:lang w:eastAsia="it-IT"/>
              </w:rPr>
            </w:pPr>
            <w:proofErr w:type="spellStart"/>
            <w:r w:rsidRPr="00413D71">
              <w:rPr>
                <w:rFonts w:ascii="Tms Rmn" w:eastAsia="Times New Roman" w:hAnsi="Tms Rmn" w:cs="Times New Roman"/>
                <w:sz w:val="18"/>
                <w:szCs w:val="18"/>
                <w:lang w:eastAsia="it-IT"/>
              </w:rPr>
              <w:t>Deb.Comm</w:t>
            </w:r>
            <w:proofErr w:type="spellEnd"/>
            <w:r w:rsidRPr="00413D71">
              <w:rPr>
                <w:rFonts w:ascii="Tms Rmn" w:eastAsia="Times New Roman" w:hAnsi="Tms Rmn" w:cs="Times New Roman"/>
                <w:sz w:val="18"/>
                <w:szCs w:val="18"/>
                <w:lang w:eastAsia="it-IT"/>
              </w:rPr>
              <w:t>./Pass.</w:t>
            </w:r>
          </w:p>
        </w:tc>
        <w:tc>
          <w:tcPr>
            <w:tcW w:w="226" w:type="dxa"/>
            <w:tcBorders>
              <w:top w:val="nil"/>
              <w:left w:val="nil"/>
              <w:right w:val="nil"/>
            </w:tcBorders>
            <w:shd w:val="clear" w:color="auto" w:fill="auto"/>
            <w:noWrap/>
            <w:vAlign w:val="bottom"/>
            <w:hideMark/>
          </w:tcPr>
          <w:p w:rsidR="002B14DE" w:rsidRPr="00413D71" w:rsidRDefault="002B14DE" w:rsidP="002B14DE">
            <w:pPr>
              <w:spacing w:after="0" w:line="240" w:lineRule="auto"/>
              <w:rPr>
                <w:rFonts w:ascii="Tms Rmn" w:eastAsia="Times New Roman" w:hAnsi="Tms Rmn" w:cs="Times New Roman"/>
                <w:sz w:val="18"/>
                <w:szCs w:val="18"/>
                <w:lang w:eastAsia="it-IT"/>
              </w:rPr>
            </w:pPr>
          </w:p>
        </w:tc>
        <w:tc>
          <w:tcPr>
            <w:tcW w:w="1180" w:type="dxa"/>
            <w:tcBorders>
              <w:top w:val="nil"/>
              <w:left w:val="nil"/>
              <w:right w:val="nil"/>
            </w:tcBorders>
            <w:shd w:val="clear" w:color="auto" w:fill="auto"/>
            <w:noWrap/>
            <w:vAlign w:val="bottom"/>
            <w:hideMark/>
          </w:tcPr>
          <w:p w:rsidR="002B14DE" w:rsidRPr="00413D71" w:rsidRDefault="002B14DE" w:rsidP="002B14DE">
            <w:pPr>
              <w:spacing w:after="0" w:line="240" w:lineRule="auto"/>
              <w:jc w:val="right"/>
              <w:rPr>
                <w:rFonts w:ascii="Tms Rmn" w:eastAsia="Times New Roman" w:hAnsi="Tms Rmn" w:cs="Times New Roman"/>
                <w:sz w:val="18"/>
                <w:szCs w:val="18"/>
                <w:lang w:eastAsia="it-IT"/>
              </w:rPr>
            </w:pPr>
            <w:r w:rsidRPr="00413D71">
              <w:rPr>
                <w:rFonts w:ascii="Tms Rmn" w:eastAsia="Times New Roman" w:hAnsi="Tms Rmn" w:cs="Times New Roman"/>
                <w:sz w:val="18"/>
                <w:szCs w:val="18"/>
                <w:lang w:eastAsia="it-IT"/>
              </w:rPr>
              <w:t>7,3%</w:t>
            </w:r>
          </w:p>
        </w:tc>
        <w:tc>
          <w:tcPr>
            <w:tcW w:w="780" w:type="dxa"/>
            <w:tcBorders>
              <w:top w:val="nil"/>
              <w:left w:val="nil"/>
              <w:right w:val="nil"/>
            </w:tcBorders>
            <w:shd w:val="clear" w:color="auto" w:fill="auto"/>
            <w:noWrap/>
            <w:vAlign w:val="bottom"/>
            <w:hideMark/>
          </w:tcPr>
          <w:p w:rsidR="002B14DE" w:rsidRPr="00413D71" w:rsidRDefault="002B14DE" w:rsidP="002B14DE">
            <w:pPr>
              <w:spacing w:after="0" w:line="240" w:lineRule="auto"/>
              <w:jc w:val="right"/>
              <w:rPr>
                <w:rFonts w:ascii="Tms Rmn" w:eastAsia="Times New Roman" w:hAnsi="Tms Rmn" w:cs="Times New Roman"/>
                <w:sz w:val="18"/>
                <w:szCs w:val="18"/>
                <w:lang w:eastAsia="it-IT"/>
              </w:rPr>
            </w:pPr>
            <w:r w:rsidRPr="00413D71">
              <w:rPr>
                <w:rFonts w:ascii="Tms Rmn" w:eastAsia="Times New Roman" w:hAnsi="Tms Rmn" w:cs="Times New Roman"/>
                <w:sz w:val="18"/>
                <w:szCs w:val="18"/>
                <w:lang w:eastAsia="it-IT"/>
              </w:rPr>
              <w:t>8,1%</w:t>
            </w:r>
          </w:p>
        </w:tc>
        <w:tc>
          <w:tcPr>
            <w:tcW w:w="860" w:type="dxa"/>
            <w:tcBorders>
              <w:top w:val="nil"/>
              <w:left w:val="nil"/>
              <w:right w:val="nil"/>
            </w:tcBorders>
            <w:shd w:val="clear" w:color="auto" w:fill="auto"/>
            <w:noWrap/>
            <w:vAlign w:val="bottom"/>
            <w:hideMark/>
          </w:tcPr>
          <w:p w:rsidR="002B14DE" w:rsidRPr="00413D71" w:rsidRDefault="002B14DE" w:rsidP="002B14DE">
            <w:pPr>
              <w:spacing w:after="0" w:line="240" w:lineRule="auto"/>
              <w:jc w:val="right"/>
              <w:rPr>
                <w:rFonts w:ascii="Tms Rmn" w:eastAsia="Times New Roman" w:hAnsi="Tms Rmn" w:cs="Times New Roman"/>
                <w:sz w:val="18"/>
                <w:szCs w:val="18"/>
                <w:lang w:eastAsia="it-IT"/>
              </w:rPr>
            </w:pPr>
            <w:r w:rsidRPr="00413D71">
              <w:rPr>
                <w:rFonts w:ascii="Tms Rmn" w:eastAsia="Times New Roman" w:hAnsi="Tms Rmn" w:cs="Times New Roman"/>
                <w:sz w:val="18"/>
                <w:szCs w:val="18"/>
                <w:lang w:eastAsia="it-IT"/>
              </w:rPr>
              <w:t>7,5%</w:t>
            </w:r>
          </w:p>
        </w:tc>
        <w:tc>
          <w:tcPr>
            <w:tcW w:w="860" w:type="dxa"/>
            <w:tcBorders>
              <w:top w:val="nil"/>
              <w:left w:val="nil"/>
              <w:right w:val="nil"/>
            </w:tcBorders>
          </w:tcPr>
          <w:p w:rsidR="002B14DE" w:rsidRPr="00413D71" w:rsidRDefault="002B14DE" w:rsidP="002B14DE">
            <w:pPr>
              <w:spacing w:after="0" w:line="240" w:lineRule="auto"/>
              <w:jc w:val="right"/>
              <w:rPr>
                <w:rFonts w:ascii="Tms Rmn" w:eastAsia="Times New Roman" w:hAnsi="Tms Rmn" w:cs="Times New Roman"/>
                <w:sz w:val="18"/>
                <w:szCs w:val="18"/>
                <w:lang w:eastAsia="it-IT"/>
              </w:rPr>
            </w:pPr>
            <w:r>
              <w:rPr>
                <w:rFonts w:ascii="Tms Rmn" w:eastAsia="Times New Roman" w:hAnsi="Tms Rmn" w:cs="Times New Roman"/>
                <w:sz w:val="18"/>
                <w:szCs w:val="18"/>
                <w:lang w:eastAsia="it-IT"/>
              </w:rPr>
              <w:t>7,0%</w:t>
            </w:r>
          </w:p>
        </w:tc>
        <w:tc>
          <w:tcPr>
            <w:tcW w:w="860" w:type="dxa"/>
            <w:tcBorders>
              <w:top w:val="nil"/>
              <w:left w:val="nil"/>
              <w:right w:val="nil"/>
            </w:tcBorders>
          </w:tcPr>
          <w:p w:rsidR="002B14DE" w:rsidRPr="00413D71" w:rsidRDefault="002B14DE" w:rsidP="002B14DE">
            <w:pPr>
              <w:spacing w:after="0" w:line="240" w:lineRule="auto"/>
              <w:jc w:val="right"/>
              <w:rPr>
                <w:rFonts w:ascii="Tms Rmn" w:eastAsia="Times New Roman" w:hAnsi="Tms Rmn" w:cs="Times New Roman"/>
                <w:sz w:val="18"/>
                <w:szCs w:val="18"/>
                <w:lang w:eastAsia="it-IT"/>
              </w:rPr>
            </w:pPr>
            <w:r>
              <w:rPr>
                <w:rFonts w:ascii="Tms Rmn" w:eastAsia="Times New Roman" w:hAnsi="Tms Rmn" w:cs="Times New Roman"/>
                <w:sz w:val="18"/>
                <w:szCs w:val="18"/>
                <w:lang w:eastAsia="it-IT"/>
              </w:rPr>
              <w:t>7,4%</w:t>
            </w:r>
          </w:p>
        </w:tc>
      </w:tr>
      <w:tr w:rsidR="002B14DE" w:rsidRPr="00413D71" w:rsidTr="002B14DE">
        <w:trPr>
          <w:trHeight w:val="240"/>
        </w:trPr>
        <w:tc>
          <w:tcPr>
            <w:tcW w:w="2694" w:type="dxa"/>
            <w:tcBorders>
              <w:top w:val="nil"/>
              <w:left w:val="nil"/>
              <w:bottom w:val="single" w:sz="4" w:space="0" w:color="auto"/>
              <w:right w:val="nil"/>
            </w:tcBorders>
            <w:shd w:val="clear" w:color="auto" w:fill="auto"/>
            <w:noWrap/>
            <w:vAlign w:val="bottom"/>
            <w:hideMark/>
          </w:tcPr>
          <w:p w:rsidR="002B14DE" w:rsidRPr="00413D71" w:rsidRDefault="002B14DE" w:rsidP="002B14DE">
            <w:pPr>
              <w:spacing w:after="0" w:line="240" w:lineRule="auto"/>
              <w:rPr>
                <w:rFonts w:ascii="Tms Rmn" w:eastAsia="Times New Roman" w:hAnsi="Tms Rmn" w:cs="Times New Roman"/>
                <w:sz w:val="18"/>
                <w:szCs w:val="18"/>
                <w:lang w:eastAsia="it-IT"/>
              </w:rPr>
            </w:pPr>
            <w:r w:rsidRPr="00413D71">
              <w:rPr>
                <w:rFonts w:ascii="Tms Rmn" w:eastAsia="Times New Roman" w:hAnsi="Tms Rmn" w:cs="Times New Roman"/>
                <w:sz w:val="18"/>
                <w:szCs w:val="18"/>
                <w:lang w:eastAsia="it-IT"/>
              </w:rPr>
              <w:t xml:space="preserve">Debiti </w:t>
            </w:r>
            <w:proofErr w:type="spellStart"/>
            <w:r w:rsidRPr="00413D71">
              <w:rPr>
                <w:rFonts w:ascii="Tms Rmn" w:eastAsia="Times New Roman" w:hAnsi="Tms Rmn" w:cs="Times New Roman"/>
                <w:sz w:val="18"/>
                <w:szCs w:val="18"/>
                <w:lang w:eastAsia="it-IT"/>
              </w:rPr>
              <w:t>finanz</w:t>
            </w:r>
            <w:proofErr w:type="spellEnd"/>
            <w:r w:rsidRPr="00413D71">
              <w:rPr>
                <w:rFonts w:ascii="Tms Rmn" w:eastAsia="Times New Roman" w:hAnsi="Tms Rmn" w:cs="Times New Roman"/>
                <w:sz w:val="18"/>
                <w:szCs w:val="18"/>
                <w:lang w:eastAsia="it-IT"/>
              </w:rPr>
              <w:t xml:space="preserve">. </w:t>
            </w:r>
            <w:proofErr w:type="gramStart"/>
            <w:r w:rsidRPr="00413D71">
              <w:rPr>
                <w:rFonts w:ascii="Tms Rmn" w:eastAsia="Times New Roman" w:hAnsi="Tms Rmn" w:cs="Times New Roman"/>
                <w:sz w:val="18"/>
                <w:szCs w:val="18"/>
                <w:lang w:eastAsia="it-IT"/>
              </w:rPr>
              <w:t>e</w:t>
            </w:r>
            <w:proofErr w:type="gramEnd"/>
            <w:r w:rsidRPr="00413D71">
              <w:rPr>
                <w:rFonts w:ascii="Tms Rmn" w:eastAsia="Times New Roman" w:hAnsi="Tms Rmn" w:cs="Times New Roman"/>
                <w:sz w:val="18"/>
                <w:szCs w:val="18"/>
                <w:lang w:eastAsia="it-IT"/>
              </w:rPr>
              <w:t xml:space="preserve"> altri/Pass.</w:t>
            </w:r>
          </w:p>
        </w:tc>
        <w:tc>
          <w:tcPr>
            <w:tcW w:w="226" w:type="dxa"/>
            <w:tcBorders>
              <w:top w:val="nil"/>
              <w:left w:val="nil"/>
              <w:bottom w:val="single" w:sz="4" w:space="0" w:color="auto"/>
              <w:right w:val="nil"/>
            </w:tcBorders>
            <w:shd w:val="clear" w:color="auto" w:fill="auto"/>
            <w:noWrap/>
            <w:vAlign w:val="bottom"/>
            <w:hideMark/>
          </w:tcPr>
          <w:p w:rsidR="002B14DE" w:rsidRPr="00413D71" w:rsidRDefault="002B14DE" w:rsidP="002B14DE">
            <w:pPr>
              <w:spacing w:after="0" w:line="240" w:lineRule="auto"/>
              <w:rPr>
                <w:rFonts w:ascii="Tms Rmn" w:eastAsia="Times New Roman" w:hAnsi="Tms Rmn" w:cs="Times New Roman"/>
                <w:sz w:val="18"/>
                <w:szCs w:val="18"/>
                <w:lang w:eastAsia="it-IT"/>
              </w:rPr>
            </w:pPr>
          </w:p>
        </w:tc>
        <w:tc>
          <w:tcPr>
            <w:tcW w:w="1180" w:type="dxa"/>
            <w:tcBorders>
              <w:top w:val="nil"/>
              <w:left w:val="nil"/>
              <w:bottom w:val="single" w:sz="4" w:space="0" w:color="auto"/>
              <w:right w:val="nil"/>
            </w:tcBorders>
            <w:shd w:val="clear" w:color="auto" w:fill="auto"/>
            <w:noWrap/>
            <w:vAlign w:val="bottom"/>
            <w:hideMark/>
          </w:tcPr>
          <w:p w:rsidR="002B14DE" w:rsidRPr="00413D71" w:rsidRDefault="002B14DE" w:rsidP="002B14DE">
            <w:pPr>
              <w:spacing w:after="0" w:line="240" w:lineRule="auto"/>
              <w:jc w:val="right"/>
              <w:rPr>
                <w:rFonts w:ascii="Tms Rmn" w:eastAsia="Times New Roman" w:hAnsi="Tms Rmn" w:cs="Times New Roman"/>
                <w:sz w:val="18"/>
                <w:szCs w:val="18"/>
                <w:lang w:eastAsia="it-IT"/>
              </w:rPr>
            </w:pPr>
            <w:r w:rsidRPr="00413D71">
              <w:rPr>
                <w:rFonts w:ascii="Tms Rmn" w:eastAsia="Times New Roman" w:hAnsi="Tms Rmn" w:cs="Times New Roman"/>
                <w:sz w:val="18"/>
                <w:szCs w:val="18"/>
                <w:lang w:eastAsia="it-IT"/>
              </w:rPr>
              <w:t>40,9%</w:t>
            </w:r>
          </w:p>
        </w:tc>
        <w:tc>
          <w:tcPr>
            <w:tcW w:w="780" w:type="dxa"/>
            <w:tcBorders>
              <w:top w:val="nil"/>
              <w:left w:val="nil"/>
              <w:bottom w:val="single" w:sz="4" w:space="0" w:color="auto"/>
              <w:right w:val="nil"/>
            </w:tcBorders>
            <w:shd w:val="clear" w:color="auto" w:fill="auto"/>
            <w:noWrap/>
            <w:vAlign w:val="bottom"/>
            <w:hideMark/>
          </w:tcPr>
          <w:p w:rsidR="002B14DE" w:rsidRPr="00413D71" w:rsidRDefault="002B14DE" w:rsidP="002B14DE">
            <w:pPr>
              <w:spacing w:after="0" w:line="240" w:lineRule="auto"/>
              <w:jc w:val="right"/>
              <w:rPr>
                <w:rFonts w:ascii="Tms Rmn" w:eastAsia="Times New Roman" w:hAnsi="Tms Rmn" w:cs="Times New Roman"/>
                <w:sz w:val="18"/>
                <w:szCs w:val="18"/>
                <w:lang w:eastAsia="it-IT"/>
              </w:rPr>
            </w:pPr>
            <w:r w:rsidRPr="00413D71">
              <w:rPr>
                <w:rFonts w:ascii="Tms Rmn" w:eastAsia="Times New Roman" w:hAnsi="Tms Rmn" w:cs="Times New Roman"/>
                <w:sz w:val="18"/>
                <w:szCs w:val="18"/>
                <w:lang w:eastAsia="it-IT"/>
              </w:rPr>
              <w:t>40,9%</w:t>
            </w:r>
          </w:p>
        </w:tc>
        <w:tc>
          <w:tcPr>
            <w:tcW w:w="860" w:type="dxa"/>
            <w:tcBorders>
              <w:top w:val="nil"/>
              <w:left w:val="nil"/>
              <w:bottom w:val="single" w:sz="4" w:space="0" w:color="auto"/>
              <w:right w:val="nil"/>
            </w:tcBorders>
            <w:shd w:val="clear" w:color="auto" w:fill="auto"/>
            <w:noWrap/>
            <w:vAlign w:val="bottom"/>
            <w:hideMark/>
          </w:tcPr>
          <w:p w:rsidR="002B14DE" w:rsidRPr="00413D71" w:rsidRDefault="002B14DE" w:rsidP="002B14DE">
            <w:pPr>
              <w:spacing w:after="0" w:line="240" w:lineRule="auto"/>
              <w:jc w:val="right"/>
              <w:rPr>
                <w:rFonts w:ascii="Tms Rmn" w:eastAsia="Times New Roman" w:hAnsi="Tms Rmn" w:cs="Times New Roman"/>
                <w:sz w:val="18"/>
                <w:szCs w:val="18"/>
                <w:lang w:eastAsia="it-IT"/>
              </w:rPr>
            </w:pPr>
            <w:r w:rsidRPr="00413D71">
              <w:rPr>
                <w:rFonts w:ascii="Tms Rmn" w:eastAsia="Times New Roman" w:hAnsi="Tms Rmn" w:cs="Times New Roman"/>
                <w:sz w:val="18"/>
                <w:szCs w:val="18"/>
                <w:lang w:eastAsia="it-IT"/>
              </w:rPr>
              <w:t>41,9%</w:t>
            </w:r>
          </w:p>
        </w:tc>
        <w:tc>
          <w:tcPr>
            <w:tcW w:w="860" w:type="dxa"/>
            <w:tcBorders>
              <w:top w:val="nil"/>
              <w:left w:val="nil"/>
              <w:bottom w:val="single" w:sz="4" w:space="0" w:color="auto"/>
              <w:right w:val="nil"/>
            </w:tcBorders>
          </w:tcPr>
          <w:p w:rsidR="002B14DE" w:rsidRPr="00413D71" w:rsidRDefault="002B14DE" w:rsidP="002B14DE">
            <w:pPr>
              <w:spacing w:after="0" w:line="240" w:lineRule="auto"/>
              <w:jc w:val="right"/>
              <w:rPr>
                <w:rFonts w:ascii="Tms Rmn" w:eastAsia="Times New Roman" w:hAnsi="Tms Rmn" w:cs="Times New Roman"/>
                <w:sz w:val="18"/>
                <w:szCs w:val="18"/>
                <w:lang w:eastAsia="it-IT"/>
              </w:rPr>
            </w:pPr>
            <w:r>
              <w:rPr>
                <w:rFonts w:ascii="Tms Rmn" w:eastAsia="Times New Roman" w:hAnsi="Tms Rmn" w:cs="Times New Roman"/>
                <w:sz w:val="18"/>
                <w:szCs w:val="18"/>
                <w:lang w:eastAsia="it-IT"/>
              </w:rPr>
              <w:t>37,6%</w:t>
            </w:r>
          </w:p>
        </w:tc>
        <w:tc>
          <w:tcPr>
            <w:tcW w:w="860" w:type="dxa"/>
            <w:tcBorders>
              <w:top w:val="nil"/>
              <w:left w:val="nil"/>
              <w:bottom w:val="single" w:sz="4" w:space="0" w:color="auto"/>
              <w:right w:val="nil"/>
            </w:tcBorders>
          </w:tcPr>
          <w:p w:rsidR="002B14DE" w:rsidRPr="00413D71" w:rsidRDefault="002B14DE" w:rsidP="002B14DE">
            <w:pPr>
              <w:spacing w:after="0" w:line="240" w:lineRule="auto"/>
              <w:jc w:val="right"/>
              <w:rPr>
                <w:rFonts w:ascii="Tms Rmn" w:eastAsia="Times New Roman" w:hAnsi="Tms Rmn" w:cs="Times New Roman"/>
                <w:sz w:val="18"/>
                <w:szCs w:val="18"/>
                <w:lang w:eastAsia="it-IT"/>
              </w:rPr>
            </w:pPr>
            <w:r>
              <w:rPr>
                <w:rFonts w:ascii="Tms Rmn" w:eastAsia="Times New Roman" w:hAnsi="Tms Rmn" w:cs="Times New Roman"/>
                <w:sz w:val="18"/>
                <w:szCs w:val="18"/>
                <w:lang w:eastAsia="it-IT"/>
              </w:rPr>
              <w:t>36,6%</w:t>
            </w:r>
          </w:p>
        </w:tc>
      </w:tr>
    </w:tbl>
    <w:p w:rsidR="002B14DE" w:rsidRDefault="002B14DE" w:rsidP="002B14DE">
      <w:pPr>
        <w:jc w:val="both"/>
      </w:pPr>
      <w:r>
        <w:t xml:space="preserve"> </w:t>
      </w:r>
    </w:p>
    <w:p w:rsidR="002B14DE" w:rsidRDefault="002B14DE" w:rsidP="002B14DE">
      <w:pPr>
        <w:jc w:val="both"/>
      </w:pPr>
      <w:r>
        <w:t xml:space="preserve">Due specifici indici possono essere utilizzati per controllare la situazione di equilibrio finanziario di una singola impresa: il margine di struttura e il margine di tesoreria. Il primo indica l’eccedenza delle passività consolidate sulle attività a lungo termine; in altri termini ci dice, se è positivo, la sostenibilità finanziaria delle risorse immobilizzate per lunghi periodi (immobilizzazioni materiali, immateriali, finanziarie), a cui devono corrispondere passività che presumibilmente non verranno ritirate nel breve periodo (dunque il patrimonio proprio dell’azienda, i prestiti a lungo termine, i fondi); la prosecuzione dell’attività d’impresa non verrà disturbata dalla ristrettezza dei capitali di cui si può disporre nel medio periodo, dunque è importante che questi siano eccedenti le attività a lungo termine. Il margine di struttura dell’aggregato delle imprese orafe è, negli anni in questione, superiore almeno a 6, grazie soprattutto ad un ingente capitale proprio, e tende a crescere. Il margine di tesoreria indica di quanto le attività a breve (liquidità, crediti commerciali, etc.) eccedono le passività correnti (i debiti con scadenza inferiore a un anno, siano essi commerciali, finanziari o altro; nel caso aretino, si tratta di un margine di sicurezza non altissimo (intorno al 10-15%, con andamento </w:t>
      </w:r>
      <w:proofErr w:type="spellStart"/>
      <w:r>
        <w:t>prociclico</w:t>
      </w:r>
      <w:proofErr w:type="spellEnd"/>
      <w:r>
        <w:t>), ma, sembra, sufficiente (la logica dell’indice è che in caso di crisi di liquidità, quello che presumibilmente può entrare in tempi brevi -un anno- è sufficiente a rimborsare quanto è dovuto a terzi). Il settore orafo aretino non sembra dunque correre rischi dal punto di vista finanziario (anche se in questi casi il dato cruciale è quello dell’effettiva liquidità delle grandezze considerate, ad es. i crediti).</w:t>
      </w:r>
    </w:p>
    <w:p w:rsidR="002B14DE" w:rsidRDefault="002B14DE" w:rsidP="002B14DE">
      <w:pPr>
        <w:jc w:val="both"/>
      </w:pPr>
    </w:p>
    <w:p w:rsidR="002B14DE" w:rsidRDefault="002B14DE" w:rsidP="002B14DE">
      <w:r>
        <w:t xml:space="preserve"> </w:t>
      </w:r>
    </w:p>
    <w:tbl>
      <w:tblPr>
        <w:tblW w:w="7460" w:type="dxa"/>
        <w:tblCellMar>
          <w:left w:w="70" w:type="dxa"/>
          <w:right w:w="70" w:type="dxa"/>
        </w:tblCellMar>
        <w:tblLook w:val="04A0" w:firstRow="1" w:lastRow="0" w:firstColumn="1" w:lastColumn="0" w:noHBand="0" w:noVBand="1"/>
      </w:tblPr>
      <w:tblGrid>
        <w:gridCol w:w="2694"/>
        <w:gridCol w:w="226"/>
        <w:gridCol w:w="1180"/>
        <w:gridCol w:w="780"/>
        <w:gridCol w:w="860"/>
        <w:gridCol w:w="860"/>
        <w:gridCol w:w="860"/>
      </w:tblGrid>
      <w:tr w:rsidR="002B14DE" w:rsidRPr="00696CE0" w:rsidTr="002B14DE">
        <w:trPr>
          <w:trHeight w:val="240"/>
        </w:trPr>
        <w:tc>
          <w:tcPr>
            <w:tcW w:w="2694" w:type="dxa"/>
            <w:tcBorders>
              <w:top w:val="nil"/>
              <w:left w:val="nil"/>
              <w:bottom w:val="nil"/>
              <w:right w:val="nil"/>
            </w:tcBorders>
            <w:shd w:val="clear" w:color="auto" w:fill="auto"/>
            <w:noWrap/>
            <w:vAlign w:val="bottom"/>
          </w:tcPr>
          <w:p w:rsidR="002B14DE" w:rsidRPr="00696CE0" w:rsidRDefault="002B14DE" w:rsidP="002B14DE">
            <w:pPr>
              <w:spacing w:after="0" w:line="240" w:lineRule="auto"/>
              <w:rPr>
                <w:rFonts w:ascii="Tms Rmn" w:eastAsia="Times New Roman" w:hAnsi="Tms Rmn" w:cs="Times New Roman"/>
                <w:sz w:val="18"/>
                <w:szCs w:val="18"/>
                <w:lang w:eastAsia="it-IT"/>
              </w:rPr>
            </w:pPr>
          </w:p>
        </w:tc>
        <w:tc>
          <w:tcPr>
            <w:tcW w:w="226" w:type="dxa"/>
            <w:tcBorders>
              <w:top w:val="nil"/>
              <w:left w:val="nil"/>
              <w:bottom w:val="nil"/>
              <w:right w:val="nil"/>
            </w:tcBorders>
            <w:shd w:val="clear" w:color="auto" w:fill="auto"/>
            <w:noWrap/>
            <w:vAlign w:val="bottom"/>
          </w:tcPr>
          <w:p w:rsidR="002B14DE" w:rsidRPr="00696CE0" w:rsidRDefault="002B14DE" w:rsidP="002B14DE">
            <w:pPr>
              <w:spacing w:after="0" w:line="240" w:lineRule="auto"/>
              <w:rPr>
                <w:rFonts w:ascii="Tms Rmn" w:eastAsia="Times New Roman" w:hAnsi="Tms Rmn" w:cs="Times New Roman"/>
                <w:sz w:val="18"/>
                <w:szCs w:val="18"/>
                <w:lang w:eastAsia="it-IT"/>
              </w:rPr>
            </w:pPr>
          </w:p>
        </w:tc>
        <w:tc>
          <w:tcPr>
            <w:tcW w:w="1180" w:type="dxa"/>
            <w:tcBorders>
              <w:top w:val="nil"/>
              <w:left w:val="nil"/>
              <w:bottom w:val="nil"/>
              <w:right w:val="nil"/>
            </w:tcBorders>
            <w:shd w:val="clear" w:color="auto" w:fill="auto"/>
            <w:noWrap/>
            <w:vAlign w:val="bottom"/>
          </w:tcPr>
          <w:p w:rsidR="002B14DE" w:rsidRPr="00696CE0" w:rsidRDefault="002B14DE" w:rsidP="002B14DE">
            <w:pPr>
              <w:spacing w:after="0" w:line="240" w:lineRule="auto"/>
              <w:jc w:val="right"/>
              <w:rPr>
                <w:rFonts w:ascii="Tms Rmn" w:eastAsia="Times New Roman" w:hAnsi="Tms Rmn" w:cs="Times New Roman"/>
                <w:sz w:val="18"/>
                <w:szCs w:val="18"/>
                <w:lang w:eastAsia="it-IT"/>
              </w:rPr>
            </w:pPr>
            <w:r>
              <w:rPr>
                <w:rFonts w:ascii="Tms Rmn" w:eastAsia="Times New Roman" w:hAnsi="Tms Rmn" w:cs="Times New Roman"/>
                <w:sz w:val="18"/>
                <w:szCs w:val="18"/>
                <w:lang w:eastAsia="it-IT"/>
              </w:rPr>
              <w:t>2012</w:t>
            </w:r>
          </w:p>
        </w:tc>
        <w:tc>
          <w:tcPr>
            <w:tcW w:w="780" w:type="dxa"/>
            <w:tcBorders>
              <w:top w:val="nil"/>
              <w:left w:val="nil"/>
              <w:bottom w:val="nil"/>
              <w:right w:val="nil"/>
            </w:tcBorders>
            <w:shd w:val="clear" w:color="auto" w:fill="auto"/>
            <w:noWrap/>
            <w:vAlign w:val="bottom"/>
          </w:tcPr>
          <w:p w:rsidR="002B14DE" w:rsidRPr="00696CE0" w:rsidRDefault="002B14DE" w:rsidP="002B14DE">
            <w:pPr>
              <w:spacing w:after="0" w:line="240" w:lineRule="auto"/>
              <w:jc w:val="right"/>
              <w:rPr>
                <w:rFonts w:ascii="Tms Rmn" w:eastAsia="Times New Roman" w:hAnsi="Tms Rmn" w:cs="Times New Roman"/>
                <w:sz w:val="18"/>
                <w:szCs w:val="18"/>
                <w:lang w:eastAsia="it-IT"/>
              </w:rPr>
            </w:pPr>
            <w:r>
              <w:rPr>
                <w:rFonts w:ascii="Tms Rmn" w:eastAsia="Times New Roman" w:hAnsi="Tms Rmn" w:cs="Times New Roman"/>
                <w:sz w:val="18"/>
                <w:szCs w:val="18"/>
                <w:lang w:eastAsia="it-IT"/>
              </w:rPr>
              <w:t>2013</w:t>
            </w:r>
          </w:p>
        </w:tc>
        <w:tc>
          <w:tcPr>
            <w:tcW w:w="860" w:type="dxa"/>
            <w:tcBorders>
              <w:top w:val="nil"/>
              <w:left w:val="nil"/>
              <w:bottom w:val="nil"/>
              <w:right w:val="nil"/>
            </w:tcBorders>
            <w:shd w:val="clear" w:color="auto" w:fill="auto"/>
            <w:noWrap/>
            <w:vAlign w:val="bottom"/>
          </w:tcPr>
          <w:p w:rsidR="002B14DE" w:rsidRPr="00696CE0" w:rsidRDefault="002B14DE" w:rsidP="002B14DE">
            <w:pPr>
              <w:spacing w:after="0" w:line="240" w:lineRule="auto"/>
              <w:jc w:val="right"/>
              <w:rPr>
                <w:rFonts w:ascii="Tms Rmn" w:eastAsia="Times New Roman" w:hAnsi="Tms Rmn" w:cs="Times New Roman"/>
                <w:sz w:val="18"/>
                <w:szCs w:val="18"/>
                <w:lang w:eastAsia="it-IT"/>
              </w:rPr>
            </w:pPr>
            <w:r>
              <w:rPr>
                <w:rFonts w:ascii="Tms Rmn" w:eastAsia="Times New Roman" w:hAnsi="Tms Rmn" w:cs="Times New Roman"/>
                <w:sz w:val="18"/>
                <w:szCs w:val="18"/>
                <w:lang w:eastAsia="it-IT"/>
              </w:rPr>
              <w:t>2014</w:t>
            </w:r>
          </w:p>
        </w:tc>
        <w:tc>
          <w:tcPr>
            <w:tcW w:w="860" w:type="dxa"/>
            <w:tcBorders>
              <w:top w:val="nil"/>
              <w:left w:val="nil"/>
              <w:bottom w:val="nil"/>
              <w:right w:val="nil"/>
            </w:tcBorders>
          </w:tcPr>
          <w:p w:rsidR="002B14DE" w:rsidRPr="00696CE0" w:rsidRDefault="002B14DE" w:rsidP="002B14DE">
            <w:pPr>
              <w:spacing w:after="0" w:line="240" w:lineRule="auto"/>
              <w:jc w:val="right"/>
              <w:rPr>
                <w:rFonts w:ascii="Tms Rmn" w:eastAsia="Times New Roman" w:hAnsi="Tms Rmn" w:cs="Times New Roman"/>
                <w:sz w:val="18"/>
                <w:szCs w:val="18"/>
                <w:lang w:eastAsia="it-IT"/>
              </w:rPr>
            </w:pPr>
            <w:r>
              <w:rPr>
                <w:rFonts w:ascii="Tms Rmn" w:eastAsia="Times New Roman" w:hAnsi="Tms Rmn" w:cs="Times New Roman"/>
                <w:sz w:val="18"/>
                <w:szCs w:val="18"/>
                <w:lang w:eastAsia="it-IT"/>
              </w:rPr>
              <w:t>2015</w:t>
            </w:r>
          </w:p>
        </w:tc>
        <w:tc>
          <w:tcPr>
            <w:tcW w:w="860" w:type="dxa"/>
            <w:tcBorders>
              <w:top w:val="nil"/>
              <w:left w:val="nil"/>
              <w:bottom w:val="nil"/>
              <w:right w:val="nil"/>
            </w:tcBorders>
          </w:tcPr>
          <w:p w:rsidR="002B14DE" w:rsidRPr="00696CE0" w:rsidRDefault="002B14DE" w:rsidP="002B14DE">
            <w:pPr>
              <w:spacing w:after="0" w:line="240" w:lineRule="auto"/>
              <w:jc w:val="right"/>
              <w:rPr>
                <w:rFonts w:ascii="Tms Rmn" w:eastAsia="Times New Roman" w:hAnsi="Tms Rmn" w:cs="Times New Roman"/>
                <w:sz w:val="18"/>
                <w:szCs w:val="18"/>
                <w:lang w:eastAsia="it-IT"/>
              </w:rPr>
            </w:pPr>
            <w:r>
              <w:rPr>
                <w:rFonts w:ascii="Tms Rmn" w:eastAsia="Times New Roman" w:hAnsi="Tms Rmn" w:cs="Times New Roman"/>
                <w:sz w:val="18"/>
                <w:szCs w:val="18"/>
                <w:lang w:eastAsia="it-IT"/>
              </w:rPr>
              <w:t>2016</w:t>
            </w:r>
          </w:p>
        </w:tc>
      </w:tr>
      <w:tr w:rsidR="002B14DE" w:rsidRPr="00696CE0" w:rsidTr="002B14DE">
        <w:trPr>
          <w:trHeight w:val="240"/>
        </w:trPr>
        <w:tc>
          <w:tcPr>
            <w:tcW w:w="2694" w:type="dxa"/>
            <w:tcBorders>
              <w:top w:val="nil"/>
              <w:left w:val="nil"/>
              <w:bottom w:val="nil"/>
              <w:right w:val="nil"/>
            </w:tcBorders>
            <w:shd w:val="clear" w:color="auto" w:fill="auto"/>
            <w:noWrap/>
            <w:vAlign w:val="bottom"/>
            <w:hideMark/>
          </w:tcPr>
          <w:p w:rsidR="002B14DE" w:rsidRPr="00696CE0" w:rsidRDefault="002B14DE" w:rsidP="002B14DE">
            <w:pPr>
              <w:spacing w:after="0" w:line="240" w:lineRule="auto"/>
              <w:rPr>
                <w:rFonts w:ascii="Tms Rmn" w:eastAsia="Times New Roman" w:hAnsi="Tms Rmn" w:cs="Times New Roman"/>
                <w:sz w:val="18"/>
                <w:szCs w:val="18"/>
                <w:lang w:eastAsia="it-IT"/>
              </w:rPr>
            </w:pPr>
            <w:r w:rsidRPr="00696CE0">
              <w:rPr>
                <w:rFonts w:ascii="Tms Rmn" w:eastAsia="Times New Roman" w:hAnsi="Tms Rmn" w:cs="Times New Roman"/>
                <w:sz w:val="18"/>
                <w:szCs w:val="18"/>
                <w:lang w:eastAsia="it-IT"/>
              </w:rPr>
              <w:t>Margine di struttura %</w:t>
            </w:r>
          </w:p>
        </w:tc>
        <w:tc>
          <w:tcPr>
            <w:tcW w:w="226" w:type="dxa"/>
            <w:tcBorders>
              <w:top w:val="nil"/>
              <w:left w:val="nil"/>
              <w:bottom w:val="nil"/>
              <w:right w:val="nil"/>
            </w:tcBorders>
            <w:shd w:val="clear" w:color="auto" w:fill="auto"/>
            <w:noWrap/>
            <w:vAlign w:val="bottom"/>
            <w:hideMark/>
          </w:tcPr>
          <w:p w:rsidR="002B14DE" w:rsidRPr="00696CE0" w:rsidRDefault="002B14DE" w:rsidP="002B14DE">
            <w:pPr>
              <w:spacing w:after="0" w:line="240" w:lineRule="auto"/>
              <w:rPr>
                <w:rFonts w:ascii="Tms Rmn" w:eastAsia="Times New Roman" w:hAnsi="Tms Rmn" w:cs="Times New Roman"/>
                <w:sz w:val="18"/>
                <w:szCs w:val="18"/>
                <w:lang w:eastAsia="it-IT"/>
              </w:rPr>
            </w:pPr>
          </w:p>
        </w:tc>
        <w:tc>
          <w:tcPr>
            <w:tcW w:w="1180" w:type="dxa"/>
            <w:tcBorders>
              <w:top w:val="nil"/>
              <w:left w:val="nil"/>
              <w:bottom w:val="nil"/>
              <w:right w:val="nil"/>
            </w:tcBorders>
            <w:shd w:val="clear" w:color="auto" w:fill="auto"/>
            <w:noWrap/>
            <w:vAlign w:val="bottom"/>
            <w:hideMark/>
          </w:tcPr>
          <w:p w:rsidR="002B14DE" w:rsidRPr="00696CE0" w:rsidRDefault="002B14DE" w:rsidP="002B14DE">
            <w:pPr>
              <w:spacing w:after="0" w:line="240" w:lineRule="auto"/>
              <w:jc w:val="right"/>
              <w:rPr>
                <w:rFonts w:ascii="Tms Rmn" w:eastAsia="Times New Roman" w:hAnsi="Tms Rmn" w:cs="Times New Roman"/>
                <w:sz w:val="18"/>
                <w:szCs w:val="18"/>
                <w:lang w:eastAsia="it-IT"/>
              </w:rPr>
            </w:pPr>
            <w:r w:rsidRPr="00696CE0">
              <w:rPr>
                <w:rFonts w:ascii="Tms Rmn" w:eastAsia="Times New Roman" w:hAnsi="Tms Rmn" w:cs="Times New Roman"/>
                <w:sz w:val="18"/>
                <w:szCs w:val="18"/>
                <w:lang w:eastAsia="it-IT"/>
              </w:rPr>
              <w:t>6,03</w:t>
            </w:r>
          </w:p>
        </w:tc>
        <w:tc>
          <w:tcPr>
            <w:tcW w:w="780" w:type="dxa"/>
            <w:tcBorders>
              <w:top w:val="nil"/>
              <w:left w:val="nil"/>
              <w:bottom w:val="nil"/>
              <w:right w:val="nil"/>
            </w:tcBorders>
            <w:shd w:val="clear" w:color="auto" w:fill="auto"/>
            <w:noWrap/>
            <w:vAlign w:val="bottom"/>
            <w:hideMark/>
          </w:tcPr>
          <w:p w:rsidR="002B14DE" w:rsidRPr="00696CE0" w:rsidRDefault="002B14DE" w:rsidP="002B14DE">
            <w:pPr>
              <w:spacing w:after="0" w:line="240" w:lineRule="auto"/>
              <w:jc w:val="right"/>
              <w:rPr>
                <w:rFonts w:ascii="Tms Rmn" w:eastAsia="Times New Roman" w:hAnsi="Tms Rmn" w:cs="Times New Roman"/>
                <w:sz w:val="18"/>
                <w:szCs w:val="18"/>
                <w:lang w:eastAsia="it-IT"/>
              </w:rPr>
            </w:pPr>
            <w:r w:rsidRPr="00696CE0">
              <w:rPr>
                <w:rFonts w:ascii="Tms Rmn" w:eastAsia="Times New Roman" w:hAnsi="Tms Rmn" w:cs="Times New Roman"/>
                <w:sz w:val="18"/>
                <w:szCs w:val="18"/>
                <w:lang w:eastAsia="it-IT"/>
              </w:rPr>
              <w:t>6,52</w:t>
            </w:r>
          </w:p>
        </w:tc>
        <w:tc>
          <w:tcPr>
            <w:tcW w:w="860" w:type="dxa"/>
            <w:tcBorders>
              <w:top w:val="nil"/>
              <w:left w:val="nil"/>
              <w:bottom w:val="nil"/>
              <w:right w:val="nil"/>
            </w:tcBorders>
            <w:shd w:val="clear" w:color="auto" w:fill="auto"/>
            <w:noWrap/>
            <w:vAlign w:val="bottom"/>
            <w:hideMark/>
          </w:tcPr>
          <w:p w:rsidR="002B14DE" w:rsidRPr="00696CE0" w:rsidRDefault="002B14DE" w:rsidP="002B14DE">
            <w:pPr>
              <w:spacing w:after="0" w:line="240" w:lineRule="auto"/>
              <w:jc w:val="right"/>
              <w:rPr>
                <w:rFonts w:ascii="Tms Rmn" w:eastAsia="Times New Roman" w:hAnsi="Tms Rmn" w:cs="Times New Roman"/>
                <w:sz w:val="18"/>
                <w:szCs w:val="18"/>
                <w:lang w:eastAsia="it-IT"/>
              </w:rPr>
            </w:pPr>
            <w:r w:rsidRPr="00696CE0">
              <w:rPr>
                <w:rFonts w:ascii="Tms Rmn" w:eastAsia="Times New Roman" w:hAnsi="Tms Rmn" w:cs="Times New Roman"/>
                <w:sz w:val="18"/>
                <w:szCs w:val="18"/>
                <w:lang w:eastAsia="it-IT"/>
              </w:rPr>
              <w:t>6,43</w:t>
            </w:r>
          </w:p>
        </w:tc>
        <w:tc>
          <w:tcPr>
            <w:tcW w:w="860" w:type="dxa"/>
            <w:tcBorders>
              <w:top w:val="nil"/>
              <w:left w:val="nil"/>
              <w:bottom w:val="nil"/>
              <w:right w:val="nil"/>
            </w:tcBorders>
          </w:tcPr>
          <w:p w:rsidR="002B14DE" w:rsidRPr="00696CE0" w:rsidRDefault="002B14DE" w:rsidP="002B14DE">
            <w:pPr>
              <w:spacing w:after="0" w:line="240" w:lineRule="auto"/>
              <w:jc w:val="right"/>
              <w:rPr>
                <w:rFonts w:ascii="Tms Rmn" w:eastAsia="Times New Roman" w:hAnsi="Tms Rmn" w:cs="Times New Roman"/>
                <w:sz w:val="18"/>
                <w:szCs w:val="18"/>
                <w:lang w:eastAsia="it-IT"/>
              </w:rPr>
            </w:pPr>
            <w:r>
              <w:rPr>
                <w:rFonts w:ascii="Tms Rmn" w:eastAsia="Times New Roman" w:hAnsi="Tms Rmn" w:cs="Times New Roman"/>
                <w:sz w:val="18"/>
                <w:szCs w:val="18"/>
                <w:lang w:eastAsia="it-IT"/>
              </w:rPr>
              <w:t>8,96</w:t>
            </w:r>
          </w:p>
        </w:tc>
        <w:tc>
          <w:tcPr>
            <w:tcW w:w="860" w:type="dxa"/>
            <w:tcBorders>
              <w:top w:val="nil"/>
              <w:left w:val="nil"/>
              <w:bottom w:val="nil"/>
              <w:right w:val="nil"/>
            </w:tcBorders>
          </w:tcPr>
          <w:p w:rsidR="002B14DE" w:rsidRPr="00696CE0" w:rsidRDefault="002B14DE" w:rsidP="002B14DE">
            <w:pPr>
              <w:spacing w:after="0" w:line="240" w:lineRule="auto"/>
              <w:jc w:val="right"/>
              <w:rPr>
                <w:rFonts w:ascii="Tms Rmn" w:eastAsia="Times New Roman" w:hAnsi="Tms Rmn" w:cs="Times New Roman"/>
                <w:sz w:val="18"/>
                <w:szCs w:val="18"/>
                <w:lang w:eastAsia="it-IT"/>
              </w:rPr>
            </w:pPr>
            <w:r>
              <w:rPr>
                <w:rFonts w:ascii="Tms Rmn" w:eastAsia="Times New Roman" w:hAnsi="Tms Rmn" w:cs="Times New Roman"/>
                <w:sz w:val="18"/>
                <w:szCs w:val="18"/>
                <w:lang w:eastAsia="it-IT"/>
              </w:rPr>
              <w:t>9,91</w:t>
            </w:r>
          </w:p>
        </w:tc>
      </w:tr>
      <w:tr w:rsidR="002B14DE" w:rsidRPr="00696CE0" w:rsidTr="002B14DE">
        <w:trPr>
          <w:trHeight w:val="240"/>
        </w:trPr>
        <w:tc>
          <w:tcPr>
            <w:tcW w:w="2694" w:type="dxa"/>
            <w:tcBorders>
              <w:top w:val="nil"/>
              <w:left w:val="nil"/>
              <w:bottom w:val="nil"/>
              <w:right w:val="nil"/>
            </w:tcBorders>
            <w:shd w:val="clear" w:color="auto" w:fill="auto"/>
            <w:noWrap/>
            <w:vAlign w:val="bottom"/>
            <w:hideMark/>
          </w:tcPr>
          <w:p w:rsidR="002B14DE" w:rsidRPr="00696CE0" w:rsidRDefault="002B14DE" w:rsidP="002B14DE">
            <w:pPr>
              <w:spacing w:after="0" w:line="240" w:lineRule="auto"/>
              <w:rPr>
                <w:rFonts w:ascii="Tms Rmn" w:eastAsia="Times New Roman" w:hAnsi="Tms Rmn" w:cs="Times New Roman"/>
                <w:sz w:val="18"/>
                <w:szCs w:val="18"/>
                <w:lang w:eastAsia="it-IT"/>
              </w:rPr>
            </w:pPr>
            <w:r w:rsidRPr="00696CE0">
              <w:rPr>
                <w:rFonts w:ascii="Tms Rmn" w:eastAsia="Times New Roman" w:hAnsi="Tms Rmn" w:cs="Times New Roman"/>
                <w:sz w:val="18"/>
                <w:szCs w:val="18"/>
                <w:lang w:eastAsia="it-IT"/>
              </w:rPr>
              <w:t>Margine di tesoreria %</w:t>
            </w:r>
          </w:p>
        </w:tc>
        <w:tc>
          <w:tcPr>
            <w:tcW w:w="226" w:type="dxa"/>
            <w:tcBorders>
              <w:top w:val="nil"/>
              <w:left w:val="nil"/>
              <w:bottom w:val="nil"/>
              <w:right w:val="nil"/>
            </w:tcBorders>
            <w:shd w:val="clear" w:color="auto" w:fill="auto"/>
            <w:noWrap/>
            <w:vAlign w:val="bottom"/>
            <w:hideMark/>
          </w:tcPr>
          <w:p w:rsidR="002B14DE" w:rsidRPr="00696CE0" w:rsidRDefault="002B14DE" w:rsidP="002B14DE">
            <w:pPr>
              <w:spacing w:after="0" w:line="240" w:lineRule="auto"/>
              <w:rPr>
                <w:rFonts w:ascii="Tms Rmn" w:eastAsia="Times New Roman" w:hAnsi="Tms Rmn" w:cs="Times New Roman"/>
                <w:sz w:val="18"/>
                <w:szCs w:val="18"/>
                <w:lang w:eastAsia="it-IT"/>
              </w:rPr>
            </w:pPr>
          </w:p>
        </w:tc>
        <w:tc>
          <w:tcPr>
            <w:tcW w:w="1180" w:type="dxa"/>
            <w:tcBorders>
              <w:top w:val="nil"/>
              <w:left w:val="nil"/>
              <w:bottom w:val="nil"/>
              <w:right w:val="nil"/>
            </w:tcBorders>
            <w:shd w:val="clear" w:color="auto" w:fill="auto"/>
            <w:noWrap/>
            <w:vAlign w:val="bottom"/>
            <w:hideMark/>
          </w:tcPr>
          <w:p w:rsidR="002B14DE" w:rsidRPr="00696CE0" w:rsidRDefault="002B14DE" w:rsidP="002B14DE">
            <w:pPr>
              <w:spacing w:after="0" w:line="240" w:lineRule="auto"/>
              <w:jc w:val="right"/>
              <w:rPr>
                <w:rFonts w:ascii="Tms Rmn" w:eastAsia="Times New Roman" w:hAnsi="Tms Rmn" w:cs="Times New Roman"/>
                <w:sz w:val="18"/>
                <w:szCs w:val="18"/>
                <w:lang w:eastAsia="it-IT"/>
              </w:rPr>
            </w:pPr>
            <w:r w:rsidRPr="00696CE0">
              <w:rPr>
                <w:rFonts w:ascii="Tms Rmn" w:eastAsia="Times New Roman" w:hAnsi="Tms Rmn" w:cs="Times New Roman"/>
                <w:sz w:val="18"/>
                <w:szCs w:val="18"/>
                <w:lang w:eastAsia="it-IT"/>
              </w:rPr>
              <w:t>108,4%</w:t>
            </w:r>
          </w:p>
        </w:tc>
        <w:tc>
          <w:tcPr>
            <w:tcW w:w="780" w:type="dxa"/>
            <w:tcBorders>
              <w:top w:val="nil"/>
              <w:left w:val="nil"/>
              <w:bottom w:val="nil"/>
              <w:right w:val="nil"/>
            </w:tcBorders>
            <w:shd w:val="clear" w:color="auto" w:fill="auto"/>
            <w:noWrap/>
            <w:vAlign w:val="bottom"/>
            <w:hideMark/>
          </w:tcPr>
          <w:p w:rsidR="002B14DE" w:rsidRPr="00696CE0" w:rsidRDefault="002B14DE" w:rsidP="002B14DE">
            <w:pPr>
              <w:spacing w:after="0" w:line="240" w:lineRule="auto"/>
              <w:jc w:val="right"/>
              <w:rPr>
                <w:rFonts w:ascii="Tms Rmn" w:eastAsia="Times New Roman" w:hAnsi="Tms Rmn" w:cs="Times New Roman"/>
                <w:sz w:val="18"/>
                <w:szCs w:val="18"/>
                <w:lang w:eastAsia="it-IT"/>
              </w:rPr>
            </w:pPr>
            <w:r w:rsidRPr="00696CE0">
              <w:rPr>
                <w:rFonts w:ascii="Tms Rmn" w:eastAsia="Times New Roman" w:hAnsi="Tms Rmn" w:cs="Times New Roman"/>
                <w:sz w:val="18"/>
                <w:szCs w:val="18"/>
                <w:lang w:eastAsia="it-IT"/>
              </w:rPr>
              <w:t>116,9%</w:t>
            </w:r>
          </w:p>
        </w:tc>
        <w:tc>
          <w:tcPr>
            <w:tcW w:w="860" w:type="dxa"/>
            <w:tcBorders>
              <w:top w:val="nil"/>
              <w:left w:val="nil"/>
              <w:bottom w:val="nil"/>
              <w:right w:val="nil"/>
            </w:tcBorders>
            <w:shd w:val="clear" w:color="auto" w:fill="auto"/>
            <w:noWrap/>
            <w:vAlign w:val="bottom"/>
            <w:hideMark/>
          </w:tcPr>
          <w:p w:rsidR="002B14DE" w:rsidRPr="00696CE0" w:rsidRDefault="002B14DE" w:rsidP="002B14DE">
            <w:pPr>
              <w:spacing w:after="0" w:line="240" w:lineRule="auto"/>
              <w:jc w:val="right"/>
              <w:rPr>
                <w:rFonts w:ascii="Tms Rmn" w:eastAsia="Times New Roman" w:hAnsi="Tms Rmn" w:cs="Times New Roman"/>
                <w:sz w:val="18"/>
                <w:szCs w:val="18"/>
                <w:lang w:eastAsia="it-IT"/>
              </w:rPr>
            </w:pPr>
            <w:r w:rsidRPr="00696CE0">
              <w:rPr>
                <w:rFonts w:ascii="Tms Rmn" w:eastAsia="Times New Roman" w:hAnsi="Tms Rmn" w:cs="Times New Roman"/>
                <w:sz w:val="18"/>
                <w:szCs w:val="18"/>
                <w:lang w:eastAsia="it-IT"/>
              </w:rPr>
              <w:t>115,9%</w:t>
            </w:r>
          </w:p>
        </w:tc>
        <w:tc>
          <w:tcPr>
            <w:tcW w:w="860" w:type="dxa"/>
            <w:tcBorders>
              <w:top w:val="nil"/>
              <w:left w:val="nil"/>
              <w:bottom w:val="nil"/>
              <w:right w:val="nil"/>
            </w:tcBorders>
          </w:tcPr>
          <w:p w:rsidR="002B14DE" w:rsidRPr="00696CE0" w:rsidRDefault="002B14DE" w:rsidP="002B14DE">
            <w:pPr>
              <w:spacing w:after="0" w:line="240" w:lineRule="auto"/>
              <w:jc w:val="right"/>
              <w:rPr>
                <w:rFonts w:ascii="Tms Rmn" w:eastAsia="Times New Roman" w:hAnsi="Tms Rmn" w:cs="Times New Roman"/>
                <w:sz w:val="18"/>
                <w:szCs w:val="18"/>
                <w:lang w:eastAsia="it-IT"/>
              </w:rPr>
            </w:pPr>
            <w:r>
              <w:rPr>
                <w:rFonts w:ascii="Tms Rmn" w:eastAsia="Times New Roman" w:hAnsi="Tms Rmn" w:cs="Times New Roman"/>
                <w:sz w:val="18"/>
                <w:szCs w:val="18"/>
                <w:lang w:eastAsia="it-IT"/>
              </w:rPr>
              <w:t>108,6%</w:t>
            </w:r>
          </w:p>
        </w:tc>
        <w:tc>
          <w:tcPr>
            <w:tcW w:w="860" w:type="dxa"/>
            <w:tcBorders>
              <w:top w:val="nil"/>
              <w:left w:val="nil"/>
              <w:bottom w:val="nil"/>
              <w:right w:val="nil"/>
            </w:tcBorders>
          </w:tcPr>
          <w:p w:rsidR="002B14DE" w:rsidRPr="00696CE0" w:rsidRDefault="002B14DE" w:rsidP="002B14DE">
            <w:pPr>
              <w:spacing w:after="0" w:line="240" w:lineRule="auto"/>
              <w:jc w:val="right"/>
              <w:rPr>
                <w:rFonts w:ascii="Tms Rmn" w:eastAsia="Times New Roman" w:hAnsi="Tms Rmn" w:cs="Times New Roman"/>
                <w:sz w:val="18"/>
                <w:szCs w:val="18"/>
                <w:lang w:eastAsia="it-IT"/>
              </w:rPr>
            </w:pPr>
            <w:r>
              <w:rPr>
                <w:rFonts w:ascii="Tms Rmn" w:eastAsia="Times New Roman" w:hAnsi="Tms Rmn" w:cs="Times New Roman"/>
                <w:sz w:val="18"/>
                <w:szCs w:val="18"/>
                <w:lang w:eastAsia="it-IT"/>
              </w:rPr>
              <w:t>111,7%</w:t>
            </w:r>
          </w:p>
        </w:tc>
      </w:tr>
    </w:tbl>
    <w:p w:rsidR="002B14DE" w:rsidRDefault="002B14DE" w:rsidP="002B14DE"/>
    <w:p w:rsidR="002B14DE" w:rsidRDefault="002B14DE" w:rsidP="002B14DE">
      <w:pPr>
        <w:jc w:val="both"/>
      </w:pPr>
      <w:r>
        <w:t>Proprio il livello elevato e volatile dei costi della materia prima (che costituiscono la maggior parte dei costi diretti) ha probabilmente portato ad un efficace meccanismo di controllo dei costi, che comporta una notevole stabilità di tutti gli indicatori di bilancio, con bassi ma costanti livelli di risultato operativo (fra il 2,0% e il 3,5% del valore della produzione) fino al 2015, ma con un crollo allo 0,7% nel 2016.</w:t>
      </w:r>
    </w:p>
    <w:p w:rsidR="002B14DE" w:rsidRDefault="002B14DE" w:rsidP="002B14DE"/>
    <w:tbl>
      <w:tblPr>
        <w:tblW w:w="7460" w:type="dxa"/>
        <w:tblCellMar>
          <w:left w:w="70" w:type="dxa"/>
          <w:right w:w="70" w:type="dxa"/>
        </w:tblCellMar>
        <w:tblLook w:val="04A0" w:firstRow="1" w:lastRow="0" w:firstColumn="1" w:lastColumn="0" w:noHBand="0" w:noVBand="1"/>
      </w:tblPr>
      <w:tblGrid>
        <w:gridCol w:w="2694"/>
        <w:gridCol w:w="226"/>
        <w:gridCol w:w="1180"/>
        <w:gridCol w:w="780"/>
        <w:gridCol w:w="860"/>
        <w:gridCol w:w="860"/>
        <w:gridCol w:w="860"/>
      </w:tblGrid>
      <w:tr w:rsidR="002B14DE" w:rsidRPr="00413D71" w:rsidTr="002B14DE">
        <w:trPr>
          <w:trHeight w:val="240"/>
        </w:trPr>
        <w:tc>
          <w:tcPr>
            <w:tcW w:w="2694" w:type="dxa"/>
            <w:tcBorders>
              <w:top w:val="single" w:sz="4" w:space="0" w:color="auto"/>
              <w:left w:val="nil"/>
              <w:bottom w:val="single" w:sz="4" w:space="0" w:color="auto"/>
              <w:right w:val="nil"/>
            </w:tcBorders>
            <w:shd w:val="clear" w:color="auto" w:fill="auto"/>
            <w:noWrap/>
            <w:vAlign w:val="bottom"/>
          </w:tcPr>
          <w:p w:rsidR="002B14DE" w:rsidRPr="00413D71" w:rsidRDefault="002B14DE" w:rsidP="002B14DE">
            <w:pPr>
              <w:spacing w:after="0" w:line="240" w:lineRule="auto"/>
              <w:rPr>
                <w:rFonts w:ascii="Tms Rmn" w:eastAsia="Times New Roman" w:hAnsi="Tms Rmn" w:cs="Times New Roman"/>
                <w:sz w:val="18"/>
                <w:szCs w:val="18"/>
                <w:lang w:eastAsia="it-IT"/>
              </w:rPr>
            </w:pPr>
            <w:r>
              <w:rPr>
                <w:rFonts w:ascii="Tms Rmn" w:eastAsia="Times New Roman" w:hAnsi="Tms Rmn" w:cs="Times New Roman"/>
                <w:sz w:val="18"/>
                <w:szCs w:val="18"/>
                <w:lang w:eastAsia="it-IT"/>
              </w:rPr>
              <w:t>% su valore della produzione</w:t>
            </w:r>
          </w:p>
        </w:tc>
        <w:tc>
          <w:tcPr>
            <w:tcW w:w="226" w:type="dxa"/>
            <w:tcBorders>
              <w:top w:val="single" w:sz="4" w:space="0" w:color="auto"/>
              <w:left w:val="nil"/>
              <w:bottom w:val="single" w:sz="4" w:space="0" w:color="auto"/>
              <w:right w:val="nil"/>
            </w:tcBorders>
            <w:shd w:val="clear" w:color="auto" w:fill="auto"/>
            <w:noWrap/>
            <w:vAlign w:val="bottom"/>
          </w:tcPr>
          <w:p w:rsidR="002B14DE" w:rsidRPr="00413D71" w:rsidRDefault="002B14DE" w:rsidP="002B14DE">
            <w:pPr>
              <w:spacing w:after="0" w:line="240" w:lineRule="auto"/>
              <w:rPr>
                <w:rFonts w:ascii="Tms Rmn" w:eastAsia="Times New Roman" w:hAnsi="Tms Rmn" w:cs="Times New Roman"/>
                <w:sz w:val="18"/>
                <w:szCs w:val="18"/>
                <w:lang w:eastAsia="it-IT"/>
              </w:rPr>
            </w:pPr>
          </w:p>
        </w:tc>
        <w:tc>
          <w:tcPr>
            <w:tcW w:w="1180" w:type="dxa"/>
            <w:tcBorders>
              <w:top w:val="single" w:sz="4" w:space="0" w:color="auto"/>
              <w:left w:val="nil"/>
              <w:bottom w:val="single" w:sz="4" w:space="0" w:color="auto"/>
              <w:right w:val="nil"/>
            </w:tcBorders>
            <w:shd w:val="clear" w:color="auto" w:fill="auto"/>
            <w:noWrap/>
            <w:vAlign w:val="bottom"/>
          </w:tcPr>
          <w:p w:rsidR="002B14DE" w:rsidRPr="00413D71" w:rsidRDefault="002B14DE" w:rsidP="002B14DE">
            <w:pPr>
              <w:spacing w:after="0" w:line="240" w:lineRule="auto"/>
              <w:jc w:val="right"/>
              <w:rPr>
                <w:rFonts w:ascii="Tms Rmn" w:eastAsia="Times New Roman" w:hAnsi="Tms Rmn" w:cs="Times New Roman"/>
                <w:sz w:val="18"/>
                <w:szCs w:val="18"/>
                <w:lang w:eastAsia="it-IT"/>
              </w:rPr>
            </w:pPr>
            <w:r>
              <w:rPr>
                <w:rFonts w:ascii="Tms Rmn" w:eastAsia="Times New Roman" w:hAnsi="Tms Rmn" w:cs="Times New Roman"/>
                <w:sz w:val="18"/>
                <w:szCs w:val="18"/>
                <w:lang w:eastAsia="it-IT"/>
              </w:rPr>
              <w:t>2012</w:t>
            </w:r>
          </w:p>
        </w:tc>
        <w:tc>
          <w:tcPr>
            <w:tcW w:w="780" w:type="dxa"/>
            <w:tcBorders>
              <w:top w:val="single" w:sz="4" w:space="0" w:color="auto"/>
              <w:left w:val="nil"/>
              <w:bottom w:val="single" w:sz="4" w:space="0" w:color="auto"/>
              <w:right w:val="nil"/>
            </w:tcBorders>
            <w:shd w:val="clear" w:color="auto" w:fill="auto"/>
            <w:noWrap/>
            <w:vAlign w:val="bottom"/>
          </w:tcPr>
          <w:p w:rsidR="002B14DE" w:rsidRPr="00413D71" w:rsidRDefault="002B14DE" w:rsidP="002B14DE">
            <w:pPr>
              <w:spacing w:after="0" w:line="240" w:lineRule="auto"/>
              <w:jc w:val="right"/>
              <w:rPr>
                <w:rFonts w:ascii="Tms Rmn" w:eastAsia="Times New Roman" w:hAnsi="Tms Rmn" w:cs="Times New Roman"/>
                <w:sz w:val="18"/>
                <w:szCs w:val="18"/>
                <w:lang w:eastAsia="it-IT"/>
              </w:rPr>
            </w:pPr>
            <w:r>
              <w:rPr>
                <w:rFonts w:ascii="Tms Rmn" w:eastAsia="Times New Roman" w:hAnsi="Tms Rmn" w:cs="Times New Roman"/>
                <w:sz w:val="18"/>
                <w:szCs w:val="18"/>
                <w:lang w:eastAsia="it-IT"/>
              </w:rPr>
              <w:t>2013</w:t>
            </w:r>
          </w:p>
        </w:tc>
        <w:tc>
          <w:tcPr>
            <w:tcW w:w="860" w:type="dxa"/>
            <w:tcBorders>
              <w:top w:val="single" w:sz="4" w:space="0" w:color="auto"/>
              <w:left w:val="nil"/>
              <w:bottom w:val="single" w:sz="4" w:space="0" w:color="auto"/>
              <w:right w:val="nil"/>
            </w:tcBorders>
            <w:shd w:val="clear" w:color="auto" w:fill="auto"/>
            <w:noWrap/>
            <w:vAlign w:val="bottom"/>
          </w:tcPr>
          <w:p w:rsidR="002B14DE" w:rsidRPr="00413D71" w:rsidRDefault="002B14DE" w:rsidP="002B14DE">
            <w:pPr>
              <w:spacing w:after="0" w:line="240" w:lineRule="auto"/>
              <w:jc w:val="right"/>
              <w:rPr>
                <w:rFonts w:ascii="Tms Rmn" w:eastAsia="Times New Roman" w:hAnsi="Tms Rmn" w:cs="Times New Roman"/>
                <w:sz w:val="18"/>
                <w:szCs w:val="18"/>
                <w:lang w:eastAsia="it-IT"/>
              </w:rPr>
            </w:pPr>
            <w:r>
              <w:rPr>
                <w:rFonts w:ascii="Tms Rmn" w:eastAsia="Times New Roman" w:hAnsi="Tms Rmn" w:cs="Times New Roman"/>
                <w:sz w:val="18"/>
                <w:szCs w:val="18"/>
                <w:lang w:eastAsia="it-IT"/>
              </w:rPr>
              <w:t>2014</w:t>
            </w:r>
          </w:p>
        </w:tc>
        <w:tc>
          <w:tcPr>
            <w:tcW w:w="860" w:type="dxa"/>
            <w:tcBorders>
              <w:top w:val="single" w:sz="4" w:space="0" w:color="auto"/>
              <w:left w:val="nil"/>
              <w:bottom w:val="single" w:sz="4" w:space="0" w:color="auto"/>
              <w:right w:val="nil"/>
            </w:tcBorders>
          </w:tcPr>
          <w:p w:rsidR="002B14DE" w:rsidRDefault="002B14DE" w:rsidP="002B14DE">
            <w:pPr>
              <w:spacing w:after="0" w:line="240" w:lineRule="auto"/>
              <w:jc w:val="right"/>
              <w:rPr>
                <w:rFonts w:ascii="Tms Rmn" w:eastAsia="Times New Roman" w:hAnsi="Tms Rmn" w:cs="Times New Roman"/>
                <w:sz w:val="18"/>
                <w:szCs w:val="18"/>
                <w:lang w:eastAsia="it-IT"/>
              </w:rPr>
            </w:pPr>
            <w:r>
              <w:rPr>
                <w:rFonts w:ascii="Tms Rmn" w:eastAsia="Times New Roman" w:hAnsi="Tms Rmn" w:cs="Times New Roman"/>
                <w:sz w:val="18"/>
                <w:szCs w:val="18"/>
                <w:lang w:eastAsia="it-IT"/>
              </w:rPr>
              <w:t>2015</w:t>
            </w:r>
          </w:p>
        </w:tc>
        <w:tc>
          <w:tcPr>
            <w:tcW w:w="860" w:type="dxa"/>
            <w:tcBorders>
              <w:top w:val="single" w:sz="4" w:space="0" w:color="auto"/>
              <w:left w:val="nil"/>
              <w:bottom w:val="single" w:sz="4" w:space="0" w:color="auto"/>
              <w:right w:val="nil"/>
            </w:tcBorders>
          </w:tcPr>
          <w:p w:rsidR="002B14DE" w:rsidRDefault="002B14DE" w:rsidP="002B14DE">
            <w:pPr>
              <w:spacing w:after="0" w:line="240" w:lineRule="auto"/>
              <w:jc w:val="right"/>
              <w:rPr>
                <w:rFonts w:ascii="Tms Rmn" w:eastAsia="Times New Roman" w:hAnsi="Tms Rmn" w:cs="Times New Roman"/>
                <w:sz w:val="18"/>
                <w:szCs w:val="18"/>
                <w:lang w:eastAsia="it-IT"/>
              </w:rPr>
            </w:pPr>
            <w:r>
              <w:rPr>
                <w:rFonts w:ascii="Tms Rmn" w:eastAsia="Times New Roman" w:hAnsi="Tms Rmn" w:cs="Times New Roman"/>
                <w:sz w:val="18"/>
                <w:szCs w:val="18"/>
                <w:lang w:eastAsia="it-IT"/>
              </w:rPr>
              <w:t>2016</w:t>
            </w:r>
          </w:p>
        </w:tc>
      </w:tr>
      <w:tr w:rsidR="002B14DE" w:rsidRPr="002C5AB0" w:rsidTr="002B14DE">
        <w:trPr>
          <w:trHeight w:val="240"/>
        </w:trPr>
        <w:tc>
          <w:tcPr>
            <w:tcW w:w="2694" w:type="dxa"/>
            <w:tcBorders>
              <w:top w:val="nil"/>
              <w:left w:val="nil"/>
              <w:bottom w:val="nil"/>
              <w:right w:val="nil"/>
            </w:tcBorders>
            <w:shd w:val="clear" w:color="auto" w:fill="auto"/>
            <w:noWrap/>
            <w:vAlign w:val="bottom"/>
            <w:hideMark/>
          </w:tcPr>
          <w:p w:rsidR="002B14DE" w:rsidRPr="002C5AB0" w:rsidRDefault="002B14DE" w:rsidP="002B14DE">
            <w:pPr>
              <w:spacing w:after="0" w:line="240" w:lineRule="auto"/>
              <w:rPr>
                <w:rFonts w:ascii="Tms Rmn" w:eastAsia="Times New Roman" w:hAnsi="Tms Rmn" w:cs="Times New Roman"/>
                <w:sz w:val="18"/>
                <w:szCs w:val="18"/>
                <w:lang w:eastAsia="it-IT"/>
              </w:rPr>
            </w:pPr>
            <w:r w:rsidRPr="002C5AB0">
              <w:rPr>
                <w:rFonts w:ascii="Tms Rmn" w:eastAsia="Times New Roman" w:hAnsi="Tms Rmn" w:cs="Times New Roman"/>
                <w:sz w:val="18"/>
                <w:szCs w:val="18"/>
                <w:lang w:eastAsia="it-IT"/>
              </w:rPr>
              <w:t>Costi diretti</w:t>
            </w:r>
          </w:p>
        </w:tc>
        <w:tc>
          <w:tcPr>
            <w:tcW w:w="226" w:type="dxa"/>
            <w:tcBorders>
              <w:top w:val="nil"/>
              <w:left w:val="nil"/>
              <w:bottom w:val="nil"/>
              <w:right w:val="nil"/>
            </w:tcBorders>
            <w:shd w:val="clear" w:color="auto" w:fill="auto"/>
            <w:noWrap/>
            <w:vAlign w:val="bottom"/>
            <w:hideMark/>
          </w:tcPr>
          <w:p w:rsidR="002B14DE" w:rsidRPr="002C5AB0" w:rsidRDefault="002B14DE" w:rsidP="002B14DE">
            <w:pPr>
              <w:spacing w:after="0" w:line="240" w:lineRule="auto"/>
              <w:rPr>
                <w:rFonts w:ascii="Tms Rmn" w:eastAsia="Times New Roman" w:hAnsi="Tms Rmn" w:cs="Times New Roman"/>
                <w:sz w:val="18"/>
                <w:szCs w:val="18"/>
                <w:lang w:eastAsia="it-IT"/>
              </w:rPr>
            </w:pPr>
          </w:p>
        </w:tc>
        <w:tc>
          <w:tcPr>
            <w:tcW w:w="1180" w:type="dxa"/>
            <w:tcBorders>
              <w:top w:val="nil"/>
              <w:left w:val="nil"/>
              <w:bottom w:val="nil"/>
              <w:right w:val="nil"/>
            </w:tcBorders>
            <w:shd w:val="clear" w:color="auto" w:fill="auto"/>
            <w:noWrap/>
            <w:vAlign w:val="bottom"/>
            <w:hideMark/>
          </w:tcPr>
          <w:p w:rsidR="002B14DE" w:rsidRPr="002C5AB0" w:rsidRDefault="002B14DE" w:rsidP="002B14DE">
            <w:pPr>
              <w:spacing w:after="0" w:line="240" w:lineRule="auto"/>
              <w:jc w:val="right"/>
              <w:rPr>
                <w:rFonts w:ascii="Tms Rmn" w:eastAsia="Times New Roman" w:hAnsi="Tms Rmn" w:cs="Times New Roman"/>
                <w:sz w:val="18"/>
                <w:szCs w:val="18"/>
                <w:lang w:eastAsia="it-IT"/>
              </w:rPr>
            </w:pPr>
            <w:r w:rsidRPr="002C5AB0">
              <w:rPr>
                <w:rFonts w:ascii="Tms Rmn" w:eastAsia="Times New Roman" w:hAnsi="Tms Rmn" w:cs="Times New Roman"/>
                <w:sz w:val="18"/>
                <w:szCs w:val="18"/>
                <w:lang w:eastAsia="it-IT"/>
              </w:rPr>
              <w:t>82,4%</w:t>
            </w:r>
          </w:p>
        </w:tc>
        <w:tc>
          <w:tcPr>
            <w:tcW w:w="780" w:type="dxa"/>
            <w:tcBorders>
              <w:top w:val="nil"/>
              <w:left w:val="nil"/>
              <w:bottom w:val="nil"/>
              <w:right w:val="nil"/>
            </w:tcBorders>
            <w:shd w:val="clear" w:color="auto" w:fill="auto"/>
            <w:noWrap/>
            <w:vAlign w:val="bottom"/>
            <w:hideMark/>
          </w:tcPr>
          <w:p w:rsidR="002B14DE" w:rsidRPr="002C5AB0" w:rsidRDefault="002B14DE" w:rsidP="002B14DE">
            <w:pPr>
              <w:spacing w:after="0" w:line="240" w:lineRule="auto"/>
              <w:jc w:val="right"/>
              <w:rPr>
                <w:rFonts w:ascii="Tms Rmn" w:eastAsia="Times New Roman" w:hAnsi="Tms Rmn" w:cs="Times New Roman"/>
                <w:sz w:val="18"/>
                <w:szCs w:val="18"/>
                <w:lang w:eastAsia="it-IT"/>
              </w:rPr>
            </w:pPr>
            <w:r w:rsidRPr="002C5AB0">
              <w:rPr>
                <w:rFonts w:ascii="Tms Rmn" w:eastAsia="Times New Roman" w:hAnsi="Tms Rmn" w:cs="Times New Roman"/>
                <w:sz w:val="18"/>
                <w:szCs w:val="18"/>
                <w:lang w:eastAsia="it-IT"/>
              </w:rPr>
              <w:t>82,0%</w:t>
            </w:r>
          </w:p>
        </w:tc>
        <w:tc>
          <w:tcPr>
            <w:tcW w:w="860" w:type="dxa"/>
            <w:tcBorders>
              <w:top w:val="nil"/>
              <w:left w:val="nil"/>
              <w:bottom w:val="nil"/>
              <w:right w:val="nil"/>
            </w:tcBorders>
            <w:shd w:val="clear" w:color="auto" w:fill="auto"/>
            <w:noWrap/>
            <w:vAlign w:val="bottom"/>
            <w:hideMark/>
          </w:tcPr>
          <w:p w:rsidR="002B14DE" w:rsidRPr="002C5AB0" w:rsidRDefault="002B14DE" w:rsidP="002B14DE">
            <w:pPr>
              <w:spacing w:after="0" w:line="240" w:lineRule="auto"/>
              <w:jc w:val="right"/>
              <w:rPr>
                <w:rFonts w:ascii="Tms Rmn" w:eastAsia="Times New Roman" w:hAnsi="Tms Rmn" w:cs="Times New Roman"/>
                <w:sz w:val="18"/>
                <w:szCs w:val="18"/>
                <w:lang w:eastAsia="it-IT"/>
              </w:rPr>
            </w:pPr>
            <w:r w:rsidRPr="002C5AB0">
              <w:rPr>
                <w:rFonts w:ascii="Tms Rmn" w:eastAsia="Times New Roman" w:hAnsi="Tms Rmn" w:cs="Times New Roman"/>
                <w:sz w:val="18"/>
                <w:szCs w:val="18"/>
                <w:lang w:eastAsia="it-IT"/>
              </w:rPr>
              <w:t>80,6%</w:t>
            </w:r>
          </w:p>
        </w:tc>
        <w:tc>
          <w:tcPr>
            <w:tcW w:w="860" w:type="dxa"/>
            <w:tcBorders>
              <w:top w:val="nil"/>
              <w:left w:val="nil"/>
              <w:bottom w:val="nil"/>
              <w:right w:val="nil"/>
            </w:tcBorders>
          </w:tcPr>
          <w:p w:rsidR="002B14DE" w:rsidRPr="002C5AB0" w:rsidRDefault="002B14DE" w:rsidP="002B14DE">
            <w:pPr>
              <w:spacing w:after="0" w:line="240" w:lineRule="auto"/>
              <w:jc w:val="right"/>
              <w:rPr>
                <w:rFonts w:ascii="Tms Rmn" w:eastAsia="Times New Roman" w:hAnsi="Tms Rmn" w:cs="Times New Roman"/>
                <w:sz w:val="18"/>
                <w:szCs w:val="18"/>
                <w:lang w:eastAsia="it-IT"/>
              </w:rPr>
            </w:pPr>
            <w:r>
              <w:rPr>
                <w:rFonts w:ascii="Tms Rmn" w:eastAsia="Times New Roman" w:hAnsi="Tms Rmn" w:cs="Times New Roman"/>
                <w:sz w:val="18"/>
                <w:szCs w:val="18"/>
                <w:lang w:eastAsia="it-IT"/>
              </w:rPr>
              <w:t>81,7%</w:t>
            </w:r>
          </w:p>
        </w:tc>
        <w:tc>
          <w:tcPr>
            <w:tcW w:w="860" w:type="dxa"/>
            <w:tcBorders>
              <w:top w:val="nil"/>
              <w:left w:val="nil"/>
              <w:bottom w:val="nil"/>
              <w:right w:val="nil"/>
            </w:tcBorders>
          </w:tcPr>
          <w:p w:rsidR="002B14DE" w:rsidRPr="002C5AB0" w:rsidRDefault="002B14DE" w:rsidP="002B14DE">
            <w:pPr>
              <w:spacing w:after="0" w:line="240" w:lineRule="auto"/>
              <w:jc w:val="right"/>
              <w:rPr>
                <w:rFonts w:ascii="Tms Rmn" w:eastAsia="Times New Roman" w:hAnsi="Tms Rmn" w:cs="Times New Roman"/>
                <w:sz w:val="18"/>
                <w:szCs w:val="18"/>
                <w:lang w:eastAsia="it-IT"/>
              </w:rPr>
            </w:pPr>
            <w:r>
              <w:rPr>
                <w:rFonts w:ascii="Tms Rmn" w:eastAsia="Times New Roman" w:hAnsi="Tms Rmn" w:cs="Times New Roman"/>
                <w:sz w:val="18"/>
                <w:szCs w:val="18"/>
                <w:lang w:eastAsia="it-IT"/>
              </w:rPr>
              <w:t>83,2%</w:t>
            </w:r>
          </w:p>
        </w:tc>
      </w:tr>
      <w:tr w:rsidR="002B14DE" w:rsidRPr="002C5AB0" w:rsidTr="002B14DE">
        <w:trPr>
          <w:trHeight w:val="240"/>
        </w:trPr>
        <w:tc>
          <w:tcPr>
            <w:tcW w:w="2694" w:type="dxa"/>
            <w:tcBorders>
              <w:top w:val="nil"/>
              <w:left w:val="nil"/>
              <w:bottom w:val="nil"/>
              <w:right w:val="nil"/>
            </w:tcBorders>
            <w:shd w:val="clear" w:color="auto" w:fill="auto"/>
            <w:noWrap/>
            <w:vAlign w:val="bottom"/>
            <w:hideMark/>
          </w:tcPr>
          <w:p w:rsidR="002B14DE" w:rsidRPr="002C5AB0" w:rsidRDefault="002B14DE" w:rsidP="002B14DE">
            <w:pPr>
              <w:spacing w:after="0" w:line="240" w:lineRule="auto"/>
              <w:rPr>
                <w:rFonts w:ascii="Tms Rmn" w:eastAsia="Times New Roman" w:hAnsi="Tms Rmn" w:cs="Times New Roman"/>
                <w:sz w:val="18"/>
                <w:szCs w:val="18"/>
                <w:lang w:eastAsia="it-IT"/>
              </w:rPr>
            </w:pPr>
            <w:r w:rsidRPr="002C5AB0">
              <w:rPr>
                <w:rFonts w:ascii="Tms Rmn" w:eastAsia="Times New Roman" w:hAnsi="Tms Rmn" w:cs="Times New Roman"/>
                <w:sz w:val="18"/>
                <w:szCs w:val="18"/>
                <w:lang w:eastAsia="it-IT"/>
              </w:rPr>
              <w:t xml:space="preserve">Risultato </w:t>
            </w:r>
            <w:proofErr w:type="spellStart"/>
            <w:r w:rsidRPr="002C5AB0">
              <w:rPr>
                <w:rFonts w:ascii="Tms Rmn" w:eastAsia="Times New Roman" w:hAnsi="Tms Rmn" w:cs="Times New Roman"/>
                <w:sz w:val="18"/>
                <w:szCs w:val="18"/>
                <w:lang w:eastAsia="it-IT"/>
              </w:rPr>
              <w:t>produtt</w:t>
            </w:r>
            <w:proofErr w:type="spellEnd"/>
            <w:r w:rsidRPr="002C5AB0">
              <w:rPr>
                <w:rFonts w:ascii="Tms Rmn" w:eastAsia="Times New Roman" w:hAnsi="Tms Rmn" w:cs="Times New Roman"/>
                <w:sz w:val="18"/>
                <w:szCs w:val="18"/>
                <w:lang w:eastAsia="it-IT"/>
              </w:rPr>
              <w:t>.</w:t>
            </w:r>
          </w:p>
        </w:tc>
        <w:tc>
          <w:tcPr>
            <w:tcW w:w="226" w:type="dxa"/>
            <w:tcBorders>
              <w:top w:val="nil"/>
              <w:left w:val="nil"/>
              <w:bottom w:val="nil"/>
              <w:right w:val="nil"/>
            </w:tcBorders>
            <w:shd w:val="clear" w:color="auto" w:fill="auto"/>
            <w:noWrap/>
            <w:vAlign w:val="bottom"/>
            <w:hideMark/>
          </w:tcPr>
          <w:p w:rsidR="002B14DE" w:rsidRPr="002C5AB0" w:rsidRDefault="002B14DE" w:rsidP="002B14DE">
            <w:pPr>
              <w:spacing w:after="0" w:line="240" w:lineRule="auto"/>
              <w:rPr>
                <w:rFonts w:ascii="Tms Rmn" w:eastAsia="Times New Roman" w:hAnsi="Tms Rmn" w:cs="Times New Roman"/>
                <w:sz w:val="18"/>
                <w:szCs w:val="18"/>
                <w:lang w:eastAsia="it-IT"/>
              </w:rPr>
            </w:pPr>
          </w:p>
        </w:tc>
        <w:tc>
          <w:tcPr>
            <w:tcW w:w="1180" w:type="dxa"/>
            <w:tcBorders>
              <w:top w:val="nil"/>
              <w:left w:val="nil"/>
              <w:bottom w:val="nil"/>
              <w:right w:val="nil"/>
            </w:tcBorders>
            <w:shd w:val="clear" w:color="auto" w:fill="auto"/>
            <w:noWrap/>
            <w:vAlign w:val="bottom"/>
            <w:hideMark/>
          </w:tcPr>
          <w:p w:rsidR="002B14DE" w:rsidRPr="002C5AB0" w:rsidRDefault="002B14DE" w:rsidP="002B14DE">
            <w:pPr>
              <w:spacing w:after="0" w:line="240" w:lineRule="auto"/>
              <w:jc w:val="right"/>
              <w:rPr>
                <w:rFonts w:ascii="Tms Rmn" w:eastAsia="Times New Roman" w:hAnsi="Tms Rmn" w:cs="Times New Roman"/>
                <w:sz w:val="18"/>
                <w:szCs w:val="18"/>
                <w:lang w:eastAsia="it-IT"/>
              </w:rPr>
            </w:pPr>
            <w:r w:rsidRPr="002C5AB0">
              <w:rPr>
                <w:rFonts w:ascii="Tms Rmn" w:eastAsia="Times New Roman" w:hAnsi="Tms Rmn" w:cs="Times New Roman"/>
                <w:sz w:val="18"/>
                <w:szCs w:val="18"/>
                <w:lang w:eastAsia="it-IT"/>
              </w:rPr>
              <w:t>17,6%</w:t>
            </w:r>
          </w:p>
        </w:tc>
        <w:tc>
          <w:tcPr>
            <w:tcW w:w="780" w:type="dxa"/>
            <w:tcBorders>
              <w:top w:val="nil"/>
              <w:left w:val="nil"/>
              <w:bottom w:val="nil"/>
              <w:right w:val="nil"/>
            </w:tcBorders>
            <w:shd w:val="clear" w:color="auto" w:fill="auto"/>
            <w:noWrap/>
            <w:vAlign w:val="bottom"/>
            <w:hideMark/>
          </w:tcPr>
          <w:p w:rsidR="002B14DE" w:rsidRPr="002C5AB0" w:rsidRDefault="002B14DE" w:rsidP="002B14DE">
            <w:pPr>
              <w:spacing w:after="0" w:line="240" w:lineRule="auto"/>
              <w:jc w:val="right"/>
              <w:rPr>
                <w:rFonts w:ascii="Tms Rmn" w:eastAsia="Times New Roman" w:hAnsi="Tms Rmn" w:cs="Times New Roman"/>
                <w:sz w:val="18"/>
                <w:szCs w:val="18"/>
                <w:lang w:eastAsia="it-IT"/>
              </w:rPr>
            </w:pPr>
            <w:r w:rsidRPr="002C5AB0">
              <w:rPr>
                <w:rFonts w:ascii="Tms Rmn" w:eastAsia="Times New Roman" w:hAnsi="Tms Rmn" w:cs="Times New Roman"/>
                <w:sz w:val="18"/>
                <w:szCs w:val="18"/>
                <w:lang w:eastAsia="it-IT"/>
              </w:rPr>
              <w:t>18,0%</w:t>
            </w:r>
          </w:p>
        </w:tc>
        <w:tc>
          <w:tcPr>
            <w:tcW w:w="860" w:type="dxa"/>
            <w:tcBorders>
              <w:top w:val="nil"/>
              <w:left w:val="nil"/>
              <w:bottom w:val="nil"/>
              <w:right w:val="nil"/>
            </w:tcBorders>
            <w:shd w:val="clear" w:color="auto" w:fill="auto"/>
            <w:noWrap/>
            <w:vAlign w:val="bottom"/>
            <w:hideMark/>
          </w:tcPr>
          <w:p w:rsidR="002B14DE" w:rsidRPr="002C5AB0" w:rsidRDefault="002B14DE" w:rsidP="002B14DE">
            <w:pPr>
              <w:spacing w:after="0" w:line="240" w:lineRule="auto"/>
              <w:jc w:val="right"/>
              <w:rPr>
                <w:rFonts w:ascii="Tms Rmn" w:eastAsia="Times New Roman" w:hAnsi="Tms Rmn" w:cs="Times New Roman"/>
                <w:sz w:val="18"/>
                <w:szCs w:val="18"/>
                <w:lang w:eastAsia="it-IT"/>
              </w:rPr>
            </w:pPr>
            <w:r w:rsidRPr="002C5AB0">
              <w:rPr>
                <w:rFonts w:ascii="Tms Rmn" w:eastAsia="Times New Roman" w:hAnsi="Tms Rmn" w:cs="Times New Roman"/>
                <w:sz w:val="18"/>
                <w:szCs w:val="18"/>
                <w:lang w:eastAsia="it-IT"/>
              </w:rPr>
              <w:t>19,4%</w:t>
            </w:r>
          </w:p>
        </w:tc>
        <w:tc>
          <w:tcPr>
            <w:tcW w:w="860" w:type="dxa"/>
            <w:tcBorders>
              <w:top w:val="nil"/>
              <w:left w:val="nil"/>
              <w:bottom w:val="nil"/>
              <w:right w:val="nil"/>
            </w:tcBorders>
          </w:tcPr>
          <w:p w:rsidR="002B14DE" w:rsidRPr="002C5AB0" w:rsidRDefault="002B14DE" w:rsidP="002B14DE">
            <w:pPr>
              <w:spacing w:after="0" w:line="240" w:lineRule="auto"/>
              <w:jc w:val="right"/>
              <w:rPr>
                <w:rFonts w:ascii="Tms Rmn" w:eastAsia="Times New Roman" w:hAnsi="Tms Rmn" w:cs="Times New Roman"/>
                <w:sz w:val="18"/>
                <w:szCs w:val="18"/>
                <w:lang w:eastAsia="it-IT"/>
              </w:rPr>
            </w:pPr>
            <w:r>
              <w:rPr>
                <w:rFonts w:ascii="Tms Rmn" w:eastAsia="Times New Roman" w:hAnsi="Tms Rmn" w:cs="Times New Roman"/>
                <w:sz w:val="18"/>
                <w:szCs w:val="18"/>
                <w:lang w:eastAsia="it-IT"/>
              </w:rPr>
              <w:t>18,3%</w:t>
            </w:r>
          </w:p>
        </w:tc>
        <w:tc>
          <w:tcPr>
            <w:tcW w:w="860" w:type="dxa"/>
            <w:tcBorders>
              <w:top w:val="nil"/>
              <w:left w:val="nil"/>
              <w:bottom w:val="nil"/>
              <w:right w:val="nil"/>
            </w:tcBorders>
          </w:tcPr>
          <w:p w:rsidR="002B14DE" w:rsidRPr="002C5AB0" w:rsidRDefault="002B14DE" w:rsidP="002B14DE">
            <w:pPr>
              <w:spacing w:after="0" w:line="240" w:lineRule="auto"/>
              <w:jc w:val="right"/>
              <w:rPr>
                <w:rFonts w:ascii="Tms Rmn" w:eastAsia="Times New Roman" w:hAnsi="Tms Rmn" w:cs="Times New Roman"/>
                <w:sz w:val="18"/>
                <w:szCs w:val="18"/>
                <w:lang w:eastAsia="it-IT"/>
              </w:rPr>
            </w:pPr>
            <w:r>
              <w:rPr>
                <w:rFonts w:ascii="Tms Rmn" w:eastAsia="Times New Roman" w:hAnsi="Tms Rmn" w:cs="Times New Roman"/>
                <w:sz w:val="18"/>
                <w:szCs w:val="18"/>
                <w:lang w:eastAsia="it-IT"/>
              </w:rPr>
              <w:t>16,8%</w:t>
            </w:r>
          </w:p>
        </w:tc>
      </w:tr>
      <w:tr w:rsidR="002B14DE" w:rsidRPr="002C5AB0" w:rsidTr="002B14DE">
        <w:trPr>
          <w:trHeight w:val="240"/>
        </w:trPr>
        <w:tc>
          <w:tcPr>
            <w:tcW w:w="2694" w:type="dxa"/>
            <w:tcBorders>
              <w:top w:val="nil"/>
              <w:left w:val="nil"/>
              <w:right w:val="nil"/>
            </w:tcBorders>
            <w:shd w:val="clear" w:color="auto" w:fill="auto"/>
            <w:noWrap/>
            <w:vAlign w:val="bottom"/>
            <w:hideMark/>
          </w:tcPr>
          <w:p w:rsidR="002B14DE" w:rsidRPr="002C5AB0" w:rsidRDefault="002B14DE" w:rsidP="002B14DE">
            <w:pPr>
              <w:spacing w:after="0" w:line="240" w:lineRule="auto"/>
              <w:rPr>
                <w:rFonts w:ascii="Tms Rmn" w:eastAsia="Times New Roman" w:hAnsi="Tms Rmn" w:cs="Times New Roman"/>
                <w:sz w:val="18"/>
                <w:szCs w:val="18"/>
                <w:lang w:eastAsia="it-IT"/>
              </w:rPr>
            </w:pPr>
            <w:r w:rsidRPr="002C5AB0">
              <w:rPr>
                <w:rFonts w:ascii="Tms Rmn" w:eastAsia="Times New Roman" w:hAnsi="Tms Rmn" w:cs="Times New Roman"/>
                <w:sz w:val="18"/>
                <w:szCs w:val="18"/>
                <w:lang w:eastAsia="it-IT"/>
              </w:rPr>
              <w:t>Costi indiretti</w:t>
            </w:r>
          </w:p>
        </w:tc>
        <w:tc>
          <w:tcPr>
            <w:tcW w:w="226" w:type="dxa"/>
            <w:tcBorders>
              <w:top w:val="nil"/>
              <w:left w:val="nil"/>
              <w:right w:val="nil"/>
            </w:tcBorders>
            <w:shd w:val="clear" w:color="auto" w:fill="auto"/>
            <w:noWrap/>
            <w:vAlign w:val="bottom"/>
            <w:hideMark/>
          </w:tcPr>
          <w:p w:rsidR="002B14DE" w:rsidRPr="002C5AB0" w:rsidRDefault="002B14DE" w:rsidP="002B14DE">
            <w:pPr>
              <w:spacing w:after="0" w:line="240" w:lineRule="auto"/>
              <w:rPr>
                <w:rFonts w:ascii="Tms Rmn" w:eastAsia="Times New Roman" w:hAnsi="Tms Rmn" w:cs="Times New Roman"/>
                <w:sz w:val="18"/>
                <w:szCs w:val="18"/>
                <w:lang w:eastAsia="it-IT"/>
              </w:rPr>
            </w:pPr>
          </w:p>
        </w:tc>
        <w:tc>
          <w:tcPr>
            <w:tcW w:w="1180" w:type="dxa"/>
            <w:tcBorders>
              <w:top w:val="nil"/>
              <w:left w:val="nil"/>
              <w:right w:val="nil"/>
            </w:tcBorders>
            <w:shd w:val="clear" w:color="auto" w:fill="auto"/>
            <w:noWrap/>
            <w:vAlign w:val="bottom"/>
            <w:hideMark/>
          </w:tcPr>
          <w:p w:rsidR="002B14DE" w:rsidRPr="002C5AB0" w:rsidRDefault="002B14DE" w:rsidP="002B14DE">
            <w:pPr>
              <w:spacing w:after="0" w:line="240" w:lineRule="auto"/>
              <w:jc w:val="right"/>
              <w:rPr>
                <w:rFonts w:ascii="Tms Rmn" w:eastAsia="Times New Roman" w:hAnsi="Tms Rmn" w:cs="Times New Roman"/>
                <w:sz w:val="18"/>
                <w:szCs w:val="18"/>
                <w:lang w:eastAsia="it-IT"/>
              </w:rPr>
            </w:pPr>
            <w:r w:rsidRPr="002C5AB0">
              <w:rPr>
                <w:rFonts w:ascii="Tms Rmn" w:eastAsia="Times New Roman" w:hAnsi="Tms Rmn" w:cs="Times New Roman"/>
                <w:sz w:val="18"/>
                <w:szCs w:val="18"/>
                <w:lang w:eastAsia="it-IT"/>
              </w:rPr>
              <w:t>14,8%</w:t>
            </w:r>
          </w:p>
        </w:tc>
        <w:tc>
          <w:tcPr>
            <w:tcW w:w="780" w:type="dxa"/>
            <w:tcBorders>
              <w:top w:val="nil"/>
              <w:left w:val="nil"/>
              <w:right w:val="nil"/>
            </w:tcBorders>
            <w:shd w:val="clear" w:color="auto" w:fill="auto"/>
            <w:noWrap/>
            <w:vAlign w:val="bottom"/>
            <w:hideMark/>
          </w:tcPr>
          <w:p w:rsidR="002B14DE" w:rsidRPr="002C5AB0" w:rsidRDefault="002B14DE" w:rsidP="002B14DE">
            <w:pPr>
              <w:spacing w:after="0" w:line="240" w:lineRule="auto"/>
              <w:jc w:val="right"/>
              <w:rPr>
                <w:rFonts w:ascii="Tms Rmn" w:eastAsia="Times New Roman" w:hAnsi="Tms Rmn" w:cs="Times New Roman"/>
                <w:sz w:val="18"/>
                <w:szCs w:val="18"/>
                <w:lang w:eastAsia="it-IT"/>
              </w:rPr>
            </w:pPr>
            <w:r w:rsidRPr="002C5AB0">
              <w:rPr>
                <w:rFonts w:ascii="Tms Rmn" w:eastAsia="Times New Roman" w:hAnsi="Tms Rmn" w:cs="Times New Roman"/>
                <w:sz w:val="18"/>
                <w:szCs w:val="18"/>
                <w:lang w:eastAsia="it-IT"/>
              </w:rPr>
              <w:t>14,5%</w:t>
            </w:r>
          </w:p>
        </w:tc>
        <w:tc>
          <w:tcPr>
            <w:tcW w:w="860" w:type="dxa"/>
            <w:tcBorders>
              <w:top w:val="nil"/>
              <w:left w:val="nil"/>
              <w:right w:val="nil"/>
            </w:tcBorders>
            <w:shd w:val="clear" w:color="auto" w:fill="auto"/>
            <w:noWrap/>
            <w:vAlign w:val="bottom"/>
            <w:hideMark/>
          </w:tcPr>
          <w:p w:rsidR="002B14DE" w:rsidRPr="002C5AB0" w:rsidRDefault="002B14DE" w:rsidP="002B14DE">
            <w:pPr>
              <w:spacing w:after="0" w:line="240" w:lineRule="auto"/>
              <w:jc w:val="right"/>
              <w:rPr>
                <w:rFonts w:ascii="Tms Rmn" w:eastAsia="Times New Roman" w:hAnsi="Tms Rmn" w:cs="Times New Roman"/>
                <w:sz w:val="18"/>
                <w:szCs w:val="18"/>
                <w:lang w:eastAsia="it-IT"/>
              </w:rPr>
            </w:pPr>
            <w:r w:rsidRPr="002C5AB0">
              <w:rPr>
                <w:rFonts w:ascii="Tms Rmn" w:eastAsia="Times New Roman" w:hAnsi="Tms Rmn" w:cs="Times New Roman"/>
                <w:sz w:val="18"/>
                <w:szCs w:val="18"/>
                <w:lang w:eastAsia="it-IT"/>
              </w:rPr>
              <w:t>16,0%</w:t>
            </w:r>
          </w:p>
        </w:tc>
        <w:tc>
          <w:tcPr>
            <w:tcW w:w="860" w:type="dxa"/>
            <w:tcBorders>
              <w:top w:val="nil"/>
              <w:left w:val="nil"/>
              <w:right w:val="nil"/>
            </w:tcBorders>
          </w:tcPr>
          <w:p w:rsidR="002B14DE" w:rsidRPr="002C5AB0" w:rsidRDefault="002B14DE" w:rsidP="002B14DE">
            <w:pPr>
              <w:spacing w:after="0" w:line="240" w:lineRule="auto"/>
              <w:jc w:val="right"/>
              <w:rPr>
                <w:rFonts w:ascii="Tms Rmn" w:eastAsia="Times New Roman" w:hAnsi="Tms Rmn" w:cs="Times New Roman"/>
                <w:sz w:val="18"/>
                <w:szCs w:val="18"/>
                <w:lang w:eastAsia="it-IT"/>
              </w:rPr>
            </w:pPr>
            <w:r>
              <w:rPr>
                <w:rFonts w:ascii="Tms Rmn" w:eastAsia="Times New Roman" w:hAnsi="Tms Rmn" w:cs="Times New Roman"/>
                <w:sz w:val="18"/>
                <w:szCs w:val="18"/>
                <w:lang w:eastAsia="it-IT"/>
              </w:rPr>
              <w:t>16,3%</w:t>
            </w:r>
          </w:p>
        </w:tc>
        <w:tc>
          <w:tcPr>
            <w:tcW w:w="860" w:type="dxa"/>
            <w:tcBorders>
              <w:top w:val="nil"/>
              <w:left w:val="nil"/>
              <w:right w:val="nil"/>
            </w:tcBorders>
          </w:tcPr>
          <w:p w:rsidR="002B14DE" w:rsidRPr="002C5AB0" w:rsidRDefault="002B14DE" w:rsidP="002B14DE">
            <w:pPr>
              <w:spacing w:after="0" w:line="240" w:lineRule="auto"/>
              <w:jc w:val="right"/>
              <w:rPr>
                <w:rFonts w:ascii="Tms Rmn" w:eastAsia="Times New Roman" w:hAnsi="Tms Rmn" w:cs="Times New Roman"/>
                <w:sz w:val="18"/>
                <w:szCs w:val="18"/>
                <w:lang w:eastAsia="it-IT"/>
              </w:rPr>
            </w:pPr>
            <w:r>
              <w:rPr>
                <w:rFonts w:ascii="Tms Rmn" w:eastAsia="Times New Roman" w:hAnsi="Tms Rmn" w:cs="Times New Roman"/>
                <w:sz w:val="18"/>
                <w:szCs w:val="18"/>
                <w:lang w:eastAsia="it-IT"/>
              </w:rPr>
              <w:t>16,1%</w:t>
            </w:r>
          </w:p>
        </w:tc>
      </w:tr>
      <w:tr w:rsidR="002B14DE" w:rsidRPr="002C5AB0" w:rsidTr="002B14DE">
        <w:trPr>
          <w:trHeight w:val="240"/>
        </w:trPr>
        <w:tc>
          <w:tcPr>
            <w:tcW w:w="2694" w:type="dxa"/>
            <w:tcBorders>
              <w:top w:val="nil"/>
              <w:left w:val="nil"/>
              <w:bottom w:val="single" w:sz="4" w:space="0" w:color="auto"/>
              <w:right w:val="nil"/>
            </w:tcBorders>
            <w:shd w:val="clear" w:color="auto" w:fill="auto"/>
            <w:noWrap/>
            <w:vAlign w:val="bottom"/>
            <w:hideMark/>
          </w:tcPr>
          <w:p w:rsidR="002B14DE" w:rsidRPr="002C5AB0" w:rsidRDefault="002B14DE" w:rsidP="002B14DE">
            <w:pPr>
              <w:spacing w:after="0" w:line="240" w:lineRule="auto"/>
              <w:rPr>
                <w:rFonts w:ascii="Tms Rmn" w:eastAsia="Times New Roman" w:hAnsi="Tms Rmn" w:cs="Times New Roman"/>
                <w:sz w:val="18"/>
                <w:szCs w:val="18"/>
                <w:lang w:eastAsia="it-IT"/>
              </w:rPr>
            </w:pPr>
            <w:r w:rsidRPr="002C5AB0">
              <w:rPr>
                <w:rFonts w:ascii="Tms Rmn" w:eastAsia="Times New Roman" w:hAnsi="Tms Rmn" w:cs="Times New Roman"/>
                <w:sz w:val="18"/>
                <w:szCs w:val="18"/>
                <w:lang w:eastAsia="it-IT"/>
              </w:rPr>
              <w:t>Risultato operativo/</w:t>
            </w:r>
            <w:proofErr w:type="spellStart"/>
            <w:r w:rsidRPr="002C5AB0">
              <w:rPr>
                <w:rFonts w:ascii="Tms Rmn" w:eastAsia="Times New Roman" w:hAnsi="Tms Rmn" w:cs="Times New Roman"/>
                <w:sz w:val="18"/>
                <w:szCs w:val="18"/>
                <w:lang w:eastAsia="it-IT"/>
              </w:rPr>
              <w:t>Prod</w:t>
            </w:r>
            <w:proofErr w:type="spellEnd"/>
            <w:r w:rsidRPr="002C5AB0">
              <w:rPr>
                <w:rFonts w:ascii="Tms Rmn" w:eastAsia="Times New Roman" w:hAnsi="Tms Rmn" w:cs="Times New Roman"/>
                <w:sz w:val="18"/>
                <w:szCs w:val="18"/>
                <w:lang w:eastAsia="it-IT"/>
              </w:rPr>
              <w:t>.</w:t>
            </w:r>
          </w:p>
        </w:tc>
        <w:tc>
          <w:tcPr>
            <w:tcW w:w="226" w:type="dxa"/>
            <w:tcBorders>
              <w:top w:val="nil"/>
              <w:left w:val="nil"/>
              <w:bottom w:val="single" w:sz="4" w:space="0" w:color="auto"/>
              <w:right w:val="nil"/>
            </w:tcBorders>
            <w:shd w:val="clear" w:color="auto" w:fill="auto"/>
            <w:noWrap/>
            <w:vAlign w:val="bottom"/>
            <w:hideMark/>
          </w:tcPr>
          <w:p w:rsidR="002B14DE" w:rsidRPr="002C5AB0" w:rsidRDefault="002B14DE" w:rsidP="002B14DE">
            <w:pPr>
              <w:spacing w:after="0" w:line="240" w:lineRule="auto"/>
              <w:rPr>
                <w:rFonts w:ascii="Tms Rmn" w:eastAsia="Times New Roman" w:hAnsi="Tms Rmn" w:cs="Times New Roman"/>
                <w:sz w:val="18"/>
                <w:szCs w:val="18"/>
                <w:lang w:eastAsia="it-IT"/>
              </w:rPr>
            </w:pPr>
          </w:p>
        </w:tc>
        <w:tc>
          <w:tcPr>
            <w:tcW w:w="1180" w:type="dxa"/>
            <w:tcBorders>
              <w:top w:val="nil"/>
              <w:left w:val="nil"/>
              <w:bottom w:val="single" w:sz="4" w:space="0" w:color="auto"/>
              <w:right w:val="nil"/>
            </w:tcBorders>
            <w:shd w:val="clear" w:color="auto" w:fill="auto"/>
            <w:noWrap/>
            <w:vAlign w:val="bottom"/>
            <w:hideMark/>
          </w:tcPr>
          <w:p w:rsidR="002B14DE" w:rsidRPr="002C5AB0" w:rsidRDefault="002B14DE" w:rsidP="002B14DE">
            <w:pPr>
              <w:spacing w:after="0" w:line="240" w:lineRule="auto"/>
              <w:jc w:val="right"/>
              <w:rPr>
                <w:rFonts w:ascii="Tms Rmn" w:eastAsia="Times New Roman" w:hAnsi="Tms Rmn" w:cs="Times New Roman"/>
                <w:sz w:val="18"/>
                <w:szCs w:val="18"/>
                <w:lang w:eastAsia="it-IT"/>
              </w:rPr>
            </w:pPr>
            <w:r w:rsidRPr="002C5AB0">
              <w:rPr>
                <w:rFonts w:ascii="Tms Rmn" w:eastAsia="Times New Roman" w:hAnsi="Tms Rmn" w:cs="Times New Roman"/>
                <w:sz w:val="18"/>
                <w:szCs w:val="18"/>
                <w:lang w:eastAsia="it-IT"/>
              </w:rPr>
              <w:t>2,8%</w:t>
            </w:r>
          </w:p>
        </w:tc>
        <w:tc>
          <w:tcPr>
            <w:tcW w:w="780" w:type="dxa"/>
            <w:tcBorders>
              <w:top w:val="nil"/>
              <w:left w:val="nil"/>
              <w:bottom w:val="single" w:sz="4" w:space="0" w:color="auto"/>
              <w:right w:val="nil"/>
            </w:tcBorders>
            <w:shd w:val="clear" w:color="auto" w:fill="auto"/>
            <w:noWrap/>
            <w:vAlign w:val="bottom"/>
            <w:hideMark/>
          </w:tcPr>
          <w:p w:rsidR="002B14DE" w:rsidRPr="002C5AB0" w:rsidRDefault="002B14DE" w:rsidP="002B14DE">
            <w:pPr>
              <w:spacing w:after="0" w:line="240" w:lineRule="auto"/>
              <w:jc w:val="right"/>
              <w:rPr>
                <w:rFonts w:ascii="Tms Rmn" w:eastAsia="Times New Roman" w:hAnsi="Tms Rmn" w:cs="Times New Roman"/>
                <w:sz w:val="18"/>
                <w:szCs w:val="18"/>
                <w:lang w:eastAsia="it-IT"/>
              </w:rPr>
            </w:pPr>
            <w:r w:rsidRPr="002C5AB0">
              <w:rPr>
                <w:rFonts w:ascii="Tms Rmn" w:eastAsia="Times New Roman" w:hAnsi="Tms Rmn" w:cs="Times New Roman"/>
                <w:sz w:val="18"/>
                <w:szCs w:val="18"/>
                <w:lang w:eastAsia="it-IT"/>
              </w:rPr>
              <w:t>3,5%</w:t>
            </w:r>
          </w:p>
        </w:tc>
        <w:tc>
          <w:tcPr>
            <w:tcW w:w="860" w:type="dxa"/>
            <w:tcBorders>
              <w:top w:val="nil"/>
              <w:left w:val="nil"/>
              <w:bottom w:val="single" w:sz="4" w:space="0" w:color="auto"/>
              <w:right w:val="nil"/>
            </w:tcBorders>
            <w:shd w:val="clear" w:color="auto" w:fill="auto"/>
            <w:noWrap/>
            <w:vAlign w:val="bottom"/>
            <w:hideMark/>
          </w:tcPr>
          <w:p w:rsidR="002B14DE" w:rsidRPr="002C5AB0" w:rsidRDefault="002B14DE" w:rsidP="002B14DE">
            <w:pPr>
              <w:spacing w:after="0" w:line="240" w:lineRule="auto"/>
              <w:jc w:val="right"/>
              <w:rPr>
                <w:rFonts w:ascii="Tms Rmn" w:eastAsia="Times New Roman" w:hAnsi="Tms Rmn" w:cs="Times New Roman"/>
                <w:sz w:val="18"/>
                <w:szCs w:val="18"/>
                <w:lang w:eastAsia="it-IT"/>
              </w:rPr>
            </w:pPr>
            <w:r w:rsidRPr="002C5AB0">
              <w:rPr>
                <w:rFonts w:ascii="Tms Rmn" w:eastAsia="Times New Roman" w:hAnsi="Tms Rmn" w:cs="Times New Roman"/>
                <w:sz w:val="18"/>
                <w:szCs w:val="18"/>
                <w:lang w:eastAsia="it-IT"/>
              </w:rPr>
              <w:t>3,4%</w:t>
            </w:r>
          </w:p>
        </w:tc>
        <w:tc>
          <w:tcPr>
            <w:tcW w:w="860" w:type="dxa"/>
            <w:tcBorders>
              <w:top w:val="nil"/>
              <w:left w:val="nil"/>
              <w:bottom w:val="single" w:sz="4" w:space="0" w:color="auto"/>
              <w:right w:val="nil"/>
            </w:tcBorders>
          </w:tcPr>
          <w:p w:rsidR="002B14DE" w:rsidRPr="002C5AB0" w:rsidRDefault="002B14DE" w:rsidP="002B14DE">
            <w:pPr>
              <w:spacing w:after="0" w:line="240" w:lineRule="auto"/>
              <w:jc w:val="right"/>
              <w:rPr>
                <w:rFonts w:ascii="Tms Rmn" w:eastAsia="Times New Roman" w:hAnsi="Tms Rmn" w:cs="Times New Roman"/>
                <w:sz w:val="18"/>
                <w:szCs w:val="18"/>
                <w:lang w:eastAsia="it-IT"/>
              </w:rPr>
            </w:pPr>
            <w:r>
              <w:rPr>
                <w:rFonts w:ascii="Tms Rmn" w:eastAsia="Times New Roman" w:hAnsi="Tms Rmn" w:cs="Times New Roman"/>
                <w:sz w:val="18"/>
                <w:szCs w:val="18"/>
                <w:lang w:eastAsia="it-IT"/>
              </w:rPr>
              <w:t>2,0%</w:t>
            </w:r>
          </w:p>
        </w:tc>
        <w:tc>
          <w:tcPr>
            <w:tcW w:w="860" w:type="dxa"/>
            <w:tcBorders>
              <w:top w:val="nil"/>
              <w:left w:val="nil"/>
              <w:bottom w:val="single" w:sz="4" w:space="0" w:color="auto"/>
              <w:right w:val="nil"/>
            </w:tcBorders>
          </w:tcPr>
          <w:p w:rsidR="002B14DE" w:rsidRPr="002C5AB0" w:rsidRDefault="002B14DE" w:rsidP="002B14DE">
            <w:pPr>
              <w:spacing w:after="0" w:line="240" w:lineRule="auto"/>
              <w:jc w:val="right"/>
              <w:rPr>
                <w:rFonts w:ascii="Tms Rmn" w:eastAsia="Times New Roman" w:hAnsi="Tms Rmn" w:cs="Times New Roman"/>
                <w:sz w:val="18"/>
                <w:szCs w:val="18"/>
                <w:lang w:eastAsia="it-IT"/>
              </w:rPr>
            </w:pPr>
            <w:r>
              <w:rPr>
                <w:rFonts w:ascii="Tms Rmn" w:eastAsia="Times New Roman" w:hAnsi="Tms Rmn" w:cs="Times New Roman"/>
                <w:sz w:val="18"/>
                <w:szCs w:val="18"/>
                <w:lang w:eastAsia="it-IT"/>
              </w:rPr>
              <w:t>0,7%</w:t>
            </w:r>
          </w:p>
        </w:tc>
      </w:tr>
    </w:tbl>
    <w:p w:rsidR="002B14DE" w:rsidRDefault="002B14DE" w:rsidP="002B14DE"/>
    <w:p w:rsidR="002B14DE" w:rsidRDefault="002B14DE" w:rsidP="002B14DE">
      <w:pPr>
        <w:jc w:val="both"/>
      </w:pPr>
      <w:r>
        <w:t>A parte il fatto che negli ultimi anni anche le componenti straordinarie del bilancio hanno avuto un andamento positivo (e crescente), l’apporto positivo dell’abbassamento degli oneri finanziari netti si è esaurito nel 2014 (quando equivalevano solo al 13% del risultato operativo, e sono poi cresciuti sino al 105% del risultato operativo nel 2016,</w:t>
      </w:r>
    </w:p>
    <w:p w:rsidR="002B14DE" w:rsidRDefault="002B14DE" w:rsidP="002B14DE"/>
    <w:tbl>
      <w:tblPr>
        <w:tblW w:w="7460" w:type="dxa"/>
        <w:tblCellMar>
          <w:left w:w="70" w:type="dxa"/>
          <w:right w:w="70" w:type="dxa"/>
        </w:tblCellMar>
        <w:tblLook w:val="04A0" w:firstRow="1" w:lastRow="0" w:firstColumn="1" w:lastColumn="0" w:noHBand="0" w:noVBand="1"/>
      </w:tblPr>
      <w:tblGrid>
        <w:gridCol w:w="2268"/>
        <w:gridCol w:w="426"/>
        <w:gridCol w:w="226"/>
        <w:gridCol w:w="1180"/>
        <w:gridCol w:w="780"/>
        <w:gridCol w:w="860"/>
        <w:gridCol w:w="860"/>
        <w:gridCol w:w="860"/>
      </w:tblGrid>
      <w:tr w:rsidR="002B14DE" w:rsidRPr="00413D71" w:rsidTr="002B14DE">
        <w:trPr>
          <w:trHeight w:val="240"/>
        </w:trPr>
        <w:tc>
          <w:tcPr>
            <w:tcW w:w="2694" w:type="dxa"/>
            <w:gridSpan w:val="2"/>
            <w:tcBorders>
              <w:top w:val="single" w:sz="4" w:space="0" w:color="auto"/>
              <w:left w:val="nil"/>
              <w:bottom w:val="single" w:sz="4" w:space="0" w:color="auto"/>
              <w:right w:val="nil"/>
            </w:tcBorders>
            <w:shd w:val="clear" w:color="auto" w:fill="auto"/>
            <w:noWrap/>
            <w:vAlign w:val="bottom"/>
          </w:tcPr>
          <w:p w:rsidR="002B14DE" w:rsidRPr="00413D71" w:rsidRDefault="002B14DE" w:rsidP="002B14DE">
            <w:pPr>
              <w:spacing w:after="0" w:line="240" w:lineRule="auto"/>
              <w:rPr>
                <w:rFonts w:ascii="Tms Rmn" w:eastAsia="Times New Roman" w:hAnsi="Tms Rmn" w:cs="Times New Roman"/>
                <w:sz w:val="18"/>
                <w:szCs w:val="18"/>
                <w:lang w:eastAsia="it-IT"/>
              </w:rPr>
            </w:pPr>
            <w:r>
              <w:rPr>
                <w:rFonts w:ascii="Tms Rmn" w:eastAsia="Times New Roman" w:hAnsi="Tms Rmn" w:cs="Times New Roman"/>
                <w:sz w:val="18"/>
                <w:szCs w:val="18"/>
                <w:lang w:eastAsia="it-IT"/>
              </w:rPr>
              <w:t>% su risultato operativo</w:t>
            </w:r>
          </w:p>
        </w:tc>
        <w:tc>
          <w:tcPr>
            <w:tcW w:w="226" w:type="dxa"/>
            <w:tcBorders>
              <w:top w:val="single" w:sz="4" w:space="0" w:color="auto"/>
              <w:left w:val="nil"/>
              <w:bottom w:val="single" w:sz="4" w:space="0" w:color="auto"/>
              <w:right w:val="nil"/>
            </w:tcBorders>
            <w:shd w:val="clear" w:color="auto" w:fill="auto"/>
            <w:noWrap/>
            <w:vAlign w:val="bottom"/>
          </w:tcPr>
          <w:p w:rsidR="002B14DE" w:rsidRPr="00413D71" w:rsidRDefault="002B14DE" w:rsidP="002B14DE">
            <w:pPr>
              <w:spacing w:after="0" w:line="240" w:lineRule="auto"/>
              <w:rPr>
                <w:rFonts w:ascii="Tms Rmn" w:eastAsia="Times New Roman" w:hAnsi="Tms Rmn" w:cs="Times New Roman"/>
                <w:sz w:val="18"/>
                <w:szCs w:val="18"/>
                <w:lang w:eastAsia="it-IT"/>
              </w:rPr>
            </w:pPr>
          </w:p>
        </w:tc>
        <w:tc>
          <w:tcPr>
            <w:tcW w:w="1180" w:type="dxa"/>
            <w:tcBorders>
              <w:top w:val="single" w:sz="4" w:space="0" w:color="auto"/>
              <w:left w:val="nil"/>
              <w:bottom w:val="single" w:sz="4" w:space="0" w:color="auto"/>
              <w:right w:val="nil"/>
            </w:tcBorders>
            <w:shd w:val="clear" w:color="auto" w:fill="auto"/>
            <w:noWrap/>
            <w:vAlign w:val="bottom"/>
          </w:tcPr>
          <w:p w:rsidR="002B14DE" w:rsidRPr="00413D71" w:rsidRDefault="002B14DE" w:rsidP="002B14DE">
            <w:pPr>
              <w:spacing w:after="0" w:line="240" w:lineRule="auto"/>
              <w:jc w:val="right"/>
              <w:rPr>
                <w:rFonts w:ascii="Tms Rmn" w:eastAsia="Times New Roman" w:hAnsi="Tms Rmn" w:cs="Times New Roman"/>
                <w:sz w:val="18"/>
                <w:szCs w:val="18"/>
                <w:lang w:eastAsia="it-IT"/>
              </w:rPr>
            </w:pPr>
            <w:r>
              <w:rPr>
                <w:rFonts w:ascii="Tms Rmn" w:eastAsia="Times New Roman" w:hAnsi="Tms Rmn" w:cs="Times New Roman"/>
                <w:sz w:val="18"/>
                <w:szCs w:val="18"/>
                <w:lang w:eastAsia="it-IT"/>
              </w:rPr>
              <w:t>2012</w:t>
            </w:r>
          </w:p>
        </w:tc>
        <w:tc>
          <w:tcPr>
            <w:tcW w:w="780" w:type="dxa"/>
            <w:tcBorders>
              <w:top w:val="single" w:sz="4" w:space="0" w:color="auto"/>
              <w:left w:val="nil"/>
              <w:bottom w:val="single" w:sz="4" w:space="0" w:color="auto"/>
              <w:right w:val="nil"/>
            </w:tcBorders>
            <w:shd w:val="clear" w:color="auto" w:fill="auto"/>
            <w:noWrap/>
            <w:vAlign w:val="bottom"/>
          </w:tcPr>
          <w:p w:rsidR="002B14DE" w:rsidRPr="00413D71" w:rsidRDefault="002B14DE" w:rsidP="002B14DE">
            <w:pPr>
              <w:spacing w:after="0" w:line="240" w:lineRule="auto"/>
              <w:jc w:val="right"/>
              <w:rPr>
                <w:rFonts w:ascii="Tms Rmn" w:eastAsia="Times New Roman" w:hAnsi="Tms Rmn" w:cs="Times New Roman"/>
                <w:sz w:val="18"/>
                <w:szCs w:val="18"/>
                <w:lang w:eastAsia="it-IT"/>
              </w:rPr>
            </w:pPr>
            <w:r>
              <w:rPr>
                <w:rFonts w:ascii="Tms Rmn" w:eastAsia="Times New Roman" w:hAnsi="Tms Rmn" w:cs="Times New Roman"/>
                <w:sz w:val="18"/>
                <w:szCs w:val="18"/>
                <w:lang w:eastAsia="it-IT"/>
              </w:rPr>
              <w:t>2013</w:t>
            </w:r>
          </w:p>
        </w:tc>
        <w:tc>
          <w:tcPr>
            <w:tcW w:w="860" w:type="dxa"/>
            <w:tcBorders>
              <w:top w:val="single" w:sz="4" w:space="0" w:color="auto"/>
              <w:left w:val="nil"/>
              <w:bottom w:val="single" w:sz="4" w:space="0" w:color="auto"/>
              <w:right w:val="nil"/>
            </w:tcBorders>
            <w:shd w:val="clear" w:color="auto" w:fill="auto"/>
            <w:noWrap/>
            <w:vAlign w:val="bottom"/>
          </w:tcPr>
          <w:p w:rsidR="002B14DE" w:rsidRPr="00413D71" w:rsidRDefault="002B14DE" w:rsidP="002B14DE">
            <w:pPr>
              <w:spacing w:after="0" w:line="240" w:lineRule="auto"/>
              <w:jc w:val="right"/>
              <w:rPr>
                <w:rFonts w:ascii="Tms Rmn" w:eastAsia="Times New Roman" w:hAnsi="Tms Rmn" w:cs="Times New Roman"/>
                <w:sz w:val="18"/>
                <w:szCs w:val="18"/>
                <w:lang w:eastAsia="it-IT"/>
              </w:rPr>
            </w:pPr>
            <w:r>
              <w:rPr>
                <w:rFonts w:ascii="Tms Rmn" w:eastAsia="Times New Roman" w:hAnsi="Tms Rmn" w:cs="Times New Roman"/>
                <w:sz w:val="18"/>
                <w:szCs w:val="18"/>
                <w:lang w:eastAsia="it-IT"/>
              </w:rPr>
              <w:t>2014</w:t>
            </w:r>
          </w:p>
        </w:tc>
        <w:tc>
          <w:tcPr>
            <w:tcW w:w="860" w:type="dxa"/>
            <w:tcBorders>
              <w:top w:val="single" w:sz="4" w:space="0" w:color="auto"/>
              <w:left w:val="nil"/>
              <w:bottom w:val="single" w:sz="4" w:space="0" w:color="auto"/>
              <w:right w:val="nil"/>
            </w:tcBorders>
          </w:tcPr>
          <w:p w:rsidR="002B14DE" w:rsidRDefault="002B14DE" w:rsidP="002B14DE">
            <w:pPr>
              <w:spacing w:after="0" w:line="240" w:lineRule="auto"/>
              <w:jc w:val="right"/>
              <w:rPr>
                <w:rFonts w:ascii="Tms Rmn" w:eastAsia="Times New Roman" w:hAnsi="Tms Rmn" w:cs="Times New Roman"/>
                <w:sz w:val="18"/>
                <w:szCs w:val="18"/>
                <w:lang w:eastAsia="it-IT"/>
              </w:rPr>
            </w:pPr>
            <w:r>
              <w:rPr>
                <w:rFonts w:ascii="Tms Rmn" w:eastAsia="Times New Roman" w:hAnsi="Tms Rmn" w:cs="Times New Roman"/>
                <w:sz w:val="18"/>
                <w:szCs w:val="18"/>
                <w:lang w:eastAsia="it-IT"/>
              </w:rPr>
              <w:t>2015</w:t>
            </w:r>
          </w:p>
        </w:tc>
        <w:tc>
          <w:tcPr>
            <w:tcW w:w="860" w:type="dxa"/>
            <w:tcBorders>
              <w:top w:val="single" w:sz="4" w:space="0" w:color="auto"/>
              <w:left w:val="nil"/>
              <w:bottom w:val="single" w:sz="4" w:space="0" w:color="auto"/>
              <w:right w:val="nil"/>
            </w:tcBorders>
          </w:tcPr>
          <w:p w:rsidR="002B14DE" w:rsidRDefault="002B14DE" w:rsidP="002B14DE">
            <w:pPr>
              <w:spacing w:after="0" w:line="240" w:lineRule="auto"/>
              <w:jc w:val="right"/>
              <w:rPr>
                <w:rFonts w:ascii="Tms Rmn" w:eastAsia="Times New Roman" w:hAnsi="Tms Rmn" w:cs="Times New Roman"/>
                <w:sz w:val="18"/>
                <w:szCs w:val="18"/>
                <w:lang w:eastAsia="it-IT"/>
              </w:rPr>
            </w:pPr>
            <w:r>
              <w:rPr>
                <w:rFonts w:ascii="Tms Rmn" w:eastAsia="Times New Roman" w:hAnsi="Tms Rmn" w:cs="Times New Roman"/>
                <w:sz w:val="18"/>
                <w:szCs w:val="18"/>
                <w:lang w:eastAsia="it-IT"/>
              </w:rPr>
              <w:t>2016</w:t>
            </w:r>
          </w:p>
        </w:tc>
      </w:tr>
      <w:tr w:rsidR="002B14DE" w:rsidRPr="001D3ABA" w:rsidTr="002B14DE">
        <w:trPr>
          <w:trHeight w:val="240"/>
        </w:trPr>
        <w:tc>
          <w:tcPr>
            <w:tcW w:w="2268" w:type="dxa"/>
            <w:tcBorders>
              <w:top w:val="single" w:sz="4" w:space="0" w:color="auto"/>
              <w:left w:val="nil"/>
              <w:bottom w:val="nil"/>
              <w:right w:val="nil"/>
            </w:tcBorders>
            <w:shd w:val="clear" w:color="auto" w:fill="auto"/>
            <w:noWrap/>
            <w:vAlign w:val="bottom"/>
            <w:hideMark/>
          </w:tcPr>
          <w:p w:rsidR="002B14DE" w:rsidRPr="001D3ABA" w:rsidRDefault="002B14DE" w:rsidP="002B14DE">
            <w:pPr>
              <w:spacing w:after="0" w:line="240" w:lineRule="auto"/>
              <w:rPr>
                <w:rFonts w:ascii="Tms Rmn" w:eastAsia="Times New Roman" w:hAnsi="Tms Rmn" w:cs="Times New Roman"/>
                <w:sz w:val="18"/>
                <w:szCs w:val="18"/>
                <w:lang w:eastAsia="it-IT"/>
              </w:rPr>
            </w:pPr>
            <w:r>
              <w:rPr>
                <w:rFonts w:ascii="Tms Rmn" w:eastAsia="Times New Roman" w:hAnsi="Tms Rmn" w:cs="Times New Roman"/>
                <w:sz w:val="18"/>
                <w:szCs w:val="18"/>
                <w:lang w:eastAsia="it-IT"/>
              </w:rPr>
              <w:t>Risultato</w:t>
            </w:r>
            <w:r w:rsidRPr="001D3ABA">
              <w:rPr>
                <w:rFonts w:ascii="Tms Rmn" w:eastAsia="Times New Roman" w:hAnsi="Tms Rmn" w:cs="Times New Roman"/>
                <w:sz w:val="18"/>
                <w:szCs w:val="18"/>
                <w:lang w:eastAsia="it-IT"/>
              </w:rPr>
              <w:t xml:space="preserve"> </w:t>
            </w:r>
            <w:proofErr w:type="spellStart"/>
            <w:proofErr w:type="gramStart"/>
            <w:r w:rsidRPr="001D3ABA">
              <w:rPr>
                <w:rFonts w:ascii="Tms Rmn" w:eastAsia="Times New Roman" w:hAnsi="Tms Rmn" w:cs="Times New Roman"/>
                <w:sz w:val="18"/>
                <w:szCs w:val="18"/>
                <w:lang w:eastAsia="it-IT"/>
              </w:rPr>
              <w:t>straord</w:t>
            </w:r>
            <w:proofErr w:type="spellEnd"/>
            <w:r w:rsidRPr="001D3ABA">
              <w:rPr>
                <w:rFonts w:ascii="Tms Rmn" w:eastAsia="Times New Roman" w:hAnsi="Tms Rmn" w:cs="Times New Roman"/>
                <w:sz w:val="18"/>
                <w:szCs w:val="18"/>
                <w:lang w:eastAsia="it-IT"/>
              </w:rPr>
              <w:t>./</w:t>
            </w:r>
            <w:proofErr w:type="spellStart"/>
            <w:proofErr w:type="gramEnd"/>
            <w:r w:rsidRPr="001D3ABA">
              <w:rPr>
                <w:rFonts w:ascii="Tms Rmn" w:eastAsia="Times New Roman" w:hAnsi="Tms Rmn" w:cs="Times New Roman"/>
                <w:sz w:val="18"/>
                <w:szCs w:val="18"/>
                <w:lang w:eastAsia="it-IT"/>
              </w:rPr>
              <w:t>Ris.Op</w:t>
            </w:r>
            <w:proofErr w:type="spellEnd"/>
            <w:r w:rsidRPr="001D3ABA">
              <w:rPr>
                <w:rFonts w:ascii="Tms Rmn" w:eastAsia="Times New Roman" w:hAnsi="Tms Rmn" w:cs="Times New Roman"/>
                <w:sz w:val="18"/>
                <w:szCs w:val="18"/>
                <w:lang w:eastAsia="it-IT"/>
              </w:rPr>
              <w:t>.</w:t>
            </w:r>
          </w:p>
        </w:tc>
        <w:tc>
          <w:tcPr>
            <w:tcW w:w="652" w:type="dxa"/>
            <w:gridSpan w:val="2"/>
            <w:tcBorders>
              <w:top w:val="single" w:sz="4" w:space="0" w:color="auto"/>
              <w:left w:val="nil"/>
              <w:bottom w:val="nil"/>
              <w:right w:val="nil"/>
            </w:tcBorders>
            <w:shd w:val="clear" w:color="auto" w:fill="auto"/>
            <w:noWrap/>
            <w:vAlign w:val="bottom"/>
            <w:hideMark/>
          </w:tcPr>
          <w:p w:rsidR="002B14DE" w:rsidRPr="001D3ABA" w:rsidRDefault="002B14DE" w:rsidP="002B14DE">
            <w:pPr>
              <w:spacing w:after="0" w:line="240" w:lineRule="auto"/>
              <w:rPr>
                <w:rFonts w:ascii="Tms Rmn" w:eastAsia="Times New Roman" w:hAnsi="Tms Rmn" w:cs="Times New Roman"/>
                <w:sz w:val="18"/>
                <w:szCs w:val="18"/>
                <w:lang w:eastAsia="it-IT"/>
              </w:rPr>
            </w:pPr>
          </w:p>
        </w:tc>
        <w:tc>
          <w:tcPr>
            <w:tcW w:w="1180" w:type="dxa"/>
            <w:tcBorders>
              <w:top w:val="single" w:sz="4" w:space="0" w:color="auto"/>
              <w:left w:val="nil"/>
              <w:bottom w:val="nil"/>
              <w:right w:val="nil"/>
            </w:tcBorders>
            <w:shd w:val="clear" w:color="auto" w:fill="auto"/>
            <w:noWrap/>
            <w:vAlign w:val="bottom"/>
            <w:hideMark/>
          </w:tcPr>
          <w:p w:rsidR="002B14DE" w:rsidRPr="001D3ABA" w:rsidRDefault="002B14DE" w:rsidP="002B14DE">
            <w:pPr>
              <w:spacing w:after="0" w:line="240" w:lineRule="auto"/>
              <w:jc w:val="right"/>
              <w:rPr>
                <w:rFonts w:ascii="Tms Rmn" w:eastAsia="Times New Roman" w:hAnsi="Tms Rmn" w:cs="Times New Roman"/>
                <w:sz w:val="18"/>
                <w:szCs w:val="18"/>
                <w:lang w:eastAsia="it-IT"/>
              </w:rPr>
            </w:pPr>
            <w:r w:rsidRPr="001D3ABA">
              <w:rPr>
                <w:rFonts w:ascii="Tms Rmn" w:eastAsia="Times New Roman" w:hAnsi="Tms Rmn" w:cs="Times New Roman"/>
                <w:sz w:val="18"/>
                <w:szCs w:val="18"/>
                <w:lang w:eastAsia="it-IT"/>
              </w:rPr>
              <w:t>20,5%</w:t>
            </w:r>
          </w:p>
        </w:tc>
        <w:tc>
          <w:tcPr>
            <w:tcW w:w="780" w:type="dxa"/>
            <w:tcBorders>
              <w:top w:val="single" w:sz="4" w:space="0" w:color="auto"/>
              <w:left w:val="nil"/>
              <w:bottom w:val="nil"/>
              <w:right w:val="nil"/>
            </w:tcBorders>
            <w:shd w:val="clear" w:color="auto" w:fill="auto"/>
            <w:noWrap/>
            <w:vAlign w:val="bottom"/>
            <w:hideMark/>
          </w:tcPr>
          <w:p w:rsidR="002B14DE" w:rsidRPr="001D3ABA" w:rsidRDefault="002B14DE" w:rsidP="002B14DE">
            <w:pPr>
              <w:spacing w:after="0" w:line="240" w:lineRule="auto"/>
              <w:jc w:val="right"/>
              <w:rPr>
                <w:rFonts w:ascii="Tms Rmn" w:eastAsia="Times New Roman" w:hAnsi="Tms Rmn" w:cs="Times New Roman"/>
                <w:sz w:val="18"/>
                <w:szCs w:val="18"/>
                <w:lang w:eastAsia="it-IT"/>
              </w:rPr>
            </w:pPr>
            <w:r w:rsidRPr="001D3ABA">
              <w:rPr>
                <w:rFonts w:ascii="Tms Rmn" w:eastAsia="Times New Roman" w:hAnsi="Tms Rmn" w:cs="Times New Roman"/>
                <w:sz w:val="18"/>
                <w:szCs w:val="18"/>
                <w:lang w:eastAsia="it-IT"/>
              </w:rPr>
              <w:t>27,4%</w:t>
            </w:r>
          </w:p>
        </w:tc>
        <w:tc>
          <w:tcPr>
            <w:tcW w:w="860" w:type="dxa"/>
            <w:tcBorders>
              <w:top w:val="single" w:sz="4" w:space="0" w:color="auto"/>
              <w:left w:val="nil"/>
              <w:bottom w:val="nil"/>
              <w:right w:val="nil"/>
            </w:tcBorders>
            <w:shd w:val="clear" w:color="auto" w:fill="auto"/>
            <w:noWrap/>
            <w:vAlign w:val="bottom"/>
            <w:hideMark/>
          </w:tcPr>
          <w:p w:rsidR="002B14DE" w:rsidRPr="001D3ABA" w:rsidRDefault="002B14DE" w:rsidP="002B14DE">
            <w:pPr>
              <w:spacing w:after="0" w:line="240" w:lineRule="auto"/>
              <w:jc w:val="right"/>
              <w:rPr>
                <w:rFonts w:ascii="Tms Rmn" w:eastAsia="Times New Roman" w:hAnsi="Tms Rmn" w:cs="Times New Roman"/>
                <w:sz w:val="18"/>
                <w:szCs w:val="18"/>
                <w:lang w:eastAsia="it-IT"/>
              </w:rPr>
            </w:pPr>
            <w:r w:rsidRPr="001D3ABA">
              <w:rPr>
                <w:rFonts w:ascii="Tms Rmn" w:eastAsia="Times New Roman" w:hAnsi="Tms Rmn" w:cs="Times New Roman"/>
                <w:sz w:val="18"/>
                <w:szCs w:val="18"/>
                <w:lang w:eastAsia="it-IT"/>
              </w:rPr>
              <w:t>12,7%</w:t>
            </w:r>
          </w:p>
        </w:tc>
        <w:tc>
          <w:tcPr>
            <w:tcW w:w="860" w:type="dxa"/>
            <w:tcBorders>
              <w:top w:val="single" w:sz="4" w:space="0" w:color="auto"/>
              <w:left w:val="nil"/>
              <w:bottom w:val="nil"/>
              <w:right w:val="nil"/>
            </w:tcBorders>
          </w:tcPr>
          <w:p w:rsidR="002B14DE" w:rsidRPr="001D3ABA" w:rsidRDefault="002B14DE" w:rsidP="002B14DE">
            <w:pPr>
              <w:spacing w:after="0" w:line="240" w:lineRule="auto"/>
              <w:jc w:val="right"/>
              <w:rPr>
                <w:rFonts w:ascii="Tms Rmn" w:eastAsia="Times New Roman" w:hAnsi="Tms Rmn" w:cs="Times New Roman"/>
                <w:sz w:val="18"/>
                <w:szCs w:val="18"/>
                <w:lang w:eastAsia="it-IT"/>
              </w:rPr>
            </w:pPr>
            <w:r>
              <w:rPr>
                <w:rFonts w:ascii="Tms Rmn" w:eastAsia="Times New Roman" w:hAnsi="Tms Rmn" w:cs="Times New Roman"/>
                <w:sz w:val="18"/>
                <w:szCs w:val="18"/>
                <w:lang w:eastAsia="it-IT"/>
              </w:rPr>
              <w:t>81,4%</w:t>
            </w:r>
          </w:p>
        </w:tc>
        <w:tc>
          <w:tcPr>
            <w:tcW w:w="860" w:type="dxa"/>
            <w:tcBorders>
              <w:top w:val="single" w:sz="4" w:space="0" w:color="auto"/>
              <w:left w:val="nil"/>
              <w:bottom w:val="nil"/>
              <w:right w:val="nil"/>
            </w:tcBorders>
          </w:tcPr>
          <w:p w:rsidR="002B14DE" w:rsidRPr="001D3ABA" w:rsidRDefault="002B14DE" w:rsidP="002B14DE">
            <w:pPr>
              <w:spacing w:after="0" w:line="240" w:lineRule="auto"/>
              <w:jc w:val="right"/>
              <w:rPr>
                <w:rFonts w:ascii="Tms Rmn" w:eastAsia="Times New Roman" w:hAnsi="Tms Rmn" w:cs="Times New Roman"/>
                <w:sz w:val="18"/>
                <w:szCs w:val="18"/>
                <w:lang w:eastAsia="it-IT"/>
              </w:rPr>
            </w:pPr>
            <w:r>
              <w:rPr>
                <w:rFonts w:ascii="Tms Rmn" w:eastAsia="Times New Roman" w:hAnsi="Tms Rmn" w:cs="Times New Roman"/>
                <w:sz w:val="18"/>
                <w:szCs w:val="18"/>
                <w:lang w:eastAsia="it-IT"/>
              </w:rPr>
              <w:t>361,1%</w:t>
            </w:r>
          </w:p>
        </w:tc>
      </w:tr>
      <w:tr w:rsidR="002B14DE" w:rsidRPr="001D3ABA" w:rsidTr="002B14DE">
        <w:trPr>
          <w:trHeight w:val="240"/>
        </w:trPr>
        <w:tc>
          <w:tcPr>
            <w:tcW w:w="2268" w:type="dxa"/>
            <w:tcBorders>
              <w:top w:val="nil"/>
              <w:left w:val="nil"/>
              <w:right w:val="nil"/>
            </w:tcBorders>
            <w:shd w:val="clear" w:color="auto" w:fill="auto"/>
            <w:noWrap/>
            <w:vAlign w:val="bottom"/>
            <w:hideMark/>
          </w:tcPr>
          <w:p w:rsidR="002B14DE" w:rsidRPr="001D3ABA" w:rsidRDefault="002B14DE" w:rsidP="002B14DE">
            <w:pPr>
              <w:spacing w:after="0" w:line="240" w:lineRule="auto"/>
              <w:rPr>
                <w:rFonts w:ascii="Tms Rmn" w:eastAsia="Times New Roman" w:hAnsi="Tms Rmn" w:cs="Times New Roman"/>
                <w:sz w:val="18"/>
                <w:szCs w:val="18"/>
                <w:lang w:eastAsia="it-IT"/>
              </w:rPr>
            </w:pPr>
            <w:proofErr w:type="spellStart"/>
            <w:r w:rsidRPr="001D3ABA">
              <w:rPr>
                <w:rFonts w:ascii="Tms Rmn" w:eastAsia="Times New Roman" w:hAnsi="Tms Rmn" w:cs="Times New Roman"/>
                <w:sz w:val="18"/>
                <w:szCs w:val="18"/>
                <w:lang w:eastAsia="it-IT"/>
              </w:rPr>
              <w:t>On.fin.netti</w:t>
            </w:r>
            <w:proofErr w:type="spellEnd"/>
            <w:r w:rsidRPr="001D3ABA">
              <w:rPr>
                <w:rFonts w:ascii="Tms Rmn" w:eastAsia="Times New Roman" w:hAnsi="Tms Rmn" w:cs="Times New Roman"/>
                <w:sz w:val="18"/>
                <w:szCs w:val="18"/>
                <w:lang w:eastAsia="it-IT"/>
              </w:rPr>
              <w:t>/</w:t>
            </w:r>
            <w:proofErr w:type="spellStart"/>
            <w:r w:rsidRPr="001D3ABA">
              <w:rPr>
                <w:rFonts w:ascii="Tms Rmn" w:eastAsia="Times New Roman" w:hAnsi="Tms Rmn" w:cs="Times New Roman"/>
                <w:sz w:val="18"/>
                <w:szCs w:val="18"/>
                <w:lang w:eastAsia="it-IT"/>
              </w:rPr>
              <w:t>Ris.Op</w:t>
            </w:r>
            <w:proofErr w:type="spellEnd"/>
            <w:r w:rsidRPr="001D3ABA">
              <w:rPr>
                <w:rFonts w:ascii="Tms Rmn" w:eastAsia="Times New Roman" w:hAnsi="Tms Rmn" w:cs="Times New Roman"/>
                <w:sz w:val="18"/>
                <w:szCs w:val="18"/>
                <w:lang w:eastAsia="it-IT"/>
              </w:rPr>
              <w:t>.</w:t>
            </w:r>
          </w:p>
        </w:tc>
        <w:tc>
          <w:tcPr>
            <w:tcW w:w="652" w:type="dxa"/>
            <w:gridSpan w:val="2"/>
            <w:tcBorders>
              <w:top w:val="nil"/>
              <w:left w:val="nil"/>
              <w:right w:val="nil"/>
            </w:tcBorders>
            <w:shd w:val="clear" w:color="auto" w:fill="auto"/>
            <w:noWrap/>
            <w:vAlign w:val="bottom"/>
            <w:hideMark/>
          </w:tcPr>
          <w:p w:rsidR="002B14DE" w:rsidRPr="001D3ABA" w:rsidRDefault="002B14DE" w:rsidP="002B14DE">
            <w:pPr>
              <w:spacing w:after="0" w:line="240" w:lineRule="auto"/>
              <w:rPr>
                <w:rFonts w:ascii="Tms Rmn" w:eastAsia="Times New Roman" w:hAnsi="Tms Rmn" w:cs="Times New Roman"/>
                <w:sz w:val="18"/>
                <w:szCs w:val="18"/>
                <w:lang w:eastAsia="it-IT"/>
              </w:rPr>
            </w:pPr>
          </w:p>
        </w:tc>
        <w:tc>
          <w:tcPr>
            <w:tcW w:w="1180" w:type="dxa"/>
            <w:tcBorders>
              <w:top w:val="nil"/>
              <w:left w:val="nil"/>
              <w:right w:val="nil"/>
            </w:tcBorders>
            <w:shd w:val="clear" w:color="auto" w:fill="auto"/>
            <w:noWrap/>
            <w:vAlign w:val="bottom"/>
            <w:hideMark/>
          </w:tcPr>
          <w:p w:rsidR="002B14DE" w:rsidRPr="001D3ABA" w:rsidRDefault="002B14DE" w:rsidP="002B14DE">
            <w:pPr>
              <w:spacing w:after="0" w:line="240" w:lineRule="auto"/>
              <w:jc w:val="right"/>
              <w:rPr>
                <w:rFonts w:ascii="Tms Rmn" w:eastAsia="Times New Roman" w:hAnsi="Tms Rmn" w:cs="Times New Roman"/>
                <w:sz w:val="18"/>
                <w:szCs w:val="18"/>
                <w:lang w:eastAsia="it-IT"/>
              </w:rPr>
            </w:pPr>
            <w:r w:rsidRPr="001D3ABA">
              <w:rPr>
                <w:rFonts w:ascii="Tms Rmn" w:eastAsia="Times New Roman" w:hAnsi="Tms Rmn" w:cs="Times New Roman"/>
                <w:sz w:val="18"/>
                <w:szCs w:val="18"/>
                <w:lang w:eastAsia="it-IT"/>
              </w:rPr>
              <w:t>47,6%</w:t>
            </w:r>
          </w:p>
        </w:tc>
        <w:tc>
          <w:tcPr>
            <w:tcW w:w="780" w:type="dxa"/>
            <w:tcBorders>
              <w:top w:val="nil"/>
              <w:left w:val="nil"/>
              <w:right w:val="nil"/>
            </w:tcBorders>
            <w:shd w:val="clear" w:color="auto" w:fill="auto"/>
            <w:noWrap/>
            <w:vAlign w:val="bottom"/>
            <w:hideMark/>
          </w:tcPr>
          <w:p w:rsidR="002B14DE" w:rsidRPr="001D3ABA" w:rsidRDefault="002B14DE" w:rsidP="002B14DE">
            <w:pPr>
              <w:spacing w:after="0" w:line="240" w:lineRule="auto"/>
              <w:jc w:val="right"/>
              <w:rPr>
                <w:rFonts w:ascii="Tms Rmn" w:eastAsia="Times New Roman" w:hAnsi="Tms Rmn" w:cs="Times New Roman"/>
                <w:sz w:val="18"/>
                <w:szCs w:val="18"/>
                <w:lang w:eastAsia="it-IT"/>
              </w:rPr>
            </w:pPr>
            <w:r w:rsidRPr="001D3ABA">
              <w:rPr>
                <w:rFonts w:ascii="Tms Rmn" w:eastAsia="Times New Roman" w:hAnsi="Tms Rmn" w:cs="Times New Roman"/>
                <w:sz w:val="18"/>
                <w:szCs w:val="18"/>
                <w:lang w:eastAsia="it-IT"/>
              </w:rPr>
              <w:t>30,3%</w:t>
            </w:r>
          </w:p>
        </w:tc>
        <w:tc>
          <w:tcPr>
            <w:tcW w:w="860" w:type="dxa"/>
            <w:tcBorders>
              <w:top w:val="nil"/>
              <w:left w:val="nil"/>
              <w:right w:val="nil"/>
            </w:tcBorders>
            <w:shd w:val="clear" w:color="auto" w:fill="auto"/>
            <w:noWrap/>
            <w:vAlign w:val="bottom"/>
            <w:hideMark/>
          </w:tcPr>
          <w:p w:rsidR="002B14DE" w:rsidRPr="001D3ABA" w:rsidRDefault="002B14DE" w:rsidP="002B14DE">
            <w:pPr>
              <w:spacing w:after="0" w:line="240" w:lineRule="auto"/>
              <w:jc w:val="right"/>
              <w:rPr>
                <w:rFonts w:ascii="Tms Rmn" w:eastAsia="Times New Roman" w:hAnsi="Tms Rmn" w:cs="Times New Roman"/>
                <w:sz w:val="18"/>
                <w:szCs w:val="18"/>
                <w:lang w:eastAsia="it-IT"/>
              </w:rPr>
            </w:pPr>
            <w:r w:rsidRPr="001D3ABA">
              <w:rPr>
                <w:rFonts w:ascii="Tms Rmn" w:eastAsia="Times New Roman" w:hAnsi="Tms Rmn" w:cs="Times New Roman"/>
                <w:sz w:val="18"/>
                <w:szCs w:val="18"/>
                <w:lang w:eastAsia="it-IT"/>
              </w:rPr>
              <w:t>13,4%</w:t>
            </w:r>
          </w:p>
        </w:tc>
        <w:tc>
          <w:tcPr>
            <w:tcW w:w="860" w:type="dxa"/>
            <w:tcBorders>
              <w:top w:val="nil"/>
              <w:left w:val="nil"/>
              <w:right w:val="nil"/>
            </w:tcBorders>
          </w:tcPr>
          <w:p w:rsidR="002B14DE" w:rsidRPr="001D3ABA" w:rsidRDefault="002B14DE" w:rsidP="002B14DE">
            <w:pPr>
              <w:spacing w:after="0" w:line="240" w:lineRule="auto"/>
              <w:jc w:val="right"/>
              <w:rPr>
                <w:rFonts w:ascii="Tms Rmn" w:eastAsia="Times New Roman" w:hAnsi="Tms Rmn" w:cs="Times New Roman"/>
                <w:sz w:val="18"/>
                <w:szCs w:val="18"/>
                <w:lang w:eastAsia="it-IT"/>
              </w:rPr>
            </w:pPr>
            <w:r>
              <w:rPr>
                <w:rFonts w:ascii="Tms Rmn" w:eastAsia="Times New Roman" w:hAnsi="Tms Rmn" w:cs="Times New Roman"/>
                <w:sz w:val="18"/>
                <w:szCs w:val="18"/>
                <w:lang w:eastAsia="it-IT"/>
              </w:rPr>
              <w:t>34,8%</w:t>
            </w:r>
          </w:p>
        </w:tc>
        <w:tc>
          <w:tcPr>
            <w:tcW w:w="860" w:type="dxa"/>
            <w:tcBorders>
              <w:top w:val="nil"/>
              <w:left w:val="nil"/>
              <w:right w:val="nil"/>
            </w:tcBorders>
          </w:tcPr>
          <w:p w:rsidR="002B14DE" w:rsidRPr="001D3ABA" w:rsidRDefault="002B14DE" w:rsidP="002B14DE">
            <w:pPr>
              <w:spacing w:after="0" w:line="240" w:lineRule="auto"/>
              <w:jc w:val="right"/>
              <w:rPr>
                <w:rFonts w:ascii="Tms Rmn" w:eastAsia="Times New Roman" w:hAnsi="Tms Rmn" w:cs="Times New Roman"/>
                <w:sz w:val="18"/>
                <w:szCs w:val="18"/>
                <w:lang w:eastAsia="it-IT"/>
              </w:rPr>
            </w:pPr>
            <w:r>
              <w:rPr>
                <w:rFonts w:ascii="Tms Rmn" w:eastAsia="Times New Roman" w:hAnsi="Tms Rmn" w:cs="Times New Roman"/>
                <w:sz w:val="18"/>
                <w:szCs w:val="18"/>
                <w:lang w:eastAsia="it-IT"/>
              </w:rPr>
              <w:t>104,9%</w:t>
            </w:r>
          </w:p>
        </w:tc>
      </w:tr>
      <w:tr w:rsidR="002B14DE" w:rsidRPr="001D3ABA" w:rsidTr="002B14DE">
        <w:trPr>
          <w:trHeight w:val="240"/>
        </w:trPr>
        <w:tc>
          <w:tcPr>
            <w:tcW w:w="2268" w:type="dxa"/>
            <w:tcBorders>
              <w:top w:val="nil"/>
              <w:left w:val="nil"/>
              <w:bottom w:val="single" w:sz="4" w:space="0" w:color="auto"/>
              <w:right w:val="nil"/>
            </w:tcBorders>
            <w:shd w:val="clear" w:color="auto" w:fill="auto"/>
            <w:noWrap/>
            <w:vAlign w:val="bottom"/>
            <w:hideMark/>
          </w:tcPr>
          <w:p w:rsidR="002B14DE" w:rsidRPr="001D3ABA" w:rsidRDefault="002B14DE" w:rsidP="002B14DE">
            <w:pPr>
              <w:spacing w:after="0" w:line="240" w:lineRule="auto"/>
              <w:rPr>
                <w:rFonts w:ascii="Tms Rmn" w:eastAsia="Times New Roman" w:hAnsi="Tms Rmn" w:cs="Times New Roman"/>
                <w:sz w:val="18"/>
                <w:szCs w:val="18"/>
                <w:lang w:eastAsia="it-IT"/>
              </w:rPr>
            </w:pPr>
            <w:r w:rsidRPr="001D3ABA">
              <w:rPr>
                <w:rFonts w:ascii="Tms Rmn" w:eastAsia="Times New Roman" w:hAnsi="Tms Rmn" w:cs="Times New Roman"/>
                <w:sz w:val="18"/>
                <w:szCs w:val="18"/>
                <w:lang w:eastAsia="it-IT"/>
              </w:rPr>
              <w:t>Utile lordo/</w:t>
            </w:r>
            <w:proofErr w:type="spellStart"/>
            <w:r w:rsidRPr="001D3ABA">
              <w:rPr>
                <w:rFonts w:ascii="Tms Rmn" w:eastAsia="Times New Roman" w:hAnsi="Tms Rmn" w:cs="Times New Roman"/>
                <w:sz w:val="18"/>
                <w:szCs w:val="18"/>
                <w:lang w:eastAsia="it-IT"/>
              </w:rPr>
              <w:t>Ris.Op</w:t>
            </w:r>
            <w:proofErr w:type="spellEnd"/>
            <w:r w:rsidRPr="001D3ABA">
              <w:rPr>
                <w:rFonts w:ascii="Tms Rmn" w:eastAsia="Times New Roman" w:hAnsi="Tms Rmn" w:cs="Times New Roman"/>
                <w:sz w:val="18"/>
                <w:szCs w:val="18"/>
                <w:lang w:eastAsia="it-IT"/>
              </w:rPr>
              <w:t>.</w:t>
            </w:r>
          </w:p>
        </w:tc>
        <w:tc>
          <w:tcPr>
            <w:tcW w:w="652" w:type="dxa"/>
            <w:gridSpan w:val="2"/>
            <w:tcBorders>
              <w:top w:val="nil"/>
              <w:left w:val="nil"/>
              <w:bottom w:val="single" w:sz="4" w:space="0" w:color="auto"/>
              <w:right w:val="nil"/>
            </w:tcBorders>
            <w:shd w:val="clear" w:color="auto" w:fill="auto"/>
            <w:noWrap/>
            <w:vAlign w:val="bottom"/>
            <w:hideMark/>
          </w:tcPr>
          <w:p w:rsidR="002B14DE" w:rsidRPr="001D3ABA" w:rsidRDefault="002B14DE" w:rsidP="002B14DE">
            <w:pPr>
              <w:spacing w:after="0" w:line="240" w:lineRule="auto"/>
              <w:rPr>
                <w:rFonts w:ascii="Tms Rmn" w:eastAsia="Times New Roman" w:hAnsi="Tms Rmn" w:cs="Times New Roman"/>
                <w:sz w:val="18"/>
                <w:szCs w:val="18"/>
                <w:lang w:eastAsia="it-IT"/>
              </w:rPr>
            </w:pPr>
          </w:p>
        </w:tc>
        <w:tc>
          <w:tcPr>
            <w:tcW w:w="1180" w:type="dxa"/>
            <w:tcBorders>
              <w:top w:val="nil"/>
              <w:left w:val="nil"/>
              <w:bottom w:val="single" w:sz="4" w:space="0" w:color="auto"/>
              <w:right w:val="nil"/>
            </w:tcBorders>
            <w:shd w:val="clear" w:color="auto" w:fill="auto"/>
            <w:noWrap/>
            <w:vAlign w:val="bottom"/>
            <w:hideMark/>
          </w:tcPr>
          <w:p w:rsidR="002B14DE" w:rsidRPr="001D3ABA" w:rsidRDefault="002B14DE" w:rsidP="002B14DE">
            <w:pPr>
              <w:spacing w:after="0" w:line="240" w:lineRule="auto"/>
              <w:jc w:val="right"/>
              <w:rPr>
                <w:rFonts w:ascii="Tms Rmn" w:eastAsia="Times New Roman" w:hAnsi="Tms Rmn" w:cs="Times New Roman"/>
                <w:sz w:val="18"/>
                <w:szCs w:val="18"/>
                <w:lang w:eastAsia="it-IT"/>
              </w:rPr>
            </w:pPr>
            <w:r w:rsidRPr="001D3ABA">
              <w:rPr>
                <w:rFonts w:ascii="Tms Rmn" w:eastAsia="Times New Roman" w:hAnsi="Tms Rmn" w:cs="Times New Roman"/>
                <w:sz w:val="18"/>
                <w:szCs w:val="18"/>
                <w:lang w:eastAsia="it-IT"/>
              </w:rPr>
              <w:t>72,9%</w:t>
            </w:r>
          </w:p>
        </w:tc>
        <w:tc>
          <w:tcPr>
            <w:tcW w:w="780" w:type="dxa"/>
            <w:tcBorders>
              <w:top w:val="nil"/>
              <w:left w:val="nil"/>
              <w:bottom w:val="single" w:sz="4" w:space="0" w:color="auto"/>
              <w:right w:val="nil"/>
            </w:tcBorders>
            <w:shd w:val="clear" w:color="auto" w:fill="auto"/>
            <w:noWrap/>
            <w:vAlign w:val="bottom"/>
            <w:hideMark/>
          </w:tcPr>
          <w:p w:rsidR="002B14DE" w:rsidRPr="001D3ABA" w:rsidRDefault="002B14DE" w:rsidP="002B14DE">
            <w:pPr>
              <w:spacing w:after="0" w:line="240" w:lineRule="auto"/>
              <w:jc w:val="right"/>
              <w:rPr>
                <w:rFonts w:ascii="Tms Rmn" w:eastAsia="Times New Roman" w:hAnsi="Tms Rmn" w:cs="Times New Roman"/>
                <w:sz w:val="18"/>
                <w:szCs w:val="18"/>
                <w:lang w:eastAsia="it-IT"/>
              </w:rPr>
            </w:pPr>
            <w:r w:rsidRPr="001D3ABA">
              <w:rPr>
                <w:rFonts w:ascii="Tms Rmn" w:eastAsia="Times New Roman" w:hAnsi="Tms Rmn" w:cs="Times New Roman"/>
                <w:sz w:val="18"/>
                <w:szCs w:val="18"/>
                <w:lang w:eastAsia="it-IT"/>
              </w:rPr>
              <w:t>97,1%</w:t>
            </w:r>
          </w:p>
        </w:tc>
        <w:tc>
          <w:tcPr>
            <w:tcW w:w="860" w:type="dxa"/>
            <w:tcBorders>
              <w:top w:val="nil"/>
              <w:left w:val="nil"/>
              <w:bottom w:val="single" w:sz="4" w:space="0" w:color="auto"/>
              <w:right w:val="nil"/>
            </w:tcBorders>
            <w:shd w:val="clear" w:color="auto" w:fill="auto"/>
            <w:noWrap/>
            <w:vAlign w:val="bottom"/>
            <w:hideMark/>
          </w:tcPr>
          <w:p w:rsidR="002B14DE" w:rsidRPr="001D3ABA" w:rsidRDefault="002B14DE" w:rsidP="002B14DE">
            <w:pPr>
              <w:spacing w:after="0" w:line="240" w:lineRule="auto"/>
              <w:jc w:val="right"/>
              <w:rPr>
                <w:rFonts w:ascii="Tms Rmn" w:eastAsia="Times New Roman" w:hAnsi="Tms Rmn" w:cs="Times New Roman"/>
                <w:sz w:val="18"/>
                <w:szCs w:val="18"/>
                <w:lang w:eastAsia="it-IT"/>
              </w:rPr>
            </w:pPr>
            <w:r w:rsidRPr="001D3ABA">
              <w:rPr>
                <w:rFonts w:ascii="Tms Rmn" w:eastAsia="Times New Roman" w:hAnsi="Tms Rmn" w:cs="Times New Roman"/>
                <w:sz w:val="18"/>
                <w:szCs w:val="18"/>
                <w:lang w:eastAsia="it-IT"/>
              </w:rPr>
              <w:t>99,4%</w:t>
            </w:r>
          </w:p>
        </w:tc>
        <w:tc>
          <w:tcPr>
            <w:tcW w:w="860" w:type="dxa"/>
            <w:tcBorders>
              <w:top w:val="nil"/>
              <w:left w:val="nil"/>
              <w:bottom w:val="single" w:sz="4" w:space="0" w:color="auto"/>
              <w:right w:val="nil"/>
            </w:tcBorders>
          </w:tcPr>
          <w:p w:rsidR="002B14DE" w:rsidRPr="001D3ABA" w:rsidRDefault="002B14DE" w:rsidP="002B14DE">
            <w:pPr>
              <w:spacing w:after="0" w:line="240" w:lineRule="auto"/>
              <w:jc w:val="right"/>
              <w:rPr>
                <w:rFonts w:ascii="Tms Rmn" w:eastAsia="Times New Roman" w:hAnsi="Tms Rmn" w:cs="Times New Roman"/>
                <w:sz w:val="18"/>
                <w:szCs w:val="18"/>
                <w:lang w:eastAsia="it-IT"/>
              </w:rPr>
            </w:pPr>
            <w:r>
              <w:rPr>
                <w:rFonts w:ascii="Tms Rmn" w:eastAsia="Times New Roman" w:hAnsi="Tms Rmn" w:cs="Times New Roman"/>
                <w:sz w:val="18"/>
                <w:szCs w:val="18"/>
                <w:lang w:eastAsia="it-IT"/>
              </w:rPr>
              <w:t>146,6%</w:t>
            </w:r>
          </w:p>
        </w:tc>
        <w:tc>
          <w:tcPr>
            <w:tcW w:w="860" w:type="dxa"/>
            <w:tcBorders>
              <w:top w:val="nil"/>
              <w:left w:val="nil"/>
              <w:bottom w:val="single" w:sz="4" w:space="0" w:color="auto"/>
              <w:right w:val="nil"/>
            </w:tcBorders>
          </w:tcPr>
          <w:p w:rsidR="002B14DE" w:rsidRPr="001D3ABA" w:rsidRDefault="002B14DE" w:rsidP="002B14DE">
            <w:pPr>
              <w:spacing w:after="0" w:line="240" w:lineRule="auto"/>
              <w:jc w:val="right"/>
              <w:rPr>
                <w:rFonts w:ascii="Tms Rmn" w:eastAsia="Times New Roman" w:hAnsi="Tms Rmn" w:cs="Times New Roman"/>
                <w:sz w:val="18"/>
                <w:szCs w:val="18"/>
                <w:lang w:eastAsia="it-IT"/>
              </w:rPr>
            </w:pPr>
            <w:r>
              <w:rPr>
                <w:rFonts w:ascii="Tms Rmn" w:eastAsia="Times New Roman" w:hAnsi="Tms Rmn" w:cs="Times New Roman"/>
                <w:sz w:val="18"/>
                <w:szCs w:val="18"/>
                <w:lang w:eastAsia="it-IT"/>
              </w:rPr>
              <w:t>356,2%</w:t>
            </w:r>
          </w:p>
        </w:tc>
      </w:tr>
    </w:tbl>
    <w:p w:rsidR="002B14DE" w:rsidRDefault="002B14DE" w:rsidP="002B14DE"/>
    <w:p w:rsidR="002B14DE" w:rsidRDefault="002B14DE" w:rsidP="002B14DE">
      <w:pPr>
        <w:jc w:val="both"/>
      </w:pPr>
      <w:r>
        <w:t>La produttività del capitale vede valori relativamente costanti. La citata sproporzione del valore della materia prima implica un basso rapporto capitale / prodotto (per capitale si intende lo stock delle immobilizzazioni materiali), per cui per ogni euro di prodotto, il valore dello stock di capitale è di 0,11-0,14 centesimi. Il valore del capitale immobilizzato d’altra parte è circa equivalente (o un po’ minore, negli anni “migliori”) al valore aggiunto prodotto.</w:t>
      </w:r>
    </w:p>
    <w:p w:rsidR="002B14DE" w:rsidRDefault="002B14DE" w:rsidP="002B14DE"/>
    <w:tbl>
      <w:tblPr>
        <w:tblW w:w="7460" w:type="dxa"/>
        <w:tblCellMar>
          <w:left w:w="70" w:type="dxa"/>
          <w:right w:w="70" w:type="dxa"/>
        </w:tblCellMar>
        <w:tblLook w:val="04A0" w:firstRow="1" w:lastRow="0" w:firstColumn="1" w:lastColumn="0" w:noHBand="0" w:noVBand="1"/>
      </w:tblPr>
      <w:tblGrid>
        <w:gridCol w:w="1940"/>
        <w:gridCol w:w="754"/>
        <w:gridCol w:w="226"/>
        <w:gridCol w:w="1180"/>
        <w:gridCol w:w="780"/>
        <w:gridCol w:w="860"/>
        <w:gridCol w:w="860"/>
        <w:gridCol w:w="860"/>
      </w:tblGrid>
      <w:tr w:rsidR="002B14DE" w:rsidRPr="00413D71" w:rsidTr="002B14DE">
        <w:trPr>
          <w:trHeight w:val="240"/>
        </w:trPr>
        <w:tc>
          <w:tcPr>
            <w:tcW w:w="2694" w:type="dxa"/>
            <w:gridSpan w:val="2"/>
            <w:tcBorders>
              <w:top w:val="single" w:sz="4" w:space="0" w:color="auto"/>
              <w:left w:val="nil"/>
              <w:bottom w:val="single" w:sz="4" w:space="0" w:color="auto"/>
              <w:right w:val="nil"/>
            </w:tcBorders>
            <w:shd w:val="clear" w:color="auto" w:fill="auto"/>
            <w:noWrap/>
            <w:vAlign w:val="bottom"/>
          </w:tcPr>
          <w:p w:rsidR="002B14DE" w:rsidRPr="00413D71" w:rsidRDefault="002B14DE" w:rsidP="002B14DE">
            <w:pPr>
              <w:spacing w:after="0" w:line="240" w:lineRule="auto"/>
              <w:rPr>
                <w:rFonts w:ascii="Tms Rmn" w:eastAsia="Times New Roman" w:hAnsi="Tms Rmn" w:cs="Times New Roman"/>
                <w:sz w:val="18"/>
                <w:szCs w:val="18"/>
                <w:lang w:eastAsia="it-IT"/>
              </w:rPr>
            </w:pPr>
          </w:p>
        </w:tc>
        <w:tc>
          <w:tcPr>
            <w:tcW w:w="226" w:type="dxa"/>
            <w:tcBorders>
              <w:top w:val="single" w:sz="4" w:space="0" w:color="auto"/>
              <w:left w:val="nil"/>
              <w:bottom w:val="single" w:sz="4" w:space="0" w:color="auto"/>
              <w:right w:val="nil"/>
            </w:tcBorders>
            <w:shd w:val="clear" w:color="auto" w:fill="auto"/>
            <w:noWrap/>
            <w:vAlign w:val="bottom"/>
          </w:tcPr>
          <w:p w:rsidR="002B14DE" w:rsidRPr="00413D71" w:rsidRDefault="002B14DE" w:rsidP="002B14DE">
            <w:pPr>
              <w:spacing w:after="0" w:line="240" w:lineRule="auto"/>
              <w:rPr>
                <w:rFonts w:ascii="Tms Rmn" w:eastAsia="Times New Roman" w:hAnsi="Tms Rmn" w:cs="Times New Roman"/>
                <w:sz w:val="18"/>
                <w:szCs w:val="18"/>
                <w:lang w:eastAsia="it-IT"/>
              </w:rPr>
            </w:pPr>
          </w:p>
        </w:tc>
        <w:tc>
          <w:tcPr>
            <w:tcW w:w="1180" w:type="dxa"/>
            <w:tcBorders>
              <w:top w:val="single" w:sz="4" w:space="0" w:color="auto"/>
              <w:left w:val="nil"/>
              <w:bottom w:val="single" w:sz="4" w:space="0" w:color="auto"/>
              <w:right w:val="nil"/>
            </w:tcBorders>
            <w:shd w:val="clear" w:color="auto" w:fill="auto"/>
            <w:noWrap/>
            <w:vAlign w:val="bottom"/>
          </w:tcPr>
          <w:p w:rsidR="002B14DE" w:rsidRPr="00413D71" w:rsidRDefault="002B14DE" w:rsidP="002B14DE">
            <w:pPr>
              <w:spacing w:after="0" w:line="240" w:lineRule="auto"/>
              <w:jc w:val="right"/>
              <w:rPr>
                <w:rFonts w:ascii="Tms Rmn" w:eastAsia="Times New Roman" w:hAnsi="Tms Rmn" w:cs="Times New Roman"/>
                <w:sz w:val="18"/>
                <w:szCs w:val="18"/>
                <w:lang w:eastAsia="it-IT"/>
              </w:rPr>
            </w:pPr>
            <w:r>
              <w:rPr>
                <w:rFonts w:ascii="Tms Rmn" w:eastAsia="Times New Roman" w:hAnsi="Tms Rmn" w:cs="Times New Roman"/>
                <w:sz w:val="18"/>
                <w:szCs w:val="18"/>
                <w:lang w:eastAsia="it-IT"/>
              </w:rPr>
              <w:t>2012</w:t>
            </w:r>
          </w:p>
        </w:tc>
        <w:tc>
          <w:tcPr>
            <w:tcW w:w="780" w:type="dxa"/>
            <w:tcBorders>
              <w:top w:val="single" w:sz="4" w:space="0" w:color="auto"/>
              <w:left w:val="nil"/>
              <w:bottom w:val="single" w:sz="4" w:space="0" w:color="auto"/>
              <w:right w:val="nil"/>
            </w:tcBorders>
            <w:shd w:val="clear" w:color="auto" w:fill="auto"/>
            <w:noWrap/>
            <w:vAlign w:val="bottom"/>
          </w:tcPr>
          <w:p w:rsidR="002B14DE" w:rsidRPr="00413D71" w:rsidRDefault="002B14DE" w:rsidP="002B14DE">
            <w:pPr>
              <w:spacing w:after="0" w:line="240" w:lineRule="auto"/>
              <w:jc w:val="right"/>
              <w:rPr>
                <w:rFonts w:ascii="Tms Rmn" w:eastAsia="Times New Roman" w:hAnsi="Tms Rmn" w:cs="Times New Roman"/>
                <w:sz w:val="18"/>
                <w:szCs w:val="18"/>
                <w:lang w:eastAsia="it-IT"/>
              </w:rPr>
            </w:pPr>
            <w:r>
              <w:rPr>
                <w:rFonts w:ascii="Tms Rmn" w:eastAsia="Times New Roman" w:hAnsi="Tms Rmn" w:cs="Times New Roman"/>
                <w:sz w:val="18"/>
                <w:szCs w:val="18"/>
                <w:lang w:eastAsia="it-IT"/>
              </w:rPr>
              <w:t>2013</w:t>
            </w:r>
          </w:p>
        </w:tc>
        <w:tc>
          <w:tcPr>
            <w:tcW w:w="860" w:type="dxa"/>
            <w:tcBorders>
              <w:top w:val="single" w:sz="4" w:space="0" w:color="auto"/>
              <w:left w:val="nil"/>
              <w:bottom w:val="single" w:sz="4" w:space="0" w:color="auto"/>
              <w:right w:val="nil"/>
            </w:tcBorders>
            <w:shd w:val="clear" w:color="auto" w:fill="auto"/>
            <w:noWrap/>
            <w:vAlign w:val="bottom"/>
          </w:tcPr>
          <w:p w:rsidR="002B14DE" w:rsidRPr="00413D71" w:rsidRDefault="002B14DE" w:rsidP="002B14DE">
            <w:pPr>
              <w:spacing w:after="0" w:line="240" w:lineRule="auto"/>
              <w:jc w:val="right"/>
              <w:rPr>
                <w:rFonts w:ascii="Tms Rmn" w:eastAsia="Times New Roman" w:hAnsi="Tms Rmn" w:cs="Times New Roman"/>
                <w:sz w:val="18"/>
                <w:szCs w:val="18"/>
                <w:lang w:eastAsia="it-IT"/>
              </w:rPr>
            </w:pPr>
            <w:r>
              <w:rPr>
                <w:rFonts w:ascii="Tms Rmn" w:eastAsia="Times New Roman" w:hAnsi="Tms Rmn" w:cs="Times New Roman"/>
                <w:sz w:val="18"/>
                <w:szCs w:val="18"/>
                <w:lang w:eastAsia="it-IT"/>
              </w:rPr>
              <w:t>2014</w:t>
            </w:r>
          </w:p>
        </w:tc>
        <w:tc>
          <w:tcPr>
            <w:tcW w:w="860" w:type="dxa"/>
            <w:tcBorders>
              <w:top w:val="single" w:sz="4" w:space="0" w:color="auto"/>
              <w:left w:val="nil"/>
              <w:bottom w:val="single" w:sz="4" w:space="0" w:color="auto"/>
              <w:right w:val="nil"/>
            </w:tcBorders>
          </w:tcPr>
          <w:p w:rsidR="002B14DE" w:rsidRDefault="002B14DE" w:rsidP="002B14DE">
            <w:pPr>
              <w:spacing w:after="0" w:line="240" w:lineRule="auto"/>
              <w:jc w:val="right"/>
              <w:rPr>
                <w:rFonts w:ascii="Tms Rmn" w:eastAsia="Times New Roman" w:hAnsi="Tms Rmn" w:cs="Times New Roman"/>
                <w:sz w:val="18"/>
                <w:szCs w:val="18"/>
                <w:lang w:eastAsia="it-IT"/>
              </w:rPr>
            </w:pPr>
            <w:r>
              <w:rPr>
                <w:rFonts w:ascii="Tms Rmn" w:eastAsia="Times New Roman" w:hAnsi="Tms Rmn" w:cs="Times New Roman"/>
                <w:sz w:val="18"/>
                <w:szCs w:val="18"/>
                <w:lang w:eastAsia="it-IT"/>
              </w:rPr>
              <w:t>2015</w:t>
            </w:r>
          </w:p>
        </w:tc>
        <w:tc>
          <w:tcPr>
            <w:tcW w:w="860" w:type="dxa"/>
            <w:tcBorders>
              <w:top w:val="single" w:sz="4" w:space="0" w:color="auto"/>
              <w:left w:val="nil"/>
              <w:bottom w:val="single" w:sz="4" w:space="0" w:color="auto"/>
              <w:right w:val="nil"/>
            </w:tcBorders>
          </w:tcPr>
          <w:p w:rsidR="002B14DE" w:rsidRDefault="002B14DE" w:rsidP="002B14DE">
            <w:pPr>
              <w:spacing w:after="0" w:line="240" w:lineRule="auto"/>
              <w:jc w:val="right"/>
              <w:rPr>
                <w:rFonts w:ascii="Tms Rmn" w:eastAsia="Times New Roman" w:hAnsi="Tms Rmn" w:cs="Times New Roman"/>
                <w:sz w:val="18"/>
                <w:szCs w:val="18"/>
                <w:lang w:eastAsia="it-IT"/>
              </w:rPr>
            </w:pPr>
            <w:r>
              <w:rPr>
                <w:rFonts w:ascii="Tms Rmn" w:eastAsia="Times New Roman" w:hAnsi="Tms Rmn" w:cs="Times New Roman"/>
                <w:sz w:val="18"/>
                <w:szCs w:val="18"/>
                <w:lang w:eastAsia="it-IT"/>
              </w:rPr>
              <w:t>2016</w:t>
            </w:r>
          </w:p>
        </w:tc>
      </w:tr>
      <w:tr w:rsidR="002B14DE" w:rsidRPr="001D3ABA" w:rsidTr="002B14DE">
        <w:trPr>
          <w:trHeight w:val="240"/>
        </w:trPr>
        <w:tc>
          <w:tcPr>
            <w:tcW w:w="1940" w:type="dxa"/>
            <w:tcBorders>
              <w:top w:val="nil"/>
              <w:left w:val="nil"/>
              <w:bottom w:val="nil"/>
              <w:right w:val="nil"/>
            </w:tcBorders>
            <w:shd w:val="clear" w:color="auto" w:fill="auto"/>
            <w:noWrap/>
            <w:vAlign w:val="bottom"/>
            <w:hideMark/>
          </w:tcPr>
          <w:p w:rsidR="002B14DE" w:rsidRPr="001D3ABA" w:rsidRDefault="002B14DE" w:rsidP="002B14DE">
            <w:pPr>
              <w:spacing w:after="0" w:line="240" w:lineRule="auto"/>
              <w:rPr>
                <w:rFonts w:ascii="Tms Rmn" w:eastAsia="Times New Roman" w:hAnsi="Tms Rmn" w:cs="Times New Roman"/>
                <w:sz w:val="18"/>
                <w:szCs w:val="18"/>
                <w:lang w:eastAsia="it-IT"/>
              </w:rPr>
            </w:pPr>
            <w:r w:rsidRPr="001D3ABA">
              <w:rPr>
                <w:rFonts w:ascii="Tms Rmn" w:eastAsia="Times New Roman" w:hAnsi="Tms Rmn" w:cs="Times New Roman"/>
                <w:sz w:val="18"/>
                <w:szCs w:val="18"/>
                <w:lang w:eastAsia="it-IT"/>
              </w:rPr>
              <w:t xml:space="preserve">Rapporto </w:t>
            </w:r>
            <w:proofErr w:type="spellStart"/>
            <w:proofErr w:type="gramStart"/>
            <w:r w:rsidRPr="001D3ABA">
              <w:rPr>
                <w:rFonts w:ascii="Tms Rmn" w:eastAsia="Times New Roman" w:hAnsi="Tms Rmn" w:cs="Times New Roman"/>
                <w:sz w:val="18"/>
                <w:szCs w:val="18"/>
                <w:lang w:eastAsia="it-IT"/>
              </w:rPr>
              <w:t>capit</w:t>
            </w:r>
            <w:proofErr w:type="spellEnd"/>
            <w:r w:rsidRPr="001D3ABA">
              <w:rPr>
                <w:rFonts w:ascii="Tms Rmn" w:eastAsia="Times New Roman" w:hAnsi="Tms Rmn" w:cs="Times New Roman"/>
                <w:sz w:val="18"/>
                <w:szCs w:val="18"/>
                <w:lang w:eastAsia="it-IT"/>
              </w:rPr>
              <w:t>./</w:t>
            </w:r>
            <w:proofErr w:type="spellStart"/>
            <w:proofErr w:type="gramEnd"/>
            <w:r w:rsidRPr="001D3ABA">
              <w:rPr>
                <w:rFonts w:ascii="Tms Rmn" w:eastAsia="Times New Roman" w:hAnsi="Tms Rmn" w:cs="Times New Roman"/>
                <w:sz w:val="18"/>
                <w:szCs w:val="18"/>
                <w:lang w:eastAsia="it-IT"/>
              </w:rPr>
              <w:t>prod</w:t>
            </w:r>
            <w:proofErr w:type="spellEnd"/>
            <w:r w:rsidRPr="001D3ABA">
              <w:rPr>
                <w:rFonts w:ascii="Tms Rmn" w:eastAsia="Times New Roman" w:hAnsi="Tms Rmn" w:cs="Times New Roman"/>
                <w:sz w:val="18"/>
                <w:szCs w:val="18"/>
                <w:lang w:eastAsia="it-IT"/>
              </w:rPr>
              <w:t>.</w:t>
            </w:r>
          </w:p>
        </w:tc>
        <w:tc>
          <w:tcPr>
            <w:tcW w:w="980" w:type="dxa"/>
            <w:gridSpan w:val="2"/>
            <w:tcBorders>
              <w:top w:val="nil"/>
              <w:left w:val="nil"/>
              <w:bottom w:val="nil"/>
              <w:right w:val="nil"/>
            </w:tcBorders>
            <w:shd w:val="clear" w:color="auto" w:fill="auto"/>
            <w:noWrap/>
            <w:vAlign w:val="bottom"/>
            <w:hideMark/>
          </w:tcPr>
          <w:p w:rsidR="002B14DE" w:rsidRPr="001D3ABA" w:rsidRDefault="002B14DE" w:rsidP="002B14DE">
            <w:pPr>
              <w:spacing w:after="0" w:line="240" w:lineRule="auto"/>
              <w:rPr>
                <w:rFonts w:ascii="Tms Rmn" w:eastAsia="Times New Roman" w:hAnsi="Tms Rmn" w:cs="Times New Roman"/>
                <w:sz w:val="18"/>
                <w:szCs w:val="18"/>
                <w:lang w:eastAsia="it-IT"/>
              </w:rPr>
            </w:pPr>
          </w:p>
        </w:tc>
        <w:tc>
          <w:tcPr>
            <w:tcW w:w="1180" w:type="dxa"/>
            <w:tcBorders>
              <w:top w:val="nil"/>
              <w:left w:val="nil"/>
              <w:bottom w:val="nil"/>
              <w:right w:val="nil"/>
            </w:tcBorders>
            <w:shd w:val="clear" w:color="auto" w:fill="auto"/>
            <w:noWrap/>
            <w:vAlign w:val="bottom"/>
            <w:hideMark/>
          </w:tcPr>
          <w:p w:rsidR="002B14DE" w:rsidRPr="001D3ABA" w:rsidRDefault="002B14DE" w:rsidP="002B14DE">
            <w:pPr>
              <w:spacing w:after="0" w:line="240" w:lineRule="auto"/>
              <w:jc w:val="right"/>
              <w:rPr>
                <w:rFonts w:ascii="Tms Rmn" w:eastAsia="Times New Roman" w:hAnsi="Tms Rmn" w:cs="Times New Roman"/>
                <w:sz w:val="18"/>
                <w:szCs w:val="18"/>
                <w:lang w:eastAsia="it-IT"/>
              </w:rPr>
            </w:pPr>
            <w:r w:rsidRPr="001D3ABA">
              <w:rPr>
                <w:rFonts w:ascii="Tms Rmn" w:eastAsia="Times New Roman" w:hAnsi="Tms Rmn" w:cs="Times New Roman"/>
                <w:sz w:val="18"/>
                <w:szCs w:val="18"/>
                <w:lang w:eastAsia="it-IT"/>
              </w:rPr>
              <w:t>0,14</w:t>
            </w:r>
          </w:p>
        </w:tc>
        <w:tc>
          <w:tcPr>
            <w:tcW w:w="780" w:type="dxa"/>
            <w:tcBorders>
              <w:top w:val="nil"/>
              <w:left w:val="nil"/>
              <w:bottom w:val="nil"/>
              <w:right w:val="nil"/>
            </w:tcBorders>
            <w:shd w:val="clear" w:color="auto" w:fill="auto"/>
            <w:noWrap/>
            <w:vAlign w:val="bottom"/>
            <w:hideMark/>
          </w:tcPr>
          <w:p w:rsidR="002B14DE" w:rsidRPr="001D3ABA" w:rsidRDefault="002B14DE" w:rsidP="002B14DE">
            <w:pPr>
              <w:spacing w:after="0" w:line="240" w:lineRule="auto"/>
              <w:jc w:val="right"/>
              <w:rPr>
                <w:rFonts w:ascii="Tms Rmn" w:eastAsia="Times New Roman" w:hAnsi="Tms Rmn" w:cs="Times New Roman"/>
                <w:sz w:val="18"/>
                <w:szCs w:val="18"/>
                <w:lang w:eastAsia="it-IT"/>
              </w:rPr>
            </w:pPr>
            <w:r w:rsidRPr="001D3ABA">
              <w:rPr>
                <w:rFonts w:ascii="Tms Rmn" w:eastAsia="Times New Roman" w:hAnsi="Tms Rmn" w:cs="Times New Roman"/>
                <w:sz w:val="18"/>
                <w:szCs w:val="18"/>
                <w:lang w:eastAsia="it-IT"/>
              </w:rPr>
              <w:t>0,11</w:t>
            </w:r>
          </w:p>
        </w:tc>
        <w:tc>
          <w:tcPr>
            <w:tcW w:w="860" w:type="dxa"/>
            <w:tcBorders>
              <w:top w:val="nil"/>
              <w:left w:val="nil"/>
              <w:bottom w:val="nil"/>
              <w:right w:val="nil"/>
            </w:tcBorders>
            <w:shd w:val="clear" w:color="auto" w:fill="auto"/>
            <w:noWrap/>
            <w:vAlign w:val="bottom"/>
            <w:hideMark/>
          </w:tcPr>
          <w:p w:rsidR="002B14DE" w:rsidRPr="001D3ABA" w:rsidRDefault="002B14DE" w:rsidP="002B14DE">
            <w:pPr>
              <w:spacing w:after="0" w:line="240" w:lineRule="auto"/>
              <w:jc w:val="right"/>
              <w:rPr>
                <w:rFonts w:ascii="Tms Rmn" w:eastAsia="Times New Roman" w:hAnsi="Tms Rmn" w:cs="Times New Roman"/>
                <w:sz w:val="18"/>
                <w:szCs w:val="18"/>
                <w:lang w:eastAsia="it-IT"/>
              </w:rPr>
            </w:pPr>
            <w:r w:rsidRPr="001D3ABA">
              <w:rPr>
                <w:rFonts w:ascii="Tms Rmn" w:eastAsia="Times New Roman" w:hAnsi="Tms Rmn" w:cs="Times New Roman"/>
                <w:sz w:val="18"/>
                <w:szCs w:val="18"/>
                <w:lang w:eastAsia="it-IT"/>
              </w:rPr>
              <w:t>0,12</w:t>
            </w:r>
          </w:p>
        </w:tc>
        <w:tc>
          <w:tcPr>
            <w:tcW w:w="860" w:type="dxa"/>
            <w:tcBorders>
              <w:top w:val="nil"/>
              <w:left w:val="nil"/>
              <w:bottom w:val="nil"/>
              <w:right w:val="nil"/>
            </w:tcBorders>
          </w:tcPr>
          <w:p w:rsidR="002B14DE" w:rsidRPr="001D3ABA" w:rsidRDefault="002B14DE" w:rsidP="002B14DE">
            <w:pPr>
              <w:spacing w:after="0" w:line="240" w:lineRule="auto"/>
              <w:jc w:val="right"/>
              <w:rPr>
                <w:rFonts w:ascii="Tms Rmn" w:eastAsia="Times New Roman" w:hAnsi="Tms Rmn" w:cs="Times New Roman"/>
                <w:sz w:val="18"/>
                <w:szCs w:val="18"/>
                <w:lang w:eastAsia="it-IT"/>
              </w:rPr>
            </w:pPr>
            <w:r>
              <w:rPr>
                <w:rFonts w:ascii="Tms Rmn" w:eastAsia="Times New Roman" w:hAnsi="Tms Rmn" w:cs="Times New Roman"/>
                <w:sz w:val="18"/>
                <w:szCs w:val="18"/>
                <w:lang w:eastAsia="it-IT"/>
              </w:rPr>
              <w:t>0,12</w:t>
            </w:r>
          </w:p>
        </w:tc>
        <w:tc>
          <w:tcPr>
            <w:tcW w:w="860" w:type="dxa"/>
            <w:tcBorders>
              <w:top w:val="nil"/>
              <w:left w:val="nil"/>
              <w:bottom w:val="nil"/>
              <w:right w:val="nil"/>
            </w:tcBorders>
          </w:tcPr>
          <w:p w:rsidR="002B14DE" w:rsidRPr="001D3ABA" w:rsidRDefault="002B14DE" w:rsidP="002B14DE">
            <w:pPr>
              <w:spacing w:after="0" w:line="240" w:lineRule="auto"/>
              <w:jc w:val="right"/>
              <w:rPr>
                <w:rFonts w:ascii="Tms Rmn" w:eastAsia="Times New Roman" w:hAnsi="Tms Rmn" w:cs="Times New Roman"/>
                <w:sz w:val="18"/>
                <w:szCs w:val="18"/>
                <w:lang w:eastAsia="it-IT"/>
              </w:rPr>
            </w:pPr>
            <w:r>
              <w:rPr>
                <w:rFonts w:ascii="Tms Rmn" w:eastAsia="Times New Roman" w:hAnsi="Tms Rmn" w:cs="Times New Roman"/>
                <w:sz w:val="18"/>
                <w:szCs w:val="18"/>
                <w:lang w:eastAsia="it-IT"/>
              </w:rPr>
              <w:t>0,11</w:t>
            </w:r>
          </w:p>
        </w:tc>
      </w:tr>
      <w:tr w:rsidR="002B14DE" w:rsidRPr="001D3ABA" w:rsidTr="002B14DE">
        <w:trPr>
          <w:trHeight w:val="240"/>
        </w:trPr>
        <w:tc>
          <w:tcPr>
            <w:tcW w:w="2920" w:type="dxa"/>
            <w:gridSpan w:val="3"/>
            <w:tcBorders>
              <w:top w:val="nil"/>
              <w:left w:val="nil"/>
              <w:bottom w:val="nil"/>
              <w:right w:val="nil"/>
            </w:tcBorders>
            <w:shd w:val="clear" w:color="auto" w:fill="auto"/>
            <w:noWrap/>
            <w:vAlign w:val="bottom"/>
            <w:hideMark/>
          </w:tcPr>
          <w:p w:rsidR="002B14DE" w:rsidRPr="001D3ABA" w:rsidRDefault="002B14DE" w:rsidP="002B14DE">
            <w:pPr>
              <w:spacing w:after="0" w:line="240" w:lineRule="auto"/>
              <w:rPr>
                <w:rFonts w:ascii="Tms Rmn" w:eastAsia="Times New Roman" w:hAnsi="Tms Rmn" w:cs="Times New Roman"/>
                <w:sz w:val="18"/>
                <w:szCs w:val="18"/>
                <w:lang w:eastAsia="it-IT"/>
              </w:rPr>
            </w:pPr>
            <w:r w:rsidRPr="001D3ABA">
              <w:rPr>
                <w:rFonts w:ascii="Tms Rmn" w:eastAsia="Times New Roman" w:hAnsi="Tms Rmn" w:cs="Times New Roman"/>
                <w:sz w:val="18"/>
                <w:szCs w:val="18"/>
                <w:lang w:eastAsia="it-IT"/>
              </w:rPr>
              <w:t>(Capitale/Valore aggiunto prodotto)</w:t>
            </w:r>
          </w:p>
        </w:tc>
        <w:tc>
          <w:tcPr>
            <w:tcW w:w="1180" w:type="dxa"/>
            <w:tcBorders>
              <w:top w:val="nil"/>
              <w:left w:val="nil"/>
              <w:bottom w:val="nil"/>
              <w:right w:val="nil"/>
            </w:tcBorders>
            <w:shd w:val="clear" w:color="auto" w:fill="auto"/>
            <w:noWrap/>
            <w:vAlign w:val="bottom"/>
            <w:hideMark/>
          </w:tcPr>
          <w:p w:rsidR="002B14DE" w:rsidRPr="001D3ABA" w:rsidRDefault="002B14DE" w:rsidP="002B14DE">
            <w:pPr>
              <w:spacing w:after="0" w:line="240" w:lineRule="auto"/>
              <w:jc w:val="right"/>
              <w:rPr>
                <w:rFonts w:ascii="Tms Rmn" w:eastAsia="Times New Roman" w:hAnsi="Tms Rmn" w:cs="Times New Roman"/>
                <w:sz w:val="18"/>
                <w:szCs w:val="18"/>
                <w:lang w:eastAsia="it-IT"/>
              </w:rPr>
            </w:pPr>
            <w:r w:rsidRPr="001D3ABA">
              <w:rPr>
                <w:rFonts w:ascii="Tms Rmn" w:eastAsia="Times New Roman" w:hAnsi="Tms Rmn" w:cs="Times New Roman"/>
                <w:sz w:val="18"/>
                <w:szCs w:val="18"/>
                <w:lang w:eastAsia="it-IT"/>
              </w:rPr>
              <w:t xml:space="preserve">1,0 </w:t>
            </w:r>
          </w:p>
        </w:tc>
        <w:tc>
          <w:tcPr>
            <w:tcW w:w="780" w:type="dxa"/>
            <w:tcBorders>
              <w:top w:val="nil"/>
              <w:left w:val="nil"/>
              <w:bottom w:val="nil"/>
              <w:right w:val="nil"/>
            </w:tcBorders>
            <w:shd w:val="clear" w:color="auto" w:fill="auto"/>
            <w:noWrap/>
            <w:vAlign w:val="bottom"/>
            <w:hideMark/>
          </w:tcPr>
          <w:p w:rsidR="002B14DE" w:rsidRPr="001D3ABA" w:rsidRDefault="002B14DE" w:rsidP="002B14DE">
            <w:pPr>
              <w:spacing w:after="0" w:line="240" w:lineRule="auto"/>
              <w:jc w:val="right"/>
              <w:rPr>
                <w:rFonts w:ascii="Tms Rmn" w:eastAsia="Times New Roman" w:hAnsi="Tms Rmn" w:cs="Times New Roman"/>
                <w:sz w:val="18"/>
                <w:szCs w:val="18"/>
                <w:lang w:eastAsia="it-IT"/>
              </w:rPr>
            </w:pPr>
            <w:r w:rsidRPr="001D3ABA">
              <w:rPr>
                <w:rFonts w:ascii="Tms Rmn" w:eastAsia="Times New Roman" w:hAnsi="Tms Rmn" w:cs="Times New Roman"/>
                <w:sz w:val="18"/>
                <w:szCs w:val="18"/>
                <w:lang w:eastAsia="it-IT"/>
              </w:rPr>
              <w:t xml:space="preserve">0,8 </w:t>
            </w:r>
          </w:p>
        </w:tc>
        <w:tc>
          <w:tcPr>
            <w:tcW w:w="860" w:type="dxa"/>
            <w:tcBorders>
              <w:top w:val="nil"/>
              <w:left w:val="nil"/>
              <w:bottom w:val="nil"/>
              <w:right w:val="nil"/>
            </w:tcBorders>
            <w:shd w:val="clear" w:color="auto" w:fill="auto"/>
            <w:noWrap/>
            <w:vAlign w:val="bottom"/>
            <w:hideMark/>
          </w:tcPr>
          <w:p w:rsidR="002B14DE" w:rsidRPr="001D3ABA" w:rsidRDefault="002B14DE" w:rsidP="002B14DE">
            <w:pPr>
              <w:spacing w:after="0" w:line="240" w:lineRule="auto"/>
              <w:jc w:val="right"/>
              <w:rPr>
                <w:rFonts w:ascii="Tms Rmn" w:eastAsia="Times New Roman" w:hAnsi="Tms Rmn" w:cs="Times New Roman"/>
                <w:sz w:val="18"/>
                <w:szCs w:val="18"/>
                <w:lang w:eastAsia="it-IT"/>
              </w:rPr>
            </w:pPr>
            <w:r w:rsidRPr="001D3ABA">
              <w:rPr>
                <w:rFonts w:ascii="Tms Rmn" w:eastAsia="Times New Roman" w:hAnsi="Tms Rmn" w:cs="Times New Roman"/>
                <w:sz w:val="18"/>
                <w:szCs w:val="18"/>
                <w:lang w:eastAsia="it-IT"/>
              </w:rPr>
              <w:t xml:space="preserve">0,9 </w:t>
            </w:r>
          </w:p>
        </w:tc>
        <w:tc>
          <w:tcPr>
            <w:tcW w:w="860" w:type="dxa"/>
            <w:tcBorders>
              <w:top w:val="nil"/>
              <w:left w:val="nil"/>
              <w:bottom w:val="nil"/>
              <w:right w:val="nil"/>
            </w:tcBorders>
          </w:tcPr>
          <w:p w:rsidR="002B14DE" w:rsidRPr="001D3ABA" w:rsidRDefault="002B14DE" w:rsidP="002B14DE">
            <w:pPr>
              <w:spacing w:after="0" w:line="240" w:lineRule="auto"/>
              <w:jc w:val="right"/>
              <w:rPr>
                <w:rFonts w:ascii="Tms Rmn" w:eastAsia="Times New Roman" w:hAnsi="Tms Rmn" w:cs="Times New Roman"/>
                <w:sz w:val="18"/>
                <w:szCs w:val="18"/>
                <w:lang w:eastAsia="it-IT"/>
              </w:rPr>
            </w:pPr>
            <w:r>
              <w:rPr>
                <w:rFonts w:ascii="Tms Rmn" w:eastAsia="Times New Roman" w:hAnsi="Tms Rmn" w:cs="Times New Roman"/>
                <w:sz w:val="18"/>
                <w:szCs w:val="18"/>
                <w:lang w:eastAsia="it-IT"/>
              </w:rPr>
              <w:t>0,9</w:t>
            </w:r>
          </w:p>
        </w:tc>
        <w:tc>
          <w:tcPr>
            <w:tcW w:w="860" w:type="dxa"/>
            <w:tcBorders>
              <w:top w:val="nil"/>
              <w:left w:val="nil"/>
              <w:bottom w:val="nil"/>
              <w:right w:val="nil"/>
            </w:tcBorders>
          </w:tcPr>
          <w:p w:rsidR="002B14DE" w:rsidRPr="001D3ABA" w:rsidRDefault="002B14DE" w:rsidP="002B14DE">
            <w:pPr>
              <w:spacing w:after="0" w:line="240" w:lineRule="auto"/>
              <w:jc w:val="right"/>
              <w:rPr>
                <w:rFonts w:ascii="Tms Rmn" w:eastAsia="Times New Roman" w:hAnsi="Tms Rmn" w:cs="Times New Roman"/>
                <w:sz w:val="18"/>
                <w:szCs w:val="18"/>
                <w:lang w:eastAsia="it-IT"/>
              </w:rPr>
            </w:pPr>
            <w:r>
              <w:rPr>
                <w:rFonts w:ascii="Tms Rmn" w:eastAsia="Times New Roman" w:hAnsi="Tms Rmn" w:cs="Times New Roman"/>
                <w:sz w:val="18"/>
                <w:szCs w:val="18"/>
                <w:lang w:eastAsia="it-IT"/>
              </w:rPr>
              <w:t>1,0</w:t>
            </w:r>
          </w:p>
        </w:tc>
      </w:tr>
    </w:tbl>
    <w:p w:rsidR="002B14DE" w:rsidRDefault="002B14DE" w:rsidP="002B14DE"/>
    <w:p w:rsidR="002B14DE" w:rsidRDefault="002B14DE" w:rsidP="002B14DE">
      <w:pPr>
        <w:jc w:val="both"/>
      </w:pPr>
      <w:r>
        <w:t xml:space="preserve">Gli indici di profittabilità vedevano valori modesti, ma piuttosto solidi, fino al 2014 (soprattutto quando erano contenuti gli oneri finanziari netti), ma un netto peggioramento nel 2015 e soprattutto 2016 (il </w:t>
      </w:r>
      <w:proofErr w:type="spellStart"/>
      <w:r>
        <w:t>roi</w:t>
      </w:r>
      <w:proofErr w:type="spellEnd"/>
      <w:r>
        <w:t xml:space="preserve"> ante oneri finanziari e componenti straordinarie precipita all’1,2%). </w:t>
      </w:r>
    </w:p>
    <w:p w:rsidR="002B14DE" w:rsidRDefault="002B14DE" w:rsidP="002B14DE"/>
    <w:tbl>
      <w:tblPr>
        <w:tblW w:w="7460" w:type="dxa"/>
        <w:tblCellMar>
          <w:left w:w="70" w:type="dxa"/>
          <w:right w:w="70" w:type="dxa"/>
        </w:tblCellMar>
        <w:tblLook w:val="04A0" w:firstRow="1" w:lastRow="0" w:firstColumn="1" w:lastColumn="0" w:noHBand="0" w:noVBand="1"/>
      </w:tblPr>
      <w:tblGrid>
        <w:gridCol w:w="1940"/>
        <w:gridCol w:w="754"/>
        <w:gridCol w:w="567"/>
        <w:gridCol w:w="839"/>
        <w:gridCol w:w="780"/>
        <w:gridCol w:w="860"/>
        <w:gridCol w:w="860"/>
        <w:gridCol w:w="860"/>
      </w:tblGrid>
      <w:tr w:rsidR="002B14DE" w:rsidRPr="00413D71" w:rsidTr="002B14DE">
        <w:trPr>
          <w:trHeight w:val="240"/>
        </w:trPr>
        <w:tc>
          <w:tcPr>
            <w:tcW w:w="2694" w:type="dxa"/>
            <w:gridSpan w:val="2"/>
            <w:tcBorders>
              <w:top w:val="single" w:sz="4" w:space="0" w:color="auto"/>
              <w:left w:val="nil"/>
              <w:bottom w:val="single" w:sz="4" w:space="0" w:color="auto"/>
              <w:right w:val="nil"/>
            </w:tcBorders>
            <w:shd w:val="clear" w:color="auto" w:fill="auto"/>
            <w:noWrap/>
            <w:vAlign w:val="bottom"/>
          </w:tcPr>
          <w:p w:rsidR="002B14DE" w:rsidRPr="00413D71" w:rsidRDefault="002B14DE" w:rsidP="002B14DE">
            <w:pPr>
              <w:spacing w:after="0" w:line="240" w:lineRule="auto"/>
              <w:rPr>
                <w:rFonts w:ascii="Tms Rmn" w:eastAsia="Times New Roman" w:hAnsi="Tms Rmn" w:cs="Times New Roman"/>
                <w:sz w:val="18"/>
                <w:szCs w:val="18"/>
                <w:lang w:eastAsia="it-IT"/>
              </w:rPr>
            </w:pPr>
          </w:p>
        </w:tc>
        <w:tc>
          <w:tcPr>
            <w:tcW w:w="567" w:type="dxa"/>
            <w:tcBorders>
              <w:top w:val="single" w:sz="4" w:space="0" w:color="auto"/>
              <w:left w:val="nil"/>
              <w:bottom w:val="single" w:sz="4" w:space="0" w:color="auto"/>
              <w:right w:val="nil"/>
            </w:tcBorders>
            <w:shd w:val="clear" w:color="auto" w:fill="auto"/>
            <w:noWrap/>
            <w:vAlign w:val="bottom"/>
          </w:tcPr>
          <w:p w:rsidR="002B14DE" w:rsidRPr="00413D71" w:rsidRDefault="002B14DE" w:rsidP="002B14DE">
            <w:pPr>
              <w:spacing w:after="0" w:line="240" w:lineRule="auto"/>
              <w:rPr>
                <w:rFonts w:ascii="Tms Rmn" w:eastAsia="Times New Roman" w:hAnsi="Tms Rmn" w:cs="Times New Roman"/>
                <w:sz w:val="18"/>
                <w:szCs w:val="18"/>
                <w:lang w:eastAsia="it-IT"/>
              </w:rPr>
            </w:pPr>
          </w:p>
        </w:tc>
        <w:tc>
          <w:tcPr>
            <w:tcW w:w="839" w:type="dxa"/>
            <w:tcBorders>
              <w:top w:val="single" w:sz="4" w:space="0" w:color="auto"/>
              <w:left w:val="nil"/>
              <w:bottom w:val="single" w:sz="4" w:space="0" w:color="auto"/>
              <w:right w:val="nil"/>
            </w:tcBorders>
            <w:shd w:val="clear" w:color="auto" w:fill="auto"/>
            <w:noWrap/>
            <w:vAlign w:val="bottom"/>
          </w:tcPr>
          <w:p w:rsidR="002B14DE" w:rsidRPr="00413D71" w:rsidRDefault="002B14DE" w:rsidP="002B14DE">
            <w:pPr>
              <w:spacing w:after="0" w:line="240" w:lineRule="auto"/>
              <w:jc w:val="right"/>
              <w:rPr>
                <w:rFonts w:ascii="Tms Rmn" w:eastAsia="Times New Roman" w:hAnsi="Tms Rmn" w:cs="Times New Roman"/>
                <w:sz w:val="18"/>
                <w:szCs w:val="18"/>
                <w:lang w:eastAsia="it-IT"/>
              </w:rPr>
            </w:pPr>
            <w:r>
              <w:rPr>
                <w:rFonts w:ascii="Tms Rmn" w:eastAsia="Times New Roman" w:hAnsi="Tms Rmn" w:cs="Times New Roman"/>
                <w:sz w:val="18"/>
                <w:szCs w:val="18"/>
                <w:lang w:eastAsia="it-IT"/>
              </w:rPr>
              <w:t>2012</w:t>
            </w:r>
          </w:p>
        </w:tc>
        <w:tc>
          <w:tcPr>
            <w:tcW w:w="780" w:type="dxa"/>
            <w:tcBorders>
              <w:top w:val="single" w:sz="4" w:space="0" w:color="auto"/>
              <w:left w:val="nil"/>
              <w:bottom w:val="single" w:sz="4" w:space="0" w:color="auto"/>
              <w:right w:val="nil"/>
            </w:tcBorders>
            <w:shd w:val="clear" w:color="auto" w:fill="auto"/>
            <w:noWrap/>
            <w:vAlign w:val="bottom"/>
          </w:tcPr>
          <w:p w:rsidR="002B14DE" w:rsidRPr="00413D71" w:rsidRDefault="002B14DE" w:rsidP="002B14DE">
            <w:pPr>
              <w:spacing w:after="0" w:line="240" w:lineRule="auto"/>
              <w:jc w:val="right"/>
              <w:rPr>
                <w:rFonts w:ascii="Tms Rmn" w:eastAsia="Times New Roman" w:hAnsi="Tms Rmn" w:cs="Times New Roman"/>
                <w:sz w:val="18"/>
                <w:szCs w:val="18"/>
                <w:lang w:eastAsia="it-IT"/>
              </w:rPr>
            </w:pPr>
            <w:r>
              <w:rPr>
                <w:rFonts w:ascii="Tms Rmn" w:eastAsia="Times New Roman" w:hAnsi="Tms Rmn" w:cs="Times New Roman"/>
                <w:sz w:val="18"/>
                <w:szCs w:val="18"/>
                <w:lang w:eastAsia="it-IT"/>
              </w:rPr>
              <w:t>2013</w:t>
            </w:r>
          </w:p>
        </w:tc>
        <w:tc>
          <w:tcPr>
            <w:tcW w:w="860" w:type="dxa"/>
            <w:tcBorders>
              <w:top w:val="single" w:sz="4" w:space="0" w:color="auto"/>
              <w:left w:val="nil"/>
              <w:bottom w:val="single" w:sz="4" w:space="0" w:color="auto"/>
              <w:right w:val="nil"/>
            </w:tcBorders>
            <w:shd w:val="clear" w:color="auto" w:fill="auto"/>
            <w:noWrap/>
            <w:vAlign w:val="bottom"/>
          </w:tcPr>
          <w:p w:rsidR="002B14DE" w:rsidRPr="00413D71" w:rsidRDefault="002B14DE" w:rsidP="002B14DE">
            <w:pPr>
              <w:spacing w:after="0" w:line="240" w:lineRule="auto"/>
              <w:jc w:val="right"/>
              <w:rPr>
                <w:rFonts w:ascii="Tms Rmn" w:eastAsia="Times New Roman" w:hAnsi="Tms Rmn" w:cs="Times New Roman"/>
                <w:sz w:val="18"/>
                <w:szCs w:val="18"/>
                <w:lang w:eastAsia="it-IT"/>
              </w:rPr>
            </w:pPr>
            <w:r>
              <w:rPr>
                <w:rFonts w:ascii="Tms Rmn" w:eastAsia="Times New Roman" w:hAnsi="Tms Rmn" w:cs="Times New Roman"/>
                <w:sz w:val="18"/>
                <w:szCs w:val="18"/>
                <w:lang w:eastAsia="it-IT"/>
              </w:rPr>
              <w:t>2014</w:t>
            </w:r>
          </w:p>
        </w:tc>
        <w:tc>
          <w:tcPr>
            <w:tcW w:w="860" w:type="dxa"/>
            <w:tcBorders>
              <w:top w:val="single" w:sz="4" w:space="0" w:color="auto"/>
              <w:left w:val="nil"/>
              <w:bottom w:val="single" w:sz="4" w:space="0" w:color="auto"/>
              <w:right w:val="nil"/>
            </w:tcBorders>
          </w:tcPr>
          <w:p w:rsidR="002B14DE" w:rsidRDefault="002B14DE" w:rsidP="002B14DE">
            <w:pPr>
              <w:spacing w:after="0" w:line="240" w:lineRule="auto"/>
              <w:jc w:val="right"/>
              <w:rPr>
                <w:rFonts w:ascii="Tms Rmn" w:eastAsia="Times New Roman" w:hAnsi="Tms Rmn" w:cs="Times New Roman"/>
                <w:sz w:val="18"/>
                <w:szCs w:val="18"/>
                <w:lang w:eastAsia="it-IT"/>
              </w:rPr>
            </w:pPr>
            <w:r>
              <w:rPr>
                <w:rFonts w:ascii="Tms Rmn" w:eastAsia="Times New Roman" w:hAnsi="Tms Rmn" w:cs="Times New Roman"/>
                <w:sz w:val="18"/>
                <w:szCs w:val="18"/>
                <w:lang w:eastAsia="it-IT"/>
              </w:rPr>
              <w:t>2015</w:t>
            </w:r>
          </w:p>
        </w:tc>
        <w:tc>
          <w:tcPr>
            <w:tcW w:w="860" w:type="dxa"/>
            <w:tcBorders>
              <w:top w:val="single" w:sz="4" w:space="0" w:color="auto"/>
              <w:left w:val="nil"/>
              <w:bottom w:val="single" w:sz="4" w:space="0" w:color="auto"/>
              <w:right w:val="nil"/>
            </w:tcBorders>
          </w:tcPr>
          <w:p w:rsidR="002B14DE" w:rsidRDefault="002B14DE" w:rsidP="002B14DE">
            <w:pPr>
              <w:spacing w:after="0" w:line="240" w:lineRule="auto"/>
              <w:jc w:val="right"/>
              <w:rPr>
                <w:rFonts w:ascii="Tms Rmn" w:eastAsia="Times New Roman" w:hAnsi="Tms Rmn" w:cs="Times New Roman"/>
                <w:sz w:val="18"/>
                <w:szCs w:val="18"/>
                <w:lang w:eastAsia="it-IT"/>
              </w:rPr>
            </w:pPr>
            <w:r>
              <w:rPr>
                <w:rFonts w:ascii="Tms Rmn" w:eastAsia="Times New Roman" w:hAnsi="Tms Rmn" w:cs="Times New Roman"/>
                <w:sz w:val="18"/>
                <w:szCs w:val="18"/>
                <w:lang w:eastAsia="it-IT"/>
              </w:rPr>
              <w:t>2016</w:t>
            </w:r>
          </w:p>
        </w:tc>
      </w:tr>
      <w:tr w:rsidR="002B14DE" w:rsidRPr="00C505FF" w:rsidTr="002B14DE">
        <w:trPr>
          <w:trHeight w:val="240"/>
        </w:trPr>
        <w:tc>
          <w:tcPr>
            <w:tcW w:w="1940" w:type="dxa"/>
            <w:tcBorders>
              <w:top w:val="nil"/>
              <w:left w:val="nil"/>
              <w:bottom w:val="nil"/>
              <w:right w:val="nil"/>
            </w:tcBorders>
            <w:shd w:val="clear" w:color="auto" w:fill="auto"/>
            <w:noWrap/>
            <w:vAlign w:val="bottom"/>
            <w:hideMark/>
          </w:tcPr>
          <w:p w:rsidR="002B14DE" w:rsidRPr="00C505FF" w:rsidRDefault="002B14DE" w:rsidP="002B14DE">
            <w:pPr>
              <w:spacing w:after="0" w:line="240" w:lineRule="auto"/>
              <w:rPr>
                <w:rFonts w:ascii="Tms Rmn" w:eastAsia="Times New Roman" w:hAnsi="Tms Rmn" w:cs="Times New Roman"/>
                <w:sz w:val="18"/>
                <w:szCs w:val="18"/>
                <w:lang w:eastAsia="it-IT"/>
              </w:rPr>
            </w:pPr>
            <w:r w:rsidRPr="00C505FF">
              <w:rPr>
                <w:rFonts w:ascii="Tms Rmn" w:eastAsia="Times New Roman" w:hAnsi="Tms Rmn" w:cs="Times New Roman"/>
                <w:sz w:val="18"/>
                <w:szCs w:val="18"/>
                <w:lang w:eastAsia="it-IT"/>
              </w:rPr>
              <w:t xml:space="preserve">ROI (ante </w:t>
            </w:r>
            <w:proofErr w:type="spellStart"/>
            <w:r w:rsidRPr="00C505FF">
              <w:rPr>
                <w:rFonts w:ascii="Tms Rmn" w:eastAsia="Times New Roman" w:hAnsi="Tms Rmn" w:cs="Times New Roman"/>
                <w:sz w:val="18"/>
                <w:szCs w:val="18"/>
                <w:lang w:eastAsia="it-IT"/>
              </w:rPr>
              <w:t>on.fin</w:t>
            </w:r>
            <w:proofErr w:type="spellEnd"/>
            <w:r w:rsidRPr="00C505FF">
              <w:rPr>
                <w:rFonts w:ascii="Tms Rmn" w:eastAsia="Times New Roman" w:hAnsi="Tms Rmn" w:cs="Times New Roman"/>
                <w:sz w:val="18"/>
                <w:szCs w:val="18"/>
                <w:lang w:eastAsia="it-IT"/>
              </w:rPr>
              <w:t>.)</w:t>
            </w:r>
          </w:p>
        </w:tc>
        <w:tc>
          <w:tcPr>
            <w:tcW w:w="1321" w:type="dxa"/>
            <w:gridSpan w:val="2"/>
            <w:tcBorders>
              <w:top w:val="nil"/>
              <w:left w:val="nil"/>
              <w:bottom w:val="nil"/>
              <w:right w:val="nil"/>
            </w:tcBorders>
            <w:shd w:val="clear" w:color="auto" w:fill="auto"/>
            <w:noWrap/>
            <w:vAlign w:val="bottom"/>
            <w:hideMark/>
          </w:tcPr>
          <w:p w:rsidR="002B14DE" w:rsidRPr="00C505FF" w:rsidRDefault="002B14DE" w:rsidP="002B14DE">
            <w:pPr>
              <w:spacing w:after="0" w:line="240" w:lineRule="auto"/>
              <w:rPr>
                <w:rFonts w:ascii="Tms Rmn" w:eastAsia="Times New Roman" w:hAnsi="Tms Rmn" w:cs="Times New Roman"/>
                <w:sz w:val="18"/>
                <w:szCs w:val="18"/>
                <w:lang w:eastAsia="it-IT"/>
              </w:rPr>
            </w:pPr>
          </w:p>
        </w:tc>
        <w:tc>
          <w:tcPr>
            <w:tcW w:w="839" w:type="dxa"/>
            <w:tcBorders>
              <w:top w:val="nil"/>
              <w:left w:val="nil"/>
              <w:bottom w:val="nil"/>
              <w:right w:val="nil"/>
            </w:tcBorders>
            <w:shd w:val="clear" w:color="auto" w:fill="auto"/>
            <w:noWrap/>
            <w:vAlign w:val="bottom"/>
            <w:hideMark/>
          </w:tcPr>
          <w:p w:rsidR="002B14DE" w:rsidRPr="00C505FF" w:rsidRDefault="002B14DE" w:rsidP="002B14DE">
            <w:pPr>
              <w:spacing w:after="0" w:line="240" w:lineRule="auto"/>
              <w:jc w:val="right"/>
              <w:rPr>
                <w:rFonts w:ascii="Tms Rmn" w:eastAsia="Times New Roman" w:hAnsi="Tms Rmn" w:cs="Times New Roman"/>
                <w:sz w:val="18"/>
                <w:szCs w:val="18"/>
                <w:lang w:eastAsia="it-IT"/>
              </w:rPr>
            </w:pPr>
            <w:r w:rsidRPr="00C505FF">
              <w:rPr>
                <w:rFonts w:ascii="Tms Rmn" w:eastAsia="Times New Roman" w:hAnsi="Tms Rmn" w:cs="Times New Roman"/>
                <w:sz w:val="18"/>
                <w:szCs w:val="18"/>
                <w:lang w:eastAsia="it-IT"/>
              </w:rPr>
              <w:t>4,7%</w:t>
            </w:r>
          </w:p>
        </w:tc>
        <w:tc>
          <w:tcPr>
            <w:tcW w:w="780" w:type="dxa"/>
            <w:tcBorders>
              <w:top w:val="nil"/>
              <w:left w:val="nil"/>
              <w:bottom w:val="nil"/>
              <w:right w:val="nil"/>
            </w:tcBorders>
            <w:shd w:val="clear" w:color="auto" w:fill="auto"/>
            <w:noWrap/>
            <w:vAlign w:val="bottom"/>
            <w:hideMark/>
          </w:tcPr>
          <w:p w:rsidR="002B14DE" w:rsidRPr="00C505FF" w:rsidRDefault="002B14DE" w:rsidP="002B14DE">
            <w:pPr>
              <w:spacing w:after="0" w:line="240" w:lineRule="auto"/>
              <w:jc w:val="right"/>
              <w:rPr>
                <w:rFonts w:ascii="Tms Rmn" w:eastAsia="Times New Roman" w:hAnsi="Tms Rmn" w:cs="Times New Roman"/>
                <w:sz w:val="18"/>
                <w:szCs w:val="18"/>
                <w:lang w:eastAsia="it-IT"/>
              </w:rPr>
            </w:pPr>
            <w:r w:rsidRPr="00C505FF">
              <w:rPr>
                <w:rFonts w:ascii="Tms Rmn" w:eastAsia="Times New Roman" w:hAnsi="Tms Rmn" w:cs="Times New Roman"/>
                <w:sz w:val="18"/>
                <w:szCs w:val="18"/>
                <w:lang w:eastAsia="it-IT"/>
              </w:rPr>
              <w:t>6,7%</w:t>
            </w:r>
          </w:p>
        </w:tc>
        <w:tc>
          <w:tcPr>
            <w:tcW w:w="860" w:type="dxa"/>
            <w:tcBorders>
              <w:top w:val="nil"/>
              <w:left w:val="nil"/>
              <w:bottom w:val="nil"/>
              <w:right w:val="nil"/>
            </w:tcBorders>
            <w:shd w:val="clear" w:color="auto" w:fill="auto"/>
            <w:noWrap/>
            <w:vAlign w:val="bottom"/>
            <w:hideMark/>
          </w:tcPr>
          <w:p w:rsidR="002B14DE" w:rsidRPr="00C505FF" w:rsidRDefault="002B14DE" w:rsidP="002B14DE">
            <w:pPr>
              <w:spacing w:after="0" w:line="240" w:lineRule="auto"/>
              <w:jc w:val="right"/>
              <w:rPr>
                <w:rFonts w:ascii="Tms Rmn" w:eastAsia="Times New Roman" w:hAnsi="Tms Rmn" w:cs="Times New Roman"/>
                <w:sz w:val="18"/>
                <w:szCs w:val="18"/>
                <w:lang w:eastAsia="it-IT"/>
              </w:rPr>
            </w:pPr>
            <w:r w:rsidRPr="00C505FF">
              <w:rPr>
                <w:rFonts w:ascii="Tms Rmn" w:eastAsia="Times New Roman" w:hAnsi="Tms Rmn" w:cs="Times New Roman"/>
                <w:sz w:val="18"/>
                <w:szCs w:val="18"/>
                <w:lang w:eastAsia="it-IT"/>
              </w:rPr>
              <w:t>5,9%</w:t>
            </w:r>
          </w:p>
        </w:tc>
        <w:tc>
          <w:tcPr>
            <w:tcW w:w="860" w:type="dxa"/>
            <w:tcBorders>
              <w:top w:val="nil"/>
              <w:left w:val="nil"/>
              <w:bottom w:val="nil"/>
              <w:right w:val="nil"/>
            </w:tcBorders>
          </w:tcPr>
          <w:p w:rsidR="002B14DE" w:rsidRPr="00C505FF" w:rsidRDefault="002B14DE" w:rsidP="002B14DE">
            <w:pPr>
              <w:spacing w:after="0" w:line="240" w:lineRule="auto"/>
              <w:jc w:val="right"/>
              <w:rPr>
                <w:rFonts w:ascii="Tms Rmn" w:eastAsia="Times New Roman" w:hAnsi="Tms Rmn" w:cs="Times New Roman"/>
                <w:sz w:val="18"/>
                <w:szCs w:val="18"/>
                <w:lang w:eastAsia="it-IT"/>
              </w:rPr>
            </w:pPr>
            <w:r>
              <w:rPr>
                <w:rFonts w:ascii="Tms Rmn" w:eastAsia="Times New Roman" w:hAnsi="Tms Rmn" w:cs="Times New Roman"/>
                <w:sz w:val="18"/>
                <w:szCs w:val="18"/>
                <w:lang w:eastAsia="it-IT"/>
              </w:rPr>
              <w:t>3,6%</w:t>
            </w:r>
          </w:p>
        </w:tc>
        <w:tc>
          <w:tcPr>
            <w:tcW w:w="860" w:type="dxa"/>
            <w:tcBorders>
              <w:top w:val="nil"/>
              <w:left w:val="nil"/>
              <w:bottom w:val="nil"/>
              <w:right w:val="nil"/>
            </w:tcBorders>
          </w:tcPr>
          <w:p w:rsidR="002B14DE" w:rsidRPr="00C505FF" w:rsidRDefault="002B14DE" w:rsidP="002B14DE">
            <w:pPr>
              <w:spacing w:after="0" w:line="240" w:lineRule="auto"/>
              <w:jc w:val="right"/>
              <w:rPr>
                <w:rFonts w:ascii="Tms Rmn" w:eastAsia="Times New Roman" w:hAnsi="Tms Rmn" w:cs="Times New Roman"/>
                <w:sz w:val="18"/>
                <w:szCs w:val="18"/>
                <w:lang w:eastAsia="it-IT"/>
              </w:rPr>
            </w:pPr>
            <w:r>
              <w:rPr>
                <w:rFonts w:ascii="Tms Rmn" w:eastAsia="Times New Roman" w:hAnsi="Tms Rmn" w:cs="Times New Roman"/>
                <w:sz w:val="18"/>
                <w:szCs w:val="18"/>
                <w:lang w:eastAsia="it-IT"/>
              </w:rPr>
              <w:t>1,2%</w:t>
            </w:r>
          </w:p>
        </w:tc>
      </w:tr>
      <w:tr w:rsidR="002B14DE" w:rsidRPr="00C505FF" w:rsidTr="002B14DE">
        <w:trPr>
          <w:trHeight w:val="240"/>
        </w:trPr>
        <w:tc>
          <w:tcPr>
            <w:tcW w:w="1940" w:type="dxa"/>
            <w:tcBorders>
              <w:top w:val="nil"/>
              <w:left w:val="nil"/>
              <w:bottom w:val="nil"/>
              <w:right w:val="nil"/>
            </w:tcBorders>
            <w:shd w:val="clear" w:color="auto" w:fill="auto"/>
            <w:noWrap/>
            <w:vAlign w:val="bottom"/>
            <w:hideMark/>
          </w:tcPr>
          <w:p w:rsidR="002B14DE" w:rsidRPr="00C505FF" w:rsidRDefault="002B14DE" w:rsidP="002B14DE">
            <w:pPr>
              <w:spacing w:after="0" w:line="240" w:lineRule="auto"/>
              <w:rPr>
                <w:rFonts w:ascii="Tms Rmn" w:eastAsia="Times New Roman" w:hAnsi="Tms Rmn" w:cs="Times New Roman"/>
                <w:sz w:val="18"/>
                <w:szCs w:val="18"/>
                <w:lang w:eastAsia="it-IT"/>
              </w:rPr>
            </w:pPr>
            <w:r w:rsidRPr="00C505FF">
              <w:rPr>
                <w:rFonts w:ascii="Tms Rmn" w:eastAsia="Times New Roman" w:hAnsi="Tms Rmn" w:cs="Times New Roman"/>
                <w:sz w:val="18"/>
                <w:szCs w:val="18"/>
                <w:lang w:eastAsia="it-IT"/>
              </w:rPr>
              <w:t xml:space="preserve">ROI (post </w:t>
            </w:r>
            <w:proofErr w:type="spellStart"/>
            <w:r w:rsidRPr="00C505FF">
              <w:rPr>
                <w:rFonts w:ascii="Tms Rmn" w:eastAsia="Times New Roman" w:hAnsi="Tms Rmn" w:cs="Times New Roman"/>
                <w:sz w:val="18"/>
                <w:szCs w:val="18"/>
                <w:lang w:eastAsia="it-IT"/>
              </w:rPr>
              <w:t>on.fin</w:t>
            </w:r>
            <w:proofErr w:type="spellEnd"/>
            <w:r>
              <w:rPr>
                <w:rFonts w:ascii="Tms Rmn" w:eastAsia="Times New Roman" w:hAnsi="Tms Rmn" w:cs="Times New Roman"/>
                <w:sz w:val="18"/>
                <w:szCs w:val="18"/>
                <w:lang w:eastAsia="it-IT"/>
              </w:rPr>
              <w:t xml:space="preserve"> e </w:t>
            </w:r>
            <w:proofErr w:type="spellStart"/>
            <w:proofErr w:type="gramStart"/>
            <w:r>
              <w:rPr>
                <w:rFonts w:ascii="Tms Rmn" w:eastAsia="Times New Roman" w:hAnsi="Tms Rmn" w:cs="Times New Roman"/>
                <w:sz w:val="18"/>
                <w:szCs w:val="18"/>
                <w:lang w:eastAsia="it-IT"/>
              </w:rPr>
              <w:t>str</w:t>
            </w:r>
            <w:proofErr w:type="spellEnd"/>
            <w:r>
              <w:rPr>
                <w:rFonts w:ascii="Tms Rmn" w:eastAsia="Times New Roman" w:hAnsi="Tms Rmn" w:cs="Times New Roman"/>
                <w:sz w:val="18"/>
                <w:szCs w:val="18"/>
                <w:lang w:eastAsia="it-IT"/>
              </w:rPr>
              <w:t>.</w:t>
            </w:r>
            <w:r w:rsidRPr="00C505FF">
              <w:rPr>
                <w:rFonts w:ascii="Tms Rmn" w:eastAsia="Times New Roman" w:hAnsi="Tms Rmn" w:cs="Times New Roman"/>
                <w:sz w:val="18"/>
                <w:szCs w:val="18"/>
                <w:lang w:eastAsia="it-IT"/>
              </w:rPr>
              <w:t>.</w:t>
            </w:r>
            <w:proofErr w:type="gramEnd"/>
            <w:r w:rsidRPr="00C505FF">
              <w:rPr>
                <w:rFonts w:ascii="Tms Rmn" w:eastAsia="Times New Roman" w:hAnsi="Tms Rmn" w:cs="Times New Roman"/>
                <w:sz w:val="18"/>
                <w:szCs w:val="18"/>
                <w:lang w:eastAsia="it-IT"/>
              </w:rPr>
              <w:t>)</w:t>
            </w:r>
          </w:p>
        </w:tc>
        <w:tc>
          <w:tcPr>
            <w:tcW w:w="1321" w:type="dxa"/>
            <w:gridSpan w:val="2"/>
            <w:tcBorders>
              <w:top w:val="nil"/>
              <w:left w:val="nil"/>
              <w:bottom w:val="nil"/>
              <w:right w:val="nil"/>
            </w:tcBorders>
            <w:shd w:val="clear" w:color="auto" w:fill="auto"/>
            <w:noWrap/>
            <w:vAlign w:val="bottom"/>
            <w:hideMark/>
          </w:tcPr>
          <w:p w:rsidR="002B14DE" w:rsidRPr="00C505FF" w:rsidRDefault="002B14DE" w:rsidP="002B14DE">
            <w:pPr>
              <w:spacing w:after="0" w:line="240" w:lineRule="auto"/>
              <w:rPr>
                <w:rFonts w:ascii="Tms Rmn" w:eastAsia="Times New Roman" w:hAnsi="Tms Rmn" w:cs="Times New Roman"/>
                <w:sz w:val="18"/>
                <w:szCs w:val="18"/>
                <w:lang w:eastAsia="it-IT"/>
              </w:rPr>
            </w:pPr>
          </w:p>
        </w:tc>
        <w:tc>
          <w:tcPr>
            <w:tcW w:w="839" w:type="dxa"/>
            <w:tcBorders>
              <w:top w:val="nil"/>
              <w:left w:val="nil"/>
              <w:bottom w:val="nil"/>
              <w:right w:val="nil"/>
            </w:tcBorders>
            <w:shd w:val="clear" w:color="auto" w:fill="auto"/>
            <w:noWrap/>
            <w:vAlign w:val="bottom"/>
            <w:hideMark/>
          </w:tcPr>
          <w:p w:rsidR="002B14DE" w:rsidRPr="00C505FF" w:rsidRDefault="002B14DE" w:rsidP="002B14DE">
            <w:pPr>
              <w:spacing w:after="0" w:line="240" w:lineRule="auto"/>
              <w:jc w:val="right"/>
              <w:rPr>
                <w:rFonts w:ascii="Tms Rmn" w:eastAsia="Times New Roman" w:hAnsi="Tms Rmn" w:cs="Times New Roman"/>
                <w:sz w:val="18"/>
                <w:szCs w:val="18"/>
                <w:lang w:eastAsia="it-IT"/>
              </w:rPr>
            </w:pPr>
            <w:r w:rsidRPr="00C505FF">
              <w:rPr>
                <w:rFonts w:ascii="Tms Rmn" w:eastAsia="Times New Roman" w:hAnsi="Tms Rmn" w:cs="Times New Roman"/>
                <w:sz w:val="18"/>
                <w:szCs w:val="18"/>
                <w:lang w:eastAsia="it-IT"/>
              </w:rPr>
              <w:t>3,5%</w:t>
            </w:r>
          </w:p>
        </w:tc>
        <w:tc>
          <w:tcPr>
            <w:tcW w:w="780" w:type="dxa"/>
            <w:tcBorders>
              <w:top w:val="nil"/>
              <w:left w:val="nil"/>
              <w:bottom w:val="nil"/>
              <w:right w:val="nil"/>
            </w:tcBorders>
            <w:shd w:val="clear" w:color="auto" w:fill="auto"/>
            <w:noWrap/>
            <w:vAlign w:val="bottom"/>
            <w:hideMark/>
          </w:tcPr>
          <w:p w:rsidR="002B14DE" w:rsidRPr="00C505FF" w:rsidRDefault="002B14DE" w:rsidP="002B14DE">
            <w:pPr>
              <w:spacing w:after="0" w:line="240" w:lineRule="auto"/>
              <w:jc w:val="right"/>
              <w:rPr>
                <w:rFonts w:ascii="Tms Rmn" w:eastAsia="Times New Roman" w:hAnsi="Tms Rmn" w:cs="Times New Roman"/>
                <w:sz w:val="18"/>
                <w:szCs w:val="18"/>
                <w:lang w:eastAsia="it-IT"/>
              </w:rPr>
            </w:pPr>
            <w:r w:rsidRPr="00C505FF">
              <w:rPr>
                <w:rFonts w:ascii="Tms Rmn" w:eastAsia="Times New Roman" w:hAnsi="Tms Rmn" w:cs="Times New Roman"/>
                <w:sz w:val="18"/>
                <w:szCs w:val="18"/>
                <w:lang w:eastAsia="it-IT"/>
              </w:rPr>
              <w:t>6,5%</w:t>
            </w:r>
          </w:p>
        </w:tc>
        <w:tc>
          <w:tcPr>
            <w:tcW w:w="860" w:type="dxa"/>
            <w:tcBorders>
              <w:top w:val="nil"/>
              <w:left w:val="nil"/>
              <w:bottom w:val="nil"/>
              <w:right w:val="nil"/>
            </w:tcBorders>
            <w:shd w:val="clear" w:color="auto" w:fill="auto"/>
            <w:noWrap/>
            <w:vAlign w:val="bottom"/>
            <w:hideMark/>
          </w:tcPr>
          <w:p w:rsidR="002B14DE" w:rsidRPr="00C505FF" w:rsidRDefault="002B14DE" w:rsidP="002B14DE">
            <w:pPr>
              <w:spacing w:after="0" w:line="240" w:lineRule="auto"/>
              <w:jc w:val="right"/>
              <w:rPr>
                <w:rFonts w:ascii="Tms Rmn" w:eastAsia="Times New Roman" w:hAnsi="Tms Rmn" w:cs="Times New Roman"/>
                <w:sz w:val="18"/>
                <w:szCs w:val="18"/>
                <w:lang w:eastAsia="it-IT"/>
              </w:rPr>
            </w:pPr>
            <w:r w:rsidRPr="00C505FF">
              <w:rPr>
                <w:rFonts w:ascii="Tms Rmn" w:eastAsia="Times New Roman" w:hAnsi="Tms Rmn" w:cs="Times New Roman"/>
                <w:sz w:val="18"/>
                <w:szCs w:val="18"/>
                <w:lang w:eastAsia="it-IT"/>
              </w:rPr>
              <w:t>5,8%</w:t>
            </w:r>
          </w:p>
        </w:tc>
        <w:tc>
          <w:tcPr>
            <w:tcW w:w="860" w:type="dxa"/>
            <w:tcBorders>
              <w:top w:val="nil"/>
              <w:left w:val="nil"/>
              <w:bottom w:val="nil"/>
              <w:right w:val="nil"/>
            </w:tcBorders>
          </w:tcPr>
          <w:p w:rsidR="002B14DE" w:rsidRPr="00C505FF" w:rsidRDefault="002B14DE" w:rsidP="002B14DE">
            <w:pPr>
              <w:spacing w:after="0" w:line="240" w:lineRule="auto"/>
              <w:jc w:val="right"/>
              <w:rPr>
                <w:rFonts w:ascii="Tms Rmn" w:eastAsia="Times New Roman" w:hAnsi="Tms Rmn" w:cs="Times New Roman"/>
                <w:sz w:val="18"/>
                <w:szCs w:val="18"/>
                <w:lang w:eastAsia="it-IT"/>
              </w:rPr>
            </w:pPr>
            <w:r>
              <w:rPr>
                <w:rFonts w:ascii="Tms Rmn" w:eastAsia="Times New Roman" w:hAnsi="Tms Rmn" w:cs="Times New Roman"/>
                <w:sz w:val="18"/>
                <w:szCs w:val="18"/>
                <w:lang w:eastAsia="it-IT"/>
              </w:rPr>
              <w:t>5,2%</w:t>
            </w:r>
          </w:p>
        </w:tc>
        <w:tc>
          <w:tcPr>
            <w:tcW w:w="860" w:type="dxa"/>
            <w:tcBorders>
              <w:top w:val="nil"/>
              <w:left w:val="nil"/>
              <w:bottom w:val="nil"/>
              <w:right w:val="nil"/>
            </w:tcBorders>
          </w:tcPr>
          <w:p w:rsidR="002B14DE" w:rsidRPr="00C505FF" w:rsidRDefault="002B14DE" w:rsidP="002B14DE">
            <w:pPr>
              <w:spacing w:after="0" w:line="240" w:lineRule="auto"/>
              <w:jc w:val="right"/>
              <w:rPr>
                <w:rFonts w:ascii="Tms Rmn" w:eastAsia="Times New Roman" w:hAnsi="Tms Rmn" w:cs="Times New Roman"/>
                <w:sz w:val="18"/>
                <w:szCs w:val="18"/>
                <w:lang w:eastAsia="it-IT"/>
              </w:rPr>
            </w:pPr>
            <w:r>
              <w:rPr>
                <w:rFonts w:ascii="Tms Rmn" w:eastAsia="Times New Roman" w:hAnsi="Tms Rmn" w:cs="Times New Roman"/>
                <w:sz w:val="18"/>
                <w:szCs w:val="18"/>
                <w:lang w:eastAsia="it-IT"/>
              </w:rPr>
              <w:t>4,1%</w:t>
            </w:r>
          </w:p>
        </w:tc>
      </w:tr>
      <w:tr w:rsidR="002B14DE" w:rsidRPr="00C505FF" w:rsidTr="002B14DE">
        <w:trPr>
          <w:trHeight w:val="240"/>
        </w:trPr>
        <w:tc>
          <w:tcPr>
            <w:tcW w:w="3261" w:type="dxa"/>
            <w:gridSpan w:val="3"/>
            <w:tcBorders>
              <w:top w:val="nil"/>
              <w:left w:val="nil"/>
              <w:bottom w:val="single" w:sz="4" w:space="0" w:color="auto"/>
              <w:right w:val="nil"/>
            </w:tcBorders>
            <w:shd w:val="clear" w:color="auto" w:fill="auto"/>
            <w:noWrap/>
            <w:vAlign w:val="bottom"/>
            <w:hideMark/>
          </w:tcPr>
          <w:p w:rsidR="002B14DE" w:rsidRPr="00C505FF" w:rsidRDefault="002B14DE" w:rsidP="002B14DE">
            <w:pPr>
              <w:spacing w:after="0" w:line="240" w:lineRule="auto"/>
              <w:rPr>
                <w:rFonts w:ascii="Tms Rmn" w:eastAsia="Times New Roman" w:hAnsi="Tms Rmn" w:cs="Times New Roman"/>
                <w:sz w:val="18"/>
                <w:szCs w:val="18"/>
                <w:lang w:eastAsia="it-IT"/>
              </w:rPr>
            </w:pPr>
            <w:proofErr w:type="spellStart"/>
            <w:r w:rsidRPr="00C505FF">
              <w:rPr>
                <w:rFonts w:ascii="Tms Rmn" w:eastAsia="Times New Roman" w:hAnsi="Tms Rmn" w:cs="Times New Roman"/>
                <w:sz w:val="18"/>
                <w:szCs w:val="18"/>
                <w:lang w:eastAsia="it-IT"/>
              </w:rPr>
              <w:t>Roe</w:t>
            </w:r>
            <w:proofErr w:type="spellEnd"/>
            <w:r w:rsidRPr="00C505FF">
              <w:rPr>
                <w:rFonts w:ascii="Tms Rmn" w:eastAsia="Times New Roman" w:hAnsi="Tms Rmn" w:cs="Times New Roman"/>
                <w:sz w:val="18"/>
                <w:szCs w:val="18"/>
                <w:lang w:eastAsia="it-IT"/>
              </w:rPr>
              <w:t xml:space="preserve"> (profitti netti/capitale netto)</w:t>
            </w:r>
          </w:p>
        </w:tc>
        <w:tc>
          <w:tcPr>
            <w:tcW w:w="839" w:type="dxa"/>
            <w:tcBorders>
              <w:top w:val="nil"/>
              <w:left w:val="nil"/>
              <w:bottom w:val="single" w:sz="4" w:space="0" w:color="auto"/>
              <w:right w:val="nil"/>
            </w:tcBorders>
            <w:shd w:val="clear" w:color="auto" w:fill="auto"/>
            <w:noWrap/>
            <w:vAlign w:val="bottom"/>
            <w:hideMark/>
          </w:tcPr>
          <w:p w:rsidR="002B14DE" w:rsidRPr="00C505FF" w:rsidRDefault="002B14DE" w:rsidP="002B14DE">
            <w:pPr>
              <w:spacing w:after="0" w:line="240" w:lineRule="auto"/>
              <w:jc w:val="right"/>
              <w:rPr>
                <w:rFonts w:ascii="Tms Rmn" w:eastAsia="Times New Roman" w:hAnsi="Tms Rmn" w:cs="Times New Roman"/>
                <w:sz w:val="18"/>
                <w:szCs w:val="18"/>
                <w:lang w:eastAsia="it-IT"/>
              </w:rPr>
            </w:pPr>
            <w:r w:rsidRPr="00C505FF">
              <w:rPr>
                <w:rFonts w:ascii="Tms Rmn" w:eastAsia="Times New Roman" w:hAnsi="Tms Rmn" w:cs="Times New Roman"/>
                <w:sz w:val="18"/>
                <w:szCs w:val="18"/>
                <w:lang w:eastAsia="it-IT"/>
              </w:rPr>
              <w:t>4,3%</w:t>
            </w:r>
          </w:p>
        </w:tc>
        <w:tc>
          <w:tcPr>
            <w:tcW w:w="780" w:type="dxa"/>
            <w:tcBorders>
              <w:top w:val="nil"/>
              <w:left w:val="nil"/>
              <w:bottom w:val="single" w:sz="4" w:space="0" w:color="auto"/>
              <w:right w:val="nil"/>
            </w:tcBorders>
            <w:shd w:val="clear" w:color="auto" w:fill="auto"/>
            <w:noWrap/>
            <w:vAlign w:val="bottom"/>
            <w:hideMark/>
          </w:tcPr>
          <w:p w:rsidR="002B14DE" w:rsidRPr="00C505FF" w:rsidRDefault="002B14DE" w:rsidP="002B14DE">
            <w:pPr>
              <w:spacing w:after="0" w:line="240" w:lineRule="auto"/>
              <w:jc w:val="right"/>
              <w:rPr>
                <w:rFonts w:ascii="Tms Rmn" w:eastAsia="Times New Roman" w:hAnsi="Tms Rmn" w:cs="Times New Roman"/>
                <w:sz w:val="18"/>
                <w:szCs w:val="18"/>
                <w:lang w:eastAsia="it-IT"/>
              </w:rPr>
            </w:pPr>
            <w:r w:rsidRPr="00C505FF">
              <w:rPr>
                <w:rFonts w:ascii="Tms Rmn" w:eastAsia="Times New Roman" w:hAnsi="Tms Rmn" w:cs="Times New Roman"/>
                <w:sz w:val="18"/>
                <w:szCs w:val="18"/>
                <w:lang w:eastAsia="it-IT"/>
              </w:rPr>
              <w:t>10,8%</w:t>
            </w:r>
          </w:p>
        </w:tc>
        <w:tc>
          <w:tcPr>
            <w:tcW w:w="860" w:type="dxa"/>
            <w:tcBorders>
              <w:top w:val="nil"/>
              <w:left w:val="nil"/>
              <w:bottom w:val="single" w:sz="4" w:space="0" w:color="auto"/>
              <w:right w:val="nil"/>
            </w:tcBorders>
            <w:shd w:val="clear" w:color="auto" w:fill="auto"/>
            <w:noWrap/>
            <w:vAlign w:val="bottom"/>
            <w:hideMark/>
          </w:tcPr>
          <w:p w:rsidR="002B14DE" w:rsidRPr="00C505FF" w:rsidRDefault="002B14DE" w:rsidP="002B14DE">
            <w:pPr>
              <w:spacing w:after="0" w:line="240" w:lineRule="auto"/>
              <w:jc w:val="right"/>
              <w:rPr>
                <w:rFonts w:ascii="Tms Rmn" w:eastAsia="Times New Roman" w:hAnsi="Tms Rmn" w:cs="Times New Roman"/>
                <w:sz w:val="18"/>
                <w:szCs w:val="18"/>
                <w:lang w:eastAsia="it-IT"/>
              </w:rPr>
            </w:pPr>
            <w:r w:rsidRPr="00C505FF">
              <w:rPr>
                <w:rFonts w:ascii="Tms Rmn" w:eastAsia="Times New Roman" w:hAnsi="Tms Rmn" w:cs="Times New Roman"/>
                <w:sz w:val="18"/>
                <w:szCs w:val="18"/>
                <w:lang w:eastAsia="it-IT"/>
              </w:rPr>
              <w:t>9,4%</w:t>
            </w:r>
          </w:p>
        </w:tc>
        <w:tc>
          <w:tcPr>
            <w:tcW w:w="860" w:type="dxa"/>
            <w:tcBorders>
              <w:top w:val="nil"/>
              <w:left w:val="nil"/>
              <w:bottom w:val="single" w:sz="4" w:space="0" w:color="auto"/>
              <w:right w:val="nil"/>
            </w:tcBorders>
          </w:tcPr>
          <w:p w:rsidR="002B14DE" w:rsidRPr="00C505FF" w:rsidRDefault="002B14DE" w:rsidP="002B14DE">
            <w:pPr>
              <w:spacing w:after="0" w:line="240" w:lineRule="auto"/>
              <w:jc w:val="right"/>
              <w:rPr>
                <w:rFonts w:ascii="Tms Rmn" w:eastAsia="Times New Roman" w:hAnsi="Tms Rmn" w:cs="Times New Roman"/>
                <w:sz w:val="18"/>
                <w:szCs w:val="18"/>
                <w:lang w:eastAsia="it-IT"/>
              </w:rPr>
            </w:pPr>
            <w:r>
              <w:rPr>
                <w:rFonts w:ascii="Tms Rmn" w:eastAsia="Times New Roman" w:hAnsi="Tms Rmn" w:cs="Times New Roman"/>
                <w:sz w:val="18"/>
                <w:szCs w:val="18"/>
                <w:lang w:eastAsia="it-IT"/>
              </w:rPr>
              <w:t>7,6%</w:t>
            </w:r>
          </w:p>
        </w:tc>
        <w:tc>
          <w:tcPr>
            <w:tcW w:w="860" w:type="dxa"/>
            <w:tcBorders>
              <w:top w:val="nil"/>
              <w:left w:val="nil"/>
              <w:bottom w:val="single" w:sz="4" w:space="0" w:color="auto"/>
              <w:right w:val="nil"/>
            </w:tcBorders>
          </w:tcPr>
          <w:p w:rsidR="002B14DE" w:rsidRPr="00C505FF" w:rsidRDefault="002B14DE" w:rsidP="002B14DE">
            <w:pPr>
              <w:spacing w:after="0" w:line="240" w:lineRule="auto"/>
              <w:jc w:val="right"/>
              <w:rPr>
                <w:rFonts w:ascii="Tms Rmn" w:eastAsia="Times New Roman" w:hAnsi="Tms Rmn" w:cs="Times New Roman"/>
                <w:sz w:val="18"/>
                <w:szCs w:val="18"/>
                <w:lang w:eastAsia="it-IT"/>
              </w:rPr>
            </w:pPr>
            <w:r>
              <w:rPr>
                <w:rFonts w:ascii="Tms Rmn" w:eastAsia="Times New Roman" w:hAnsi="Tms Rmn" w:cs="Times New Roman"/>
                <w:sz w:val="18"/>
                <w:szCs w:val="18"/>
                <w:lang w:eastAsia="it-IT"/>
              </w:rPr>
              <w:t>6,0%</w:t>
            </w:r>
          </w:p>
        </w:tc>
      </w:tr>
    </w:tbl>
    <w:p w:rsidR="002B14DE" w:rsidRDefault="002B14DE" w:rsidP="002B14DE"/>
    <w:p w:rsidR="002B14DE" w:rsidRDefault="002B14DE" w:rsidP="002B14DE">
      <w:pPr>
        <w:jc w:val="both"/>
      </w:pPr>
      <w:r>
        <w:t>Il 2016 si configura dunque come un anno di aggravamento di sintomi preesistenti, con un netto abbassamento di profittabilità: il settore rimane finanziariamente in equilibrio, ma con un “motore” a giri sempre più bassi.</w:t>
      </w:r>
    </w:p>
    <w:p w:rsidR="002B14DE" w:rsidRDefault="002B14DE" w:rsidP="002B14DE">
      <w:r>
        <w:br w:type="page"/>
      </w:r>
    </w:p>
    <w:p w:rsidR="002B14DE" w:rsidRDefault="002B14DE" w:rsidP="009E35BE">
      <w:pPr>
        <w:pStyle w:val="Titolo1"/>
      </w:pPr>
      <w:r>
        <w:t>2.</w:t>
      </w:r>
      <w:r w:rsidRPr="008F1136">
        <w:t xml:space="preserve"> </w:t>
      </w:r>
      <w:r>
        <w:t>L’occupazione dipendente nel comparto artigiano</w:t>
      </w:r>
    </w:p>
    <w:p w:rsidR="002B14DE" w:rsidRDefault="002B14DE" w:rsidP="002B14DE">
      <w:pPr>
        <w:jc w:val="both"/>
        <w:rPr>
          <w:sz w:val="24"/>
          <w:szCs w:val="24"/>
        </w:rPr>
      </w:pPr>
    </w:p>
    <w:p w:rsidR="002B14DE" w:rsidRPr="008F1136" w:rsidRDefault="002B14DE" w:rsidP="002B14DE">
      <w:pPr>
        <w:jc w:val="both"/>
        <w:rPr>
          <w:sz w:val="24"/>
          <w:szCs w:val="24"/>
        </w:rPr>
      </w:pPr>
      <w:r>
        <w:rPr>
          <w:sz w:val="24"/>
          <w:szCs w:val="24"/>
        </w:rPr>
        <w:t xml:space="preserve">Questa parte della nostra ricerca è mirata ad approfondire e descrivere l’articolazione delle aziende artigiane del distretto orafo aretino. La base dati da cui traiamo tutte le informazioni di base è costituita dalla banca dati dei dipendenti delle aziende iscritte ad </w:t>
      </w:r>
      <w:proofErr w:type="spellStart"/>
      <w:r>
        <w:rPr>
          <w:sz w:val="24"/>
          <w:szCs w:val="24"/>
        </w:rPr>
        <w:t>Ebret</w:t>
      </w:r>
      <w:proofErr w:type="spellEnd"/>
      <w:r>
        <w:rPr>
          <w:sz w:val="24"/>
          <w:szCs w:val="24"/>
        </w:rPr>
        <w:t xml:space="preserve"> (Ente Bilaterale dell’Artigianato della Toscana). In linea teorica tutte le aziende artigiane con dipendenti sono tenute a versare un contributo proporzionale al numero degli addetti dipendenti, di cui debbono altresì descrivere alcune caratteristiche anagrafiche e lavorative. Tuttavia non tutte le aziende iscritte ad </w:t>
      </w:r>
      <w:proofErr w:type="spellStart"/>
      <w:r>
        <w:rPr>
          <w:sz w:val="24"/>
          <w:szCs w:val="24"/>
        </w:rPr>
        <w:t>Ebret</w:t>
      </w:r>
      <w:proofErr w:type="spellEnd"/>
      <w:r>
        <w:rPr>
          <w:sz w:val="24"/>
          <w:szCs w:val="24"/>
        </w:rPr>
        <w:t xml:space="preserve"> sono aziende artigiane (a volte sono ex artigiani) e non tutte le aziende artigiane versano effettivamente le quote </w:t>
      </w:r>
      <w:proofErr w:type="spellStart"/>
      <w:r>
        <w:rPr>
          <w:sz w:val="24"/>
          <w:szCs w:val="24"/>
        </w:rPr>
        <w:t>Ebret</w:t>
      </w:r>
      <w:proofErr w:type="spellEnd"/>
      <w:r>
        <w:rPr>
          <w:sz w:val="24"/>
          <w:szCs w:val="24"/>
        </w:rPr>
        <w:t xml:space="preserve">. Inoltre in qualche caso i dati relativi ai dipendenti non sono completi ed effettivamente utilizzabili. Con tutti questi limiti, grosso modo, il dato delle aziende </w:t>
      </w:r>
      <w:proofErr w:type="spellStart"/>
      <w:r>
        <w:rPr>
          <w:sz w:val="24"/>
          <w:szCs w:val="24"/>
        </w:rPr>
        <w:t>Ebret</w:t>
      </w:r>
      <w:proofErr w:type="spellEnd"/>
      <w:r>
        <w:rPr>
          <w:sz w:val="24"/>
          <w:szCs w:val="24"/>
        </w:rPr>
        <w:t xml:space="preserve"> è altamente rappresentativo delle aziende artigiane (con dipendenti).</w:t>
      </w:r>
    </w:p>
    <w:p w:rsidR="002B14DE" w:rsidRPr="0012303D" w:rsidRDefault="002B14DE" w:rsidP="002B14DE">
      <w:pPr>
        <w:jc w:val="both"/>
        <w:rPr>
          <w:i/>
          <w:sz w:val="24"/>
          <w:szCs w:val="24"/>
        </w:rPr>
      </w:pPr>
      <w:r>
        <w:rPr>
          <w:sz w:val="24"/>
          <w:szCs w:val="24"/>
        </w:rPr>
        <w:t xml:space="preserve">Il problema fondamentale nella gestione dei dati è piuttosto un altro, che esiste quasi sempre nella ricerca economica, ma che spesso è “convenientemente” dimenticato, ossia che le classificazioni settoriali non corrispondono agli scopi di un’efficace descrizione della realtà economica, sia per limiti intrinseci alle classificazioni Istat ATECO (o altre che si adottino), sia per errori di classificazione (la classificazione non è mai fata da esperti ma al meglio da funzionari addetti agli sportelli delle </w:t>
      </w:r>
      <w:proofErr w:type="spellStart"/>
      <w:r>
        <w:rPr>
          <w:sz w:val="24"/>
          <w:szCs w:val="24"/>
        </w:rPr>
        <w:t>Cciaa</w:t>
      </w:r>
      <w:proofErr w:type="spellEnd"/>
      <w:r>
        <w:rPr>
          <w:sz w:val="24"/>
          <w:szCs w:val="24"/>
        </w:rPr>
        <w:t xml:space="preserve">, dagli imprenditori stessi, o da consulenti esterni e commercialisti); inoltre spesso le attività effettivamente volte dalle aziende cambiano nel tempo, e non è detto che qualcuno “perda tempo” segnalando il cambiamento del contenuto merceologico dell’attività di un’azienda agli organi che producono statistiche. Nel nostro caso siamo partiti dalla originaria classificazione dei dati degli archivi </w:t>
      </w:r>
      <w:proofErr w:type="spellStart"/>
      <w:r>
        <w:rPr>
          <w:sz w:val="24"/>
          <w:szCs w:val="24"/>
        </w:rPr>
        <w:t>Ebret</w:t>
      </w:r>
      <w:proofErr w:type="spellEnd"/>
      <w:r>
        <w:rPr>
          <w:sz w:val="24"/>
          <w:szCs w:val="24"/>
        </w:rPr>
        <w:t>-Inps, ossia la CSC/Inps, e la abbiamo velocemente confrontata con la “descrizione dell’attività” contenuta negli archivi Inps. Tutte le volte che il confronto fra queste due non era univoco, abbiamo compiuto una verifica sul sito Internet dell’impresa di incerta classificazione, o guardato le descrizioni contenute in una delle molteplici banche dati che contengono elenchi di aziende sul territorio. Infatti spesso la classificazione adottata non dà conto se si stia trattando di un’attività di lavorazione e produzione di metalli comuni o di metalli preziosi: in questi casi spesso la consultazione di ulteriori dati indirizza verso l’una o l’altra area il lavoro di classificazione</w:t>
      </w:r>
      <w:r>
        <w:rPr>
          <w:rStyle w:val="Rimandonotaapidipagina"/>
          <w:sz w:val="24"/>
          <w:szCs w:val="24"/>
        </w:rPr>
        <w:footnoteReference w:id="3"/>
      </w:r>
      <w:r>
        <w:rPr>
          <w:sz w:val="24"/>
          <w:szCs w:val="24"/>
        </w:rPr>
        <w:t>. Il nostro punto di arrivo è una riclassificazione di tutte le aziende artigiane coinvolte nel ciclo dell’oro allargato in quattro gruppi: l’oreficeria vera e propria (circa 1670 addetti); la produzione dei metalli preziosi e il trattamento della loro superficie (165 addetti); la produzione di macchine e stampi per l’industria orafa (quasi 100 addetti) e le altre attività, come orologeria, bigiotteria, servizi di controllo qualità (anch’essi circa 100 addetti). Il centro delle attività è dunque chiaramente quello della produzione di gioielli e prodotti orafi, ma non è del tutto trascurabile la presenza delle attività di produzione della materia prima, di attività connesse</w:t>
      </w:r>
      <w:r>
        <w:rPr>
          <w:rStyle w:val="Rimandonotaapidipagina"/>
          <w:sz w:val="24"/>
          <w:szCs w:val="24"/>
        </w:rPr>
        <w:footnoteReference w:id="4"/>
      </w:r>
      <w:r>
        <w:rPr>
          <w:sz w:val="24"/>
          <w:szCs w:val="24"/>
        </w:rPr>
        <w:t>, o della produzione dei beni capitali relativi.</w:t>
      </w:r>
    </w:p>
    <w:p w:rsidR="002B14DE" w:rsidRDefault="002B14DE" w:rsidP="002B14DE"/>
    <w:p w:rsidR="002B14DE" w:rsidRDefault="002B14DE" w:rsidP="002B14DE"/>
    <w:p w:rsidR="002B14DE" w:rsidRDefault="002B14DE" w:rsidP="002B14DE"/>
    <w:p w:rsidR="002B14DE" w:rsidRDefault="002B14DE" w:rsidP="002B14DE">
      <w:r w:rsidRPr="0012303D">
        <w:rPr>
          <w:noProof/>
          <w:lang w:eastAsia="it-IT"/>
        </w:rPr>
        <w:drawing>
          <wp:inline distT="0" distB="0" distL="0" distR="0" wp14:anchorId="3E66BE68" wp14:editId="06A36AAF">
            <wp:extent cx="4581525" cy="2752725"/>
            <wp:effectExtent l="0" t="0" r="9525" b="952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a:noFill/>
                    </a:ln>
                  </pic:spPr>
                </pic:pic>
              </a:graphicData>
            </a:graphic>
          </wp:inline>
        </w:drawing>
      </w:r>
    </w:p>
    <w:p w:rsidR="002B14DE" w:rsidRDefault="002B14DE" w:rsidP="002B14DE">
      <w:pPr>
        <w:jc w:val="both"/>
        <w:rPr>
          <w:sz w:val="24"/>
          <w:szCs w:val="24"/>
        </w:rPr>
      </w:pPr>
      <w:r>
        <w:rPr>
          <w:sz w:val="24"/>
          <w:szCs w:val="24"/>
        </w:rPr>
        <w:t>Un primo elemento di composizione dell’occupazione può essere analizzato rispetto alla composizione professionale degli addetti. La caratterizzazione dell’occupazione è essenzialmente operaia, come accade quasi sempre nelle produzioni artigiane: il 74% degli addetti sono operai, con quote un po’ inferiori nelle produzioni di macchine specializzate (65%) e nella bigiotteria e altri (69%). Gli apprendisti sono circa un decimo del totale degli addetti (11%), e gli impiegati una quota leggermente superiore (13%, ma oltre il 20% nella produzione di macchine e nella bigiotteria e altri settori, e solo l’11% nella produzione e lavorazione del metallo prezioso).</w:t>
      </w:r>
    </w:p>
    <w:p w:rsidR="002B14DE" w:rsidRDefault="002B14DE" w:rsidP="002B14DE">
      <w:pPr>
        <w:rPr>
          <w:sz w:val="24"/>
          <w:szCs w:val="24"/>
        </w:rPr>
      </w:pPr>
    </w:p>
    <w:p w:rsidR="00BF48AB" w:rsidRPr="00BF48AB" w:rsidRDefault="00CD214C" w:rsidP="002B14DE">
      <w:pPr>
        <w:rPr>
          <w:i/>
          <w:sz w:val="24"/>
          <w:szCs w:val="24"/>
        </w:rPr>
      </w:pPr>
      <w:proofErr w:type="spellStart"/>
      <w:r>
        <w:rPr>
          <w:i/>
          <w:sz w:val="24"/>
          <w:szCs w:val="24"/>
        </w:rPr>
        <w:t>Tab</w:t>
      </w:r>
      <w:proofErr w:type="spellEnd"/>
      <w:r>
        <w:rPr>
          <w:i/>
          <w:sz w:val="24"/>
          <w:szCs w:val="24"/>
        </w:rPr>
        <w:t xml:space="preserve">. 2.1 </w:t>
      </w:r>
      <w:r w:rsidR="00BF48AB" w:rsidRPr="00BF48AB">
        <w:rPr>
          <w:i/>
          <w:sz w:val="24"/>
          <w:szCs w:val="24"/>
        </w:rPr>
        <w:t>Occupati dipendenti dell’artigianato per settore</w:t>
      </w:r>
    </w:p>
    <w:tbl>
      <w:tblPr>
        <w:tblW w:w="8885" w:type="dxa"/>
        <w:tblCellMar>
          <w:left w:w="70" w:type="dxa"/>
          <w:right w:w="70" w:type="dxa"/>
        </w:tblCellMar>
        <w:tblLook w:val="04A0" w:firstRow="1" w:lastRow="0" w:firstColumn="1" w:lastColumn="0" w:noHBand="0" w:noVBand="1"/>
      </w:tblPr>
      <w:tblGrid>
        <w:gridCol w:w="3633"/>
        <w:gridCol w:w="960"/>
        <w:gridCol w:w="975"/>
        <w:gridCol w:w="1155"/>
        <w:gridCol w:w="960"/>
        <w:gridCol w:w="1202"/>
      </w:tblGrid>
      <w:tr w:rsidR="002B14DE" w:rsidRPr="008013CE" w:rsidTr="002B14DE">
        <w:trPr>
          <w:trHeight w:val="300"/>
        </w:trPr>
        <w:tc>
          <w:tcPr>
            <w:tcW w:w="3633" w:type="dxa"/>
            <w:tcBorders>
              <w:top w:val="single" w:sz="4" w:space="0" w:color="auto"/>
              <w:left w:val="nil"/>
              <w:bottom w:val="single" w:sz="4" w:space="0" w:color="auto"/>
              <w:right w:val="nil"/>
            </w:tcBorders>
            <w:shd w:val="clear" w:color="auto" w:fill="auto"/>
            <w:noWrap/>
            <w:vAlign w:val="bottom"/>
            <w:hideMark/>
          </w:tcPr>
          <w:p w:rsidR="002B14DE" w:rsidRPr="008013CE" w:rsidRDefault="002B14DE" w:rsidP="002B14DE">
            <w:pPr>
              <w:spacing w:after="0" w:line="240" w:lineRule="auto"/>
              <w:rPr>
                <w:rFonts w:ascii="Calibri" w:eastAsia="Times New Roman" w:hAnsi="Calibri" w:cs="Times New Roman"/>
                <w:color w:val="000000"/>
                <w:lang w:eastAsia="it-IT"/>
              </w:rPr>
            </w:pPr>
          </w:p>
        </w:tc>
        <w:tc>
          <w:tcPr>
            <w:tcW w:w="960" w:type="dxa"/>
            <w:tcBorders>
              <w:top w:val="single" w:sz="4" w:space="0" w:color="auto"/>
              <w:left w:val="nil"/>
              <w:bottom w:val="single" w:sz="4" w:space="0" w:color="auto"/>
              <w:right w:val="nil"/>
            </w:tcBorders>
            <w:shd w:val="clear" w:color="auto" w:fill="auto"/>
            <w:noWrap/>
            <w:vAlign w:val="bottom"/>
            <w:hideMark/>
          </w:tcPr>
          <w:p w:rsidR="002B14DE" w:rsidRPr="008013CE" w:rsidRDefault="002B14DE" w:rsidP="002B14DE">
            <w:pPr>
              <w:spacing w:after="0" w:line="240" w:lineRule="auto"/>
              <w:rPr>
                <w:rFonts w:ascii="Calibri" w:eastAsia="Times New Roman" w:hAnsi="Calibri" w:cs="Times New Roman"/>
                <w:color w:val="000000"/>
                <w:lang w:eastAsia="it-IT"/>
              </w:rPr>
            </w:pPr>
            <w:proofErr w:type="gramStart"/>
            <w:r w:rsidRPr="008013CE">
              <w:rPr>
                <w:rFonts w:ascii="Calibri" w:eastAsia="Times New Roman" w:hAnsi="Calibri" w:cs="Times New Roman"/>
                <w:color w:val="000000"/>
                <w:lang w:eastAsia="it-IT"/>
              </w:rPr>
              <w:t>operai</w:t>
            </w:r>
            <w:proofErr w:type="gramEnd"/>
          </w:p>
        </w:tc>
        <w:tc>
          <w:tcPr>
            <w:tcW w:w="975" w:type="dxa"/>
            <w:tcBorders>
              <w:top w:val="single" w:sz="4" w:space="0" w:color="auto"/>
              <w:left w:val="nil"/>
              <w:bottom w:val="single" w:sz="4" w:space="0" w:color="auto"/>
              <w:right w:val="nil"/>
            </w:tcBorders>
            <w:shd w:val="clear" w:color="auto" w:fill="auto"/>
            <w:noWrap/>
            <w:vAlign w:val="bottom"/>
            <w:hideMark/>
          </w:tcPr>
          <w:p w:rsidR="002B14DE" w:rsidRPr="008013CE" w:rsidRDefault="002B14DE" w:rsidP="002B14DE">
            <w:pPr>
              <w:spacing w:after="0" w:line="240" w:lineRule="auto"/>
              <w:rPr>
                <w:rFonts w:ascii="Calibri" w:eastAsia="Times New Roman" w:hAnsi="Calibri" w:cs="Times New Roman"/>
                <w:color w:val="000000"/>
                <w:lang w:eastAsia="it-IT"/>
              </w:rPr>
            </w:pPr>
            <w:proofErr w:type="gramStart"/>
            <w:r w:rsidRPr="008013CE">
              <w:rPr>
                <w:rFonts w:ascii="Calibri" w:eastAsia="Times New Roman" w:hAnsi="Calibri" w:cs="Times New Roman"/>
                <w:color w:val="000000"/>
                <w:lang w:eastAsia="it-IT"/>
              </w:rPr>
              <w:t>impiegati</w:t>
            </w:r>
            <w:proofErr w:type="gramEnd"/>
          </w:p>
        </w:tc>
        <w:tc>
          <w:tcPr>
            <w:tcW w:w="1155" w:type="dxa"/>
            <w:tcBorders>
              <w:top w:val="single" w:sz="4" w:space="0" w:color="auto"/>
              <w:left w:val="nil"/>
              <w:bottom w:val="single" w:sz="4" w:space="0" w:color="auto"/>
              <w:right w:val="nil"/>
            </w:tcBorders>
            <w:shd w:val="clear" w:color="auto" w:fill="auto"/>
            <w:noWrap/>
            <w:vAlign w:val="bottom"/>
            <w:hideMark/>
          </w:tcPr>
          <w:p w:rsidR="002B14DE" w:rsidRPr="008013CE" w:rsidRDefault="002B14DE" w:rsidP="002B14DE">
            <w:pPr>
              <w:spacing w:after="0" w:line="240" w:lineRule="auto"/>
              <w:rPr>
                <w:rFonts w:ascii="Calibri" w:eastAsia="Times New Roman" w:hAnsi="Calibri" w:cs="Times New Roman"/>
                <w:color w:val="000000"/>
                <w:lang w:eastAsia="it-IT"/>
              </w:rPr>
            </w:pPr>
            <w:proofErr w:type="gramStart"/>
            <w:r w:rsidRPr="008013CE">
              <w:rPr>
                <w:rFonts w:ascii="Calibri" w:eastAsia="Times New Roman" w:hAnsi="Calibri" w:cs="Times New Roman"/>
                <w:color w:val="000000"/>
                <w:lang w:eastAsia="it-IT"/>
              </w:rPr>
              <w:t>apprendisti</w:t>
            </w:r>
            <w:proofErr w:type="gramEnd"/>
          </w:p>
        </w:tc>
        <w:tc>
          <w:tcPr>
            <w:tcW w:w="960" w:type="dxa"/>
            <w:tcBorders>
              <w:top w:val="single" w:sz="4" w:space="0" w:color="auto"/>
              <w:left w:val="nil"/>
              <w:bottom w:val="single" w:sz="4" w:space="0" w:color="auto"/>
              <w:right w:val="nil"/>
            </w:tcBorders>
            <w:shd w:val="clear" w:color="auto" w:fill="auto"/>
            <w:noWrap/>
            <w:vAlign w:val="bottom"/>
            <w:hideMark/>
          </w:tcPr>
          <w:p w:rsidR="002B14DE" w:rsidRPr="008013CE" w:rsidRDefault="002B14DE" w:rsidP="002B14DE">
            <w:pPr>
              <w:spacing w:after="0" w:line="240" w:lineRule="auto"/>
              <w:rPr>
                <w:rFonts w:ascii="Calibri" w:eastAsia="Times New Roman" w:hAnsi="Calibri" w:cs="Times New Roman"/>
                <w:color w:val="000000"/>
                <w:lang w:eastAsia="it-IT"/>
              </w:rPr>
            </w:pPr>
            <w:proofErr w:type="gramStart"/>
            <w:r w:rsidRPr="008013CE">
              <w:rPr>
                <w:rFonts w:ascii="Calibri" w:eastAsia="Times New Roman" w:hAnsi="Calibri" w:cs="Times New Roman"/>
                <w:color w:val="000000"/>
                <w:lang w:eastAsia="it-IT"/>
              </w:rPr>
              <w:t>altro</w:t>
            </w:r>
            <w:proofErr w:type="gramEnd"/>
          </w:p>
        </w:tc>
        <w:tc>
          <w:tcPr>
            <w:tcW w:w="1202" w:type="dxa"/>
            <w:tcBorders>
              <w:top w:val="single" w:sz="4" w:space="0" w:color="auto"/>
              <w:left w:val="nil"/>
              <w:bottom w:val="single" w:sz="4" w:space="0" w:color="auto"/>
              <w:right w:val="nil"/>
            </w:tcBorders>
            <w:shd w:val="clear" w:color="auto" w:fill="auto"/>
            <w:noWrap/>
            <w:vAlign w:val="bottom"/>
            <w:hideMark/>
          </w:tcPr>
          <w:p w:rsidR="002B14DE" w:rsidRPr="008013CE" w:rsidRDefault="002B14DE" w:rsidP="002B14DE">
            <w:pPr>
              <w:spacing w:after="0" w:line="240" w:lineRule="auto"/>
              <w:rPr>
                <w:rFonts w:ascii="Calibri" w:eastAsia="Times New Roman" w:hAnsi="Calibri" w:cs="Times New Roman"/>
                <w:color w:val="000000"/>
                <w:lang w:eastAsia="it-IT"/>
              </w:rPr>
            </w:pPr>
            <w:proofErr w:type="gramStart"/>
            <w:r w:rsidRPr="008013CE">
              <w:rPr>
                <w:rFonts w:ascii="Calibri" w:eastAsia="Times New Roman" w:hAnsi="Calibri" w:cs="Times New Roman"/>
                <w:color w:val="000000"/>
                <w:lang w:eastAsia="it-IT"/>
              </w:rPr>
              <w:t>sconosciuto</w:t>
            </w:r>
            <w:proofErr w:type="gramEnd"/>
          </w:p>
        </w:tc>
      </w:tr>
      <w:tr w:rsidR="002B14DE" w:rsidRPr="008013CE" w:rsidTr="002B14DE">
        <w:trPr>
          <w:trHeight w:val="300"/>
        </w:trPr>
        <w:tc>
          <w:tcPr>
            <w:tcW w:w="3633" w:type="dxa"/>
            <w:tcBorders>
              <w:top w:val="single" w:sz="4" w:space="0" w:color="auto"/>
              <w:left w:val="nil"/>
              <w:bottom w:val="nil"/>
              <w:right w:val="nil"/>
            </w:tcBorders>
            <w:shd w:val="clear" w:color="auto" w:fill="auto"/>
            <w:noWrap/>
            <w:vAlign w:val="bottom"/>
            <w:hideMark/>
          </w:tcPr>
          <w:p w:rsidR="002B14DE" w:rsidRPr="008013CE" w:rsidRDefault="002B14DE" w:rsidP="002B14DE">
            <w:pPr>
              <w:spacing w:after="0" w:line="240" w:lineRule="auto"/>
              <w:rPr>
                <w:rFonts w:ascii="Calibri" w:eastAsia="Times New Roman" w:hAnsi="Calibri" w:cs="Times New Roman"/>
                <w:color w:val="000000"/>
                <w:lang w:eastAsia="it-IT"/>
              </w:rPr>
            </w:pPr>
            <w:r w:rsidRPr="008013CE">
              <w:rPr>
                <w:rFonts w:ascii="Calibri" w:eastAsia="Times New Roman" w:hAnsi="Calibri" w:cs="Times New Roman"/>
                <w:color w:val="000000"/>
                <w:lang w:eastAsia="it-IT"/>
              </w:rPr>
              <w:t>1. produzione e trattamento metalli</w:t>
            </w:r>
          </w:p>
        </w:tc>
        <w:tc>
          <w:tcPr>
            <w:tcW w:w="960" w:type="dxa"/>
            <w:tcBorders>
              <w:top w:val="single" w:sz="4" w:space="0" w:color="auto"/>
              <w:left w:val="nil"/>
              <w:bottom w:val="nil"/>
              <w:right w:val="nil"/>
            </w:tcBorders>
            <w:shd w:val="clear" w:color="auto" w:fill="auto"/>
            <w:noWrap/>
            <w:vAlign w:val="bottom"/>
            <w:hideMark/>
          </w:tcPr>
          <w:p w:rsidR="002B14DE" w:rsidRPr="008013CE" w:rsidRDefault="002B14DE" w:rsidP="002B14DE">
            <w:pPr>
              <w:spacing w:after="0" w:line="240" w:lineRule="auto"/>
              <w:jc w:val="right"/>
              <w:rPr>
                <w:rFonts w:ascii="Calibri" w:eastAsia="Times New Roman" w:hAnsi="Calibri" w:cs="Times New Roman"/>
                <w:color w:val="000000"/>
                <w:lang w:eastAsia="it-IT"/>
              </w:rPr>
            </w:pPr>
            <w:r w:rsidRPr="008013CE">
              <w:rPr>
                <w:rFonts w:ascii="Calibri" w:eastAsia="Times New Roman" w:hAnsi="Calibri" w:cs="Times New Roman"/>
                <w:color w:val="000000"/>
                <w:lang w:eastAsia="it-IT"/>
              </w:rPr>
              <w:t>76%</w:t>
            </w:r>
          </w:p>
        </w:tc>
        <w:tc>
          <w:tcPr>
            <w:tcW w:w="975" w:type="dxa"/>
            <w:tcBorders>
              <w:top w:val="single" w:sz="4" w:space="0" w:color="auto"/>
              <w:left w:val="nil"/>
              <w:bottom w:val="nil"/>
              <w:right w:val="nil"/>
            </w:tcBorders>
            <w:shd w:val="clear" w:color="auto" w:fill="auto"/>
            <w:noWrap/>
            <w:vAlign w:val="bottom"/>
            <w:hideMark/>
          </w:tcPr>
          <w:p w:rsidR="002B14DE" w:rsidRPr="008013CE" w:rsidRDefault="002B14DE" w:rsidP="002B14DE">
            <w:pPr>
              <w:spacing w:after="0" w:line="240" w:lineRule="auto"/>
              <w:jc w:val="right"/>
              <w:rPr>
                <w:rFonts w:ascii="Calibri" w:eastAsia="Times New Roman" w:hAnsi="Calibri" w:cs="Times New Roman"/>
                <w:color w:val="000000"/>
                <w:lang w:eastAsia="it-IT"/>
              </w:rPr>
            </w:pPr>
            <w:r w:rsidRPr="008013CE">
              <w:rPr>
                <w:rFonts w:ascii="Calibri" w:eastAsia="Times New Roman" w:hAnsi="Calibri" w:cs="Times New Roman"/>
                <w:color w:val="000000"/>
                <w:lang w:eastAsia="it-IT"/>
              </w:rPr>
              <w:t>11%</w:t>
            </w:r>
          </w:p>
        </w:tc>
        <w:tc>
          <w:tcPr>
            <w:tcW w:w="1155" w:type="dxa"/>
            <w:tcBorders>
              <w:top w:val="single" w:sz="4" w:space="0" w:color="auto"/>
              <w:left w:val="nil"/>
              <w:bottom w:val="nil"/>
              <w:right w:val="nil"/>
            </w:tcBorders>
            <w:shd w:val="clear" w:color="auto" w:fill="auto"/>
            <w:noWrap/>
            <w:vAlign w:val="bottom"/>
            <w:hideMark/>
          </w:tcPr>
          <w:p w:rsidR="002B14DE" w:rsidRPr="008013CE" w:rsidRDefault="002B14DE" w:rsidP="002B14DE">
            <w:pPr>
              <w:spacing w:after="0" w:line="240" w:lineRule="auto"/>
              <w:jc w:val="right"/>
              <w:rPr>
                <w:rFonts w:ascii="Calibri" w:eastAsia="Times New Roman" w:hAnsi="Calibri" w:cs="Times New Roman"/>
                <w:color w:val="000000"/>
                <w:lang w:eastAsia="it-IT"/>
              </w:rPr>
            </w:pPr>
            <w:r w:rsidRPr="008013CE">
              <w:rPr>
                <w:rFonts w:ascii="Calibri" w:eastAsia="Times New Roman" w:hAnsi="Calibri" w:cs="Times New Roman"/>
                <w:color w:val="000000"/>
                <w:lang w:eastAsia="it-IT"/>
              </w:rPr>
              <w:t>10%</w:t>
            </w:r>
          </w:p>
        </w:tc>
        <w:tc>
          <w:tcPr>
            <w:tcW w:w="960" w:type="dxa"/>
            <w:tcBorders>
              <w:top w:val="single" w:sz="4" w:space="0" w:color="auto"/>
              <w:left w:val="nil"/>
              <w:bottom w:val="nil"/>
              <w:right w:val="nil"/>
            </w:tcBorders>
            <w:shd w:val="clear" w:color="auto" w:fill="auto"/>
            <w:noWrap/>
            <w:vAlign w:val="bottom"/>
            <w:hideMark/>
          </w:tcPr>
          <w:p w:rsidR="002B14DE" w:rsidRPr="008013CE" w:rsidRDefault="002B14DE" w:rsidP="002B14DE">
            <w:pPr>
              <w:spacing w:after="0" w:line="240" w:lineRule="auto"/>
              <w:jc w:val="right"/>
              <w:rPr>
                <w:rFonts w:ascii="Calibri" w:eastAsia="Times New Roman" w:hAnsi="Calibri" w:cs="Times New Roman"/>
                <w:color w:val="000000"/>
                <w:lang w:eastAsia="it-IT"/>
              </w:rPr>
            </w:pPr>
            <w:r w:rsidRPr="008013CE">
              <w:rPr>
                <w:rFonts w:ascii="Calibri" w:eastAsia="Times New Roman" w:hAnsi="Calibri" w:cs="Times New Roman"/>
                <w:color w:val="000000"/>
                <w:lang w:eastAsia="it-IT"/>
              </w:rPr>
              <w:t>0%</w:t>
            </w:r>
          </w:p>
        </w:tc>
        <w:tc>
          <w:tcPr>
            <w:tcW w:w="1202" w:type="dxa"/>
            <w:tcBorders>
              <w:top w:val="single" w:sz="4" w:space="0" w:color="auto"/>
              <w:left w:val="nil"/>
              <w:bottom w:val="nil"/>
              <w:right w:val="nil"/>
            </w:tcBorders>
            <w:shd w:val="clear" w:color="auto" w:fill="auto"/>
            <w:noWrap/>
            <w:vAlign w:val="bottom"/>
            <w:hideMark/>
          </w:tcPr>
          <w:p w:rsidR="002B14DE" w:rsidRPr="008013CE" w:rsidRDefault="002B14DE" w:rsidP="002B14DE">
            <w:pPr>
              <w:spacing w:after="0" w:line="240" w:lineRule="auto"/>
              <w:jc w:val="right"/>
              <w:rPr>
                <w:rFonts w:ascii="Calibri" w:eastAsia="Times New Roman" w:hAnsi="Calibri" w:cs="Times New Roman"/>
                <w:color w:val="000000"/>
                <w:lang w:eastAsia="it-IT"/>
              </w:rPr>
            </w:pPr>
            <w:r w:rsidRPr="008013CE">
              <w:rPr>
                <w:rFonts w:ascii="Calibri" w:eastAsia="Times New Roman" w:hAnsi="Calibri" w:cs="Times New Roman"/>
                <w:color w:val="000000"/>
                <w:lang w:eastAsia="it-IT"/>
              </w:rPr>
              <w:t>2%</w:t>
            </w:r>
          </w:p>
        </w:tc>
      </w:tr>
      <w:tr w:rsidR="002B14DE" w:rsidRPr="008013CE" w:rsidTr="002B14DE">
        <w:trPr>
          <w:trHeight w:val="300"/>
        </w:trPr>
        <w:tc>
          <w:tcPr>
            <w:tcW w:w="3633" w:type="dxa"/>
            <w:tcBorders>
              <w:top w:val="nil"/>
              <w:left w:val="nil"/>
              <w:bottom w:val="nil"/>
              <w:right w:val="nil"/>
            </w:tcBorders>
            <w:shd w:val="clear" w:color="auto" w:fill="auto"/>
            <w:noWrap/>
            <w:vAlign w:val="bottom"/>
            <w:hideMark/>
          </w:tcPr>
          <w:p w:rsidR="002B14DE" w:rsidRPr="008013CE" w:rsidRDefault="002B14DE" w:rsidP="002B14DE">
            <w:pPr>
              <w:spacing w:after="0" w:line="240" w:lineRule="auto"/>
              <w:rPr>
                <w:rFonts w:ascii="Calibri" w:eastAsia="Times New Roman" w:hAnsi="Calibri" w:cs="Times New Roman"/>
                <w:color w:val="000000"/>
                <w:lang w:eastAsia="it-IT"/>
              </w:rPr>
            </w:pPr>
            <w:r w:rsidRPr="008013CE">
              <w:rPr>
                <w:rFonts w:ascii="Calibri" w:eastAsia="Times New Roman" w:hAnsi="Calibri" w:cs="Times New Roman"/>
                <w:color w:val="000000"/>
                <w:lang w:eastAsia="it-IT"/>
              </w:rPr>
              <w:t>2. macchine e stampi per industria orafa</w:t>
            </w:r>
          </w:p>
        </w:tc>
        <w:tc>
          <w:tcPr>
            <w:tcW w:w="960" w:type="dxa"/>
            <w:tcBorders>
              <w:top w:val="nil"/>
              <w:left w:val="nil"/>
              <w:bottom w:val="nil"/>
              <w:right w:val="nil"/>
            </w:tcBorders>
            <w:shd w:val="clear" w:color="auto" w:fill="auto"/>
            <w:noWrap/>
            <w:vAlign w:val="bottom"/>
            <w:hideMark/>
          </w:tcPr>
          <w:p w:rsidR="002B14DE" w:rsidRPr="008013CE" w:rsidRDefault="002B14DE" w:rsidP="002B14DE">
            <w:pPr>
              <w:spacing w:after="0" w:line="240" w:lineRule="auto"/>
              <w:jc w:val="right"/>
              <w:rPr>
                <w:rFonts w:ascii="Calibri" w:eastAsia="Times New Roman" w:hAnsi="Calibri" w:cs="Times New Roman"/>
                <w:color w:val="000000"/>
                <w:lang w:eastAsia="it-IT"/>
              </w:rPr>
            </w:pPr>
            <w:r w:rsidRPr="008013CE">
              <w:rPr>
                <w:rFonts w:ascii="Calibri" w:eastAsia="Times New Roman" w:hAnsi="Calibri" w:cs="Times New Roman"/>
                <w:color w:val="000000"/>
                <w:lang w:eastAsia="it-IT"/>
              </w:rPr>
              <w:t>65%</w:t>
            </w:r>
          </w:p>
        </w:tc>
        <w:tc>
          <w:tcPr>
            <w:tcW w:w="975" w:type="dxa"/>
            <w:tcBorders>
              <w:top w:val="nil"/>
              <w:left w:val="nil"/>
              <w:bottom w:val="nil"/>
              <w:right w:val="nil"/>
            </w:tcBorders>
            <w:shd w:val="clear" w:color="auto" w:fill="auto"/>
            <w:noWrap/>
            <w:vAlign w:val="bottom"/>
            <w:hideMark/>
          </w:tcPr>
          <w:p w:rsidR="002B14DE" w:rsidRPr="008013CE" w:rsidRDefault="002B14DE" w:rsidP="002B14DE">
            <w:pPr>
              <w:spacing w:after="0" w:line="240" w:lineRule="auto"/>
              <w:jc w:val="right"/>
              <w:rPr>
                <w:rFonts w:ascii="Calibri" w:eastAsia="Times New Roman" w:hAnsi="Calibri" w:cs="Times New Roman"/>
                <w:color w:val="000000"/>
                <w:lang w:eastAsia="it-IT"/>
              </w:rPr>
            </w:pPr>
            <w:r w:rsidRPr="008013CE">
              <w:rPr>
                <w:rFonts w:ascii="Calibri" w:eastAsia="Times New Roman" w:hAnsi="Calibri" w:cs="Times New Roman"/>
                <w:color w:val="000000"/>
                <w:lang w:eastAsia="it-IT"/>
              </w:rPr>
              <w:t>23%</w:t>
            </w:r>
          </w:p>
        </w:tc>
        <w:tc>
          <w:tcPr>
            <w:tcW w:w="1155" w:type="dxa"/>
            <w:tcBorders>
              <w:top w:val="nil"/>
              <w:left w:val="nil"/>
              <w:bottom w:val="nil"/>
              <w:right w:val="nil"/>
            </w:tcBorders>
            <w:shd w:val="clear" w:color="auto" w:fill="auto"/>
            <w:noWrap/>
            <w:vAlign w:val="bottom"/>
            <w:hideMark/>
          </w:tcPr>
          <w:p w:rsidR="002B14DE" w:rsidRPr="008013CE" w:rsidRDefault="002B14DE" w:rsidP="002B14DE">
            <w:pPr>
              <w:spacing w:after="0" w:line="240" w:lineRule="auto"/>
              <w:jc w:val="right"/>
              <w:rPr>
                <w:rFonts w:ascii="Calibri" w:eastAsia="Times New Roman" w:hAnsi="Calibri" w:cs="Times New Roman"/>
                <w:color w:val="000000"/>
                <w:lang w:eastAsia="it-IT"/>
              </w:rPr>
            </w:pPr>
            <w:r w:rsidRPr="008013CE">
              <w:rPr>
                <w:rFonts w:ascii="Calibri" w:eastAsia="Times New Roman" w:hAnsi="Calibri" w:cs="Times New Roman"/>
                <w:color w:val="000000"/>
                <w:lang w:eastAsia="it-IT"/>
              </w:rPr>
              <w:t>11%</w:t>
            </w:r>
          </w:p>
        </w:tc>
        <w:tc>
          <w:tcPr>
            <w:tcW w:w="960" w:type="dxa"/>
            <w:tcBorders>
              <w:top w:val="nil"/>
              <w:left w:val="nil"/>
              <w:bottom w:val="nil"/>
              <w:right w:val="nil"/>
            </w:tcBorders>
            <w:shd w:val="clear" w:color="auto" w:fill="auto"/>
            <w:noWrap/>
            <w:vAlign w:val="bottom"/>
            <w:hideMark/>
          </w:tcPr>
          <w:p w:rsidR="002B14DE" w:rsidRPr="008013CE" w:rsidRDefault="002B14DE" w:rsidP="002B14DE">
            <w:pPr>
              <w:spacing w:after="0" w:line="240" w:lineRule="auto"/>
              <w:jc w:val="right"/>
              <w:rPr>
                <w:rFonts w:ascii="Calibri" w:eastAsia="Times New Roman" w:hAnsi="Calibri" w:cs="Times New Roman"/>
                <w:color w:val="000000"/>
                <w:lang w:eastAsia="it-IT"/>
              </w:rPr>
            </w:pPr>
            <w:r w:rsidRPr="008013CE">
              <w:rPr>
                <w:rFonts w:ascii="Calibri" w:eastAsia="Times New Roman" w:hAnsi="Calibri" w:cs="Times New Roman"/>
                <w:color w:val="000000"/>
                <w:lang w:eastAsia="it-IT"/>
              </w:rPr>
              <w:t>0%</w:t>
            </w:r>
          </w:p>
        </w:tc>
        <w:tc>
          <w:tcPr>
            <w:tcW w:w="1202" w:type="dxa"/>
            <w:tcBorders>
              <w:top w:val="nil"/>
              <w:left w:val="nil"/>
              <w:bottom w:val="nil"/>
              <w:right w:val="nil"/>
            </w:tcBorders>
            <w:shd w:val="clear" w:color="auto" w:fill="auto"/>
            <w:noWrap/>
            <w:vAlign w:val="bottom"/>
            <w:hideMark/>
          </w:tcPr>
          <w:p w:rsidR="002B14DE" w:rsidRPr="008013CE" w:rsidRDefault="002B14DE" w:rsidP="002B14DE">
            <w:pPr>
              <w:spacing w:after="0" w:line="240" w:lineRule="auto"/>
              <w:jc w:val="right"/>
              <w:rPr>
                <w:rFonts w:ascii="Calibri" w:eastAsia="Times New Roman" w:hAnsi="Calibri" w:cs="Times New Roman"/>
                <w:color w:val="000000"/>
                <w:lang w:eastAsia="it-IT"/>
              </w:rPr>
            </w:pPr>
            <w:r w:rsidRPr="008013CE">
              <w:rPr>
                <w:rFonts w:ascii="Calibri" w:eastAsia="Times New Roman" w:hAnsi="Calibri" w:cs="Times New Roman"/>
                <w:color w:val="000000"/>
                <w:lang w:eastAsia="it-IT"/>
              </w:rPr>
              <w:t>1%</w:t>
            </w:r>
          </w:p>
        </w:tc>
      </w:tr>
      <w:tr w:rsidR="002B14DE" w:rsidRPr="008013CE" w:rsidTr="002B14DE">
        <w:trPr>
          <w:trHeight w:val="300"/>
        </w:trPr>
        <w:tc>
          <w:tcPr>
            <w:tcW w:w="3633" w:type="dxa"/>
            <w:tcBorders>
              <w:top w:val="nil"/>
              <w:left w:val="nil"/>
              <w:bottom w:val="nil"/>
              <w:right w:val="nil"/>
            </w:tcBorders>
            <w:shd w:val="clear" w:color="auto" w:fill="auto"/>
            <w:noWrap/>
            <w:vAlign w:val="bottom"/>
            <w:hideMark/>
          </w:tcPr>
          <w:p w:rsidR="002B14DE" w:rsidRPr="008013CE" w:rsidRDefault="002B14DE" w:rsidP="002B14DE">
            <w:pPr>
              <w:spacing w:after="0" w:line="240" w:lineRule="auto"/>
              <w:rPr>
                <w:rFonts w:ascii="Calibri" w:eastAsia="Times New Roman" w:hAnsi="Calibri" w:cs="Times New Roman"/>
                <w:color w:val="000000"/>
                <w:lang w:eastAsia="it-IT"/>
              </w:rPr>
            </w:pPr>
            <w:r w:rsidRPr="008013CE">
              <w:rPr>
                <w:rFonts w:ascii="Calibri" w:eastAsia="Times New Roman" w:hAnsi="Calibri" w:cs="Times New Roman"/>
                <w:color w:val="000000"/>
                <w:lang w:eastAsia="it-IT"/>
              </w:rPr>
              <w:t>3. bigiotteria, orologi e altro</w:t>
            </w:r>
          </w:p>
        </w:tc>
        <w:tc>
          <w:tcPr>
            <w:tcW w:w="960" w:type="dxa"/>
            <w:tcBorders>
              <w:top w:val="nil"/>
              <w:left w:val="nil"/>
              <w:bottom w:val="nil"/>
              <w:right w:val="nil"/>
            </w:tcBorders>
            <w:shd w:val="clear" w:color="auto" w:fill="auto"/>
            <w:noWrap/>
            <w:vAlign w:val="bottom"/>
            <w:hideMark/>
          </w:tcPr>
          <w:p w:rsidR="002B14DE" w:rsidRPr="008013CE" w:rsidRDefault="002B14DE" w:rsidP="002B14DE">
            <w:pPr>
              <w:spacing w:after="0" w:line="240" w:lineRule="auto"/>
              <w:jc w:val="right"/>
              <w:rPr>
                <w:rFonts w:ascii="Calibri" w:eastAsia="Times New Roman" w:hAnsi="Calibri" w:cs="Times New Roman"/>
                <w:color w:val="000000"/>
                <w:lang w:eastAsia="it-IT"/>
              </w:rPr>
            </w:pPr>
            <w:r w:rsidRPr="008013CE">
              <w:rPr>
                <w:rFonts w:ascii="Calibri" w:eastAsia="Times New Roman" w:hAnsi="Calibri" w:cs="Times New Roman"/>
                <w:color w:val="000000"/>
                <w:lang w:eastAsia="it-IT"/>
              </w:rPr>
              <w:t>69%</w:t>
            </w:r>
          </w:p>
        </w:tc>
        <w:tc>
          <w:tcPr>
            <w:tcW w:w="975" w:type="dxa"/>
            <w:tcBorders>
              <w:top w:val="nil"/>
              <w:left w:val="nil"/>
              <w:bottom w:val="nil"/>
              <w:right w:val="nil"/>
            </w:tcBorders>
            <w:shd w:val="clear" w:color="auto" w:fill="auto"/>
            <w:noWrap/>
            <w:vAlign w:val="bottom"/>
            <w:hideMark/>
          </w:tcPr>
          <w:p w:rsidR="002B14DE" w:rsidRPr="008013CE" w:rsidRDefault="002B14DE" w:rsidP="002B14DE">
            <w:pPr>
              <w:spacing w:after="0" w:line="240" w:lineRule="auto"/>
              <w:jc w:val="right"/>
              <w:rPr>
                <w:rFonts w:ascii="Calibri" w:eastAsia="Times New Roman" w:hAnsi="Calibri" w:cs="Times New Roman"/>
                <w:color w:val="000000"/>
                <w:lang w:eastAsia="it-IT"/>
              </w:rPr>
            </w:pPr>
            <w:r w:rsidRPr="008013CE">
              <w:rPr>
                <w:rFonts w:ascii="Calibri" w:eastAsia="Times New Roman" w:hAnsi="Calibri" w:cs="Times New Roman"/>
                <w:color w:val="000000"/>
                <w:lang w:eastAsia="it-IT"/>
              </w:rPr>
              <w:t>22%</w:t>
            </w:r>
          </w:p>
        </w:tc>
        <w:tc>
          <w:tcPr>
            <w:tcW w:w="1155" w:type="dxa"/>
            <w:tcBorders>
              <w:top w:val="nil"/>
              <w:left w:val="nil"/>
              <w:bottom w:val="nil"/>
              <w:right w:val="nil"/>
            </w:tcBorders>
            <w:shd w:val="clear" w:color="auto" w:fill="auto"/>
            <w:noWrap/>
            <w:vAlign w:val="bottom"/>
            <w:hideMark/>
          </w:tcPr>
          <w:p w:rsidR="002B14DE" w:rsidRPr="008013CE" w:rsidRDefault="002B14DE" w:rsidP="002B14DE">
            <w:pPr>
              <w:spacing w:after="0" w:line="240" w:lineRule="auto"/>
              <w:jc w:val="right"/>
              <w:rPr>
                <w:rFonts w:ascii="Calibri" w:eastAsia="Times New Roman" w:hAnsi="Calibri" w:cs="Times New Roman"/>
                <w:color w:val="000000"/>
                <w:lang w:eastAsia="it-IT"/>
              </w:rPr>
            </w:pPr>
            <w:r w:rsidRPr="008013CE">
              <w:rPr>
                <w:rFonts w:ascii="Calibri" w:eastAsia="Times New Roman" w:hAnsi="Calibri" w:cs="Times New Roman"/>
                <w:color w:val="000000"/>
                <w:lang w:eastAsia="it-IT"/>
              </w:rPr>
              <w:t>8%</w:t>
            </w:r>
          </w:p>
        </w:tc>
        <w:tc>
          <w:tcPr>
            <w:tcW w:w="960" w:type="dxa"/>
            <w:tcBorders>
              <w:top w:val="nil"/>
              <w:left w:val="nil"/>
              <w:bottom w:val="nil"/>
              <w:right w:val="nil"/>
            </w:tcBorders>
            <w:shd w:val="clear" w:color="auto" w:fill="auto"/>
            <w:noWrap/>
            <w:vAlign w:val="bottom"/>
            <w:hideMark/>
          </w:tcPr>
          <w:p w:rsidR="002B14DE" w:rsidRPr="008013CE" w:rsidRDefault="002B14DE" w:rsidP="002B14DE">
            <w:pPr>
              <w:spacing w:after="0" w:line="240" w:lineRule="auto"/>
              <w:jc w:val="right"/>
              <w:rPr>
                <w:rFonts w:ascii="Calibri" w:eastAsia="Times New Roman" w:hAnsi="Calibri" w:cs="Times New Roman"/>
                <w:color w:val="000000"/>
                <w:lang w:eastAsia="it-IT"/>
              </w:rPr>
            </w:pPr>
            <w:r w:rsidRPr="008013CE">
              <w:rPr>
                <w:rFonts w:ascii="Calibri" w:eastAsia="Times New Roman" w:hAnsi="Calibri" w:cs="Times New Roman"/>
                <w:color w:val="000000"/>
                <w:lang w:eastAsia="it-IT"/>
              </w:rPr>
              <w:t>0%</w:t>
            </w:r>
          </w:p>
        </w:tc>
        <w:tc>
          <w:tcPr>
            <w:tcW w:w="1202" w:type="dxa"/>
            <w:tcBorders>
              <w:top w:val="nil"/>
              <w:left w:val="nil"/>
              <w:bottom w:val="nil"/>
              <w:right w:val="nil"/>
            </w:tcBorders>
            <w:shd w:val="clear" w:color="auto" w:fill="auto"/>
            <w:noWrap/>
            <w:vAlign w:val="bottom"/>
            <w:hideMark/>
          </w:tcPr>
          <w:p w:rsidR="002B14DE" w:rsidRPr="008013CE" w:rsidRDefault="002B14DE" w:rsidP="002B14DE">
            <w:pPr>
              <w:spacing w:after="0" w:line="240" w:lineRule="auto"/>
              <w:jc w:val="right"/>
              <w:rPr>
                <w:rFonts w:ascii="Calibri" w:eastAsia="Times New Roman" w:hAnsi="Calibri" w:cs="Times New Roman"/>
                <w:color w:val="000000"/>
                <w:lang w:eastAsia="it-IT"/>
              </w:rPr>
            </w:pPr>
            <w:r w:rsidRPr="008013CE">
              <w:rPr>
                <w:rFonts w:ascii="Calibri" w:eastAsia="Times New Roman" w:hAnsi="Calibri" w:cs="Times New Roman"/>
                <w:color w:val="000000"/>
                <w:lang w:eastAsia="it-IT"/>
              </w:rPr>
              <w:t>0%</w:t>
            </w:r>
          </w:p>
        </w:tc>
      </w:tr>
      <w:tr w:rsidR="002B14DE" w:rsidRPr="008013CE" w:rsidTr="002B14DE">
        <w:trPr>
          <w:trHeight w:val="300"/>
        </w:trPr>
        <w:tc>
          <w:tcPr>
            <w:tcW w:w="3633" w:type="dxa"/>
            <w:tcBorders>
              <w:top w:val="nil"/>
              <w:left w:val="nil"/>
              <w:bottom w:val="nil"/>
              <w:right w:val="nil"/>
            </w:tcBorders>
            <w:shd w:val="clear" w:color="auto" w:fill="auto"/>
            <w:noWrap/>
            <w:vAlign w:val="bottom"/>
            <w:hideMark/>
          </w:tcPr>
          <w:p w:rsidR="002B14DE" w:rsidRPr="008013CE" w:rsidRDefault="002B14DE" w:rsidP="002B14DE">
            <w:pPr>
              <w:spacing w:after="0" w:line="240" w:lineRule="auto"/>
              <w:rPr>
                <w:rFonts w:ascii="Calibri" w:eastAsia="Times New Roman" w:hAnsi="Calibri" w:cs="Times New Roman"/>
                <w:color w:val="000000"/>
                <w:lang w:eastAsia="it-IT"/>
              </w:rPr>
            </w:pPr>
            <w:r w:rsidRPr="008013CE">
              <w:rPr>
                <w:rFonts w:ascii="Calibri" w:eastAsia="Times New Roman" w:hAnsi="Calibri" w:cs="Times New Roman"/>
                <w:color w:val="000000"/>
                <w:lang w:eastAsia="it-IT"/>
              </w:rPr>
              <w:t>4. oreficeria</w:t>
            </w:r>
          </w:p>
        </w:tc>
        <w:tc>
          <w:tcPr>
            <w:tcW w:w="960" w:type="dxa"/>
            <w:tcBorders>
              <w:top w:val="nil"/>
              <w:left w:val="nil"/>
              <w:bottom w:val="nil"/>
              <w:right w:val="nil"/>
            </w:tcBorders>
            <w:shd w:val="clear" w:color="auto" w:fill="auto"/>
            <w:noWrap/>
            <w:vAlign w:val="bottom"/>
            <w:hideMark/>
          </w:tcPr>
          <w:p w:rsidR="002B14DE" w:rsidRPr="008013CE" w:rsidRDefault="002B14DE" w:rsidP="002B14DE">
            <w:pPr>
              <w:spacing w:after="0" w:line="240" w:lineRule="auto"/>
              <w:jc w:val="right"/>
              <w:rPr>
                <w:rFonts w:ascii="Calibri" w:eastAsia="Times New Roman" w:hAnsi="Calibri" w:cs="Times New Roman"/>
                <w:color w:val="000000"/>
                <w:lang w:eastAsia="it-IT"/>
              </w:rPr>
            </w:pPr>
            <w:r w:rsidRPr="008013CE">
              <w:rPr>
                <w:rFonts w:ascii="Calibri" w:eastAsia="Times New Roman" w:hAnsi="Calibri" w:cs="Times New Roman"/>
                <w:color w:val="000000"/>
                <w:lang w:eastAsia="it-IT"/>
              </w:rPr>
              <w:t>75%</w:t>
            </w:r>
          </w:p>
        </w:tc>
        <w:tc>
          <w:tcPr>
            <w:tcW w:w="975" w:type="dxa"/>
            <w:tcBorders>
              <w:top w:val="nil"/>
              <w:left w:val="nil"/>
              <w:bottom w:val="nil"/>
              <w:right w:val="nil"/>
            </w:tcBorders>
            <w:shd w:val="clear" w:color="auto" w:fill="auto"/>
            <w:noWrap/>
            <w:vAlign w:val="bottom"/>
            <w:hideMark/>
          </w:tcPr>
          <w:p w:rsidR="002B14DE" w:rsidRPr="008013CE" w:rsidRDefault="002B14DE" w:rsidP="002B14DE">
            <w:pPr>
              <w:spacing w:after="0" w:line="240" w:lineRule="auto"/>
              <w:jc w:val="right"/>
              <w:rPr>
                <w:rFonts w:ascii="Calibri" w:eastAsia="Times New Roman" w:hAnsi="Calibri" w:cs="Times New Roman"/>
                <w:color w:val="000000"/>
                <w:lang w:eastAsia="it-IT"/>
              </w:rPr>
            </w:pPr>
            <w:r w:rsidRPr="008013CE">
              <w:rPr>
                <w:rFonts w:ascii="Calibri" w:eastAsia="Times New Roman" w:hAnsi="Calibri" w:cs="Times New Roman"/>
                <w:color w:val="000000"/>
                <w:lang w:eastAsia="it-IT"/>
              </w:rPr>
              <w:t>12%</w:t>
            </w:r>
          </w:p>
        </w:tc>
        <w:tc>
          <w:tcPr>
            <w:tcW w:w="1155" w:type="dxa"/>
            <w:tcBorders>
              <w:top w:val="nil"/>
              <w:left w:val="nil"/>
              <w:bottom w:val="nil"/>
              <w:right w:val="nil"/>
            </w:tcBorders>
            <w:shd w:val="clear" w:color="auto" w:fill="auto"/>
            <w:noWrap/>
            <w:vAlign w:val="bottom"/>
            <w:hideMark/>
          </w:tcPr>
          <w:p w:rsidR="002B14DE" w:rsidRPr="008013CE" w:rsidRDefault="002B14DE" w:rsidP="002B14DE">
            <w:pPr>
              <w:spacing w:after="0" w:line="240" w:lineRule="auto"/>
              <w:jc w:val="right"/>
              <w:rPr>
                <w:rFonts w:ascii="Calibri" w:eastAsia="Times New Roman" w:hAnsi="Calibri" w:cs="Times New Roman"/>
                <w:color w:val="000000"/>
                <w:lang w:eastAsia="it-IT"/>
              </w:rPr>
            </w:pPr>
            <w:r w:rsidRPr="008013CE">
              <w:rPr>
                <w:rFonts w:ascii="Calibri" w:eastAsia="Times New Roman" w:hAnsi="Calibri" w:cs="Times New Roman"/>
                <w:color w:val="000000"/>
                <w:lang w:eastAsia="it-IT"/>
              </w:rPr>
              <w:t>12%</w:t>
            </w:r>
          </w:p>
        </w:tc>
        <w:tc>
          <w:tcPr>
            <w:tcW w:w="960" w:type="dxa"/>
            <w:tcBorders>
              <w:top w:val="nil"/>
              <w:left w:val="nil"/>
              <w:bottom w:val="nil"/>
              <w:right w:val="nil"/>
            </w:tcBorders>
            <w:shd w:val="clear" w:color="auto" w:fill="auto"/>
            <w:noWrap/>
            <w:vAlign w:val="bottom"/>
            <w:hideMark/>
          </w:tcPr>
          <w:p w:rsidR="002B14DE" w:rsidRPr="008013CE" w:rsidRDefault="002B14DE" w:rsidP="002B14DE">
            <w:pPr>
              <w:spacing w:after="0" w:line="240" w:lineRule="auto"/>
              <w:jc w:val="right"/>
              <w:rPr>
                <w:rFonts w:ascii="Calibri" w:eastAsia="Times New Roman" w:hAnsi="Calibri" w:cs="Times New Roman"/>
                <w:color w:val="000000"/>
                <w:lang w:eastAsia="it-IT"/>
              </w:rPr>
            </w:pPr>
            <w:r w:rsidRPr="008013CE">
              <w:rPr>
                <w:rFonts w:ascii="Calibri" w:eastAsia="Times New Roman" w:hAnsi="Calibri" w:cs="Times New Roman"/>
                <w:color w:val="000000"/>
                <w:lang w:eastAsia="it-IT"/>
              </w:rPr>
              <w:t>1%</w:t>
            </w:r>
          </w:p>
        </w:tc>
        <w:tc>
          <w:tcPr>
            <w:tcW w:w="1202" w:type="dxa"/>
            <w:tcBorders>
              <w:top w:val="nil"/>
              <w:left w:val="nil"/>
              <w:bottom w:val="nil"/>
              <w:right w:val="nil"/>
            </w:tcBorders>
            <w:shd w:val="clear" w:color="auto" w:fill="auto"/>
            <w:noWrap/>
            <w:vAlign w:val="bottom"/>
            <w:hideMark/>
          </w:tcPr>
          <w:p w:rsidR="002B14DE" w:rsidRPr="008013CE" w:rsidRDefault="002B14DE" w:rsidP="002B14DE">
            <w:pPr>
              <w:spacing w:after="0" w:line="240" w:lineRule="auto"/>
              <w:jc w:val="right"/>
              <w:rPr>
                <w:rFonts w:ascii="Calibri" w:eastAsia="Times New Roman" w:hAnsi="Calibri" w:cs="Times New Roman"/>
                <w:color w:val="000000"/>
                <w:lang w:eastAsia="it-IT"/>
              </w:rPr>
            </w:pPr>
            <w:r w:rsidRPr="008013CE">
              <w:rPr>
                <w:rFonts w:ascii="Calibri" w:eastAsia="Times New Roman" w:hAnsi="Calibri" w:cs="Times New Roman"/>
                <w:color w:val="000000"/>
                <w:lang w:eastAsia="it-IT"/>
              </w:rPr>
              <w:t>1%</w:t>
            </w:r>
          </w:p>
        </w:tc>
      </w:tr>
      <w:tr w:rsidR="002B14DE" w:rsidRPr="008013CE" w:rsidTr="002B14DE">
        <w:trPr>
          <w:trHeight w:val="300"/>
        </w:trPr>
        <w:tc>
          <w:tcPr>
            <w:tcW w:w="3633" w:type="dxa"/>
            <w:tcBorders>
              <w:top w:val="single" w:sz="4" w:space="0" w:color="auto"/>
              <w:left w:val="nil"/>
              <w:bottom w:val="single" w:sz="4" w:space="0" w:color="auto"/>
              <w:right w:val="nil"/>
            </w:tcBorders>
            <w:shd w:val="clear" w:color="auto" w:fill="auto"/>
            <w:noWrap/>
            <w:vAlign w:val="bottom"/>
            <w:hideMark/>
          </w:tcPr>
          <w:p w:rsidR="002B14DE" w:rsidRPr="008013CE" w:rsidRDefault="002B14DE" w:rsidP="002B14DE">
            <w:pPr>
              <w:spacing w:after="0" w:line="240" w:lineRule="auto"/>
              <w:rPr>
                <w:rFonts w:ascii="Calibri" w:eastAsia="Times New Roman" w:hAnsi="Calibri" w:cs="Times New Roman"/>
                <w:color w:val="000000"/>
                <w:lang w:eastAsia="it-IT"/>
              </w:rPr>
            </w:pPr>
            <w:r w:rsidRPr="008013CE">
              <w:rPr>
                <w:rFonts w:ascii="Calibri" w:eastAsia="Times New Roman" w:hAnsi="Calibri" w:cs="Times New Roman"/>
                <w:color w:val="000000"/>
                <w:lang w:eastAsia="it-IT"/>
              </w:rPr>
              <w:t>Totale complessivo</w:t>
            </w:r>
          </w:p>
        </w:tc>
        <w:tc>
          <w:tcPr>
            <w:tcW w:w="960" w:type="dxa"/>
            <w:tcBorders>
              <w:top w:val="single" w:sz="4" w:space="0" w:color="auto"/>
              <w:left w:val="nil"/>
              <w:bottom w:val="single" w:sz="4" w:space="0" w:color="auto"/>
              <w:right w:val="nil"/>
            </w:tcBorders>
            <w:shd w:val="clear" w:color="auto" w:fill="auto"/>
            <w:noWrap/>
            <w:vAlign w:val="bottom"/>
            <w:hideMark/>
          </w:tcPr>
          <w:p w:rsidR="002B14DE" w:rsidRPr="008013CE" w:rsidRDefault="002B14DE" w:rsidP="002B14DE">
            <w:pPr>
              <w:spacing w:after="0" w:line="240" w:lineRule="auto"/>
              <w:jc w:val="right"/>
              <w:rPr>
                <w:rFonts w:ascii="Calibri" w:eastAsia="Times New Roman" w:hAnsi="Calibri" w:cs="Times New Roman"/>
                <w:color w:val="000000"/>
                <w:lang w:eastAsia="it-IT"/>
              </w:rPr>
            </w:pPr>
            <w:r w:rsidRPr="008013CE">
              <w:rPr>
                <w:rFonts w:ascii="Calibri" w:eastAsia="Times New Roman" w:hAnsi="Calibri" w:cs="Times New Roman"/>
                <w:color w:val="000000"/>
                <w:lang w:eastAsia="it-IT"/>
              </w:rPr>
              <w:t>74%</w:t>
            </w:r>
          </w:p>
        </w:tc>
        <w:tc>
          <w:tcPr>
            <w:tcW w:w="975" w:type="dxa"/>
            <w:tcBorders>
              <w:top w:val="single" w:sz="4" w:space="0" w:color="auto"/>
              <w:left w:val="nil"/>
              <w:bottom w:val="single" w:sz="4" w:space="0" w:color="auto"/>
              <w:right w:val="nil"/>
            </w:tcBorders>
            <w:shd w:val="clear" w:color="auto" w:fill="auto"/>
            <w:noWrap/>
            <w:vAlign w:val="bottom"/>
            <w:hideMark/>
          </w:tcPr>
          <w:p w:rsidR="002B14DE" w:rsidRPr="008013CE" w:rsidRDefault="002B14DE" w:rsidP="002B14DE">
            <w:pPr>
              <w:spacing w:after="0" w:line="240" w:lineRule="auto"/>
              <w:jc w:val="right"/>
              <w:rPr>
                <w:rFonts w:ascii="Calibri" w:eastAsia="Times New Roman" w:hAnsi="Calibri" w:cs="Times New Roman"/>
                <w:color w:val="000000"/>
                <w:lang w:eastAsia="it-IT"/>
              </w:rPr>
            </w:pPr>
            <w:r w:rsidRPr="008013CE">
              <w:rPr>
                <w:rFonts w:ascii="Calibri" w:eastAsia="Times New Roman" w:hAnsi="Calibri" w:cs="Times New Roman"/>
                <w:color w:val="000000"/>
                <w:lang w:eastAsia="it-IT"/>
              </w:rPr>
              <w:t>13%</w:t>
            </w:r>
          </w:p>
        </w:tc>
        <w:tc>
          <w:tcPr>
            <w:tcW w:w="1155" w:type="dxa"/>
            <w:tcBorders>
              <w:top w:val="single" w:sz="4" w:space="0" w:color="auto"/>
              <w:left w:val="nil"/>
              <w:bottom w:val="single" w:sz="4" w:space="0" w:color="auto"/>
              <w:right w:val="nil"/>
            </w:tcBorders>
            <w:shd w:val="clear" w:color="auto" w:fill="auto"/>
            <w:noWrap/>
            <w:vAlign w:val="bottom"/>
            <w:hideMark/>
          </w:tcPr>
          <w:p w:rsidR="002B14DE" w:rsidRPr="008013CE" w:rsidRDefault="002B14DE" w:rsidP="002B14DE">
            <w:pPr>
              <w:spacing w:after="0" w:line="240" w:lineRule="auto"/>
              <w:jc w:val="right"/>
              <w:rPr>
                <w:rFonts w:ascii="Calibri" w:eastAsia="Times New Roman" w:hAnsi="Calibri" w:cs="Times New Roman"/>
                <w:color w:val="000000"/>
                <w:lang w:eastAsia="it-IT"/>
              </w:rPr>
            </w:pPr>
            <w:r w:rsidRPr="008013CE">
              <w:rPr>
                <w:rFonts w:ascii="Calibri" w:eastAsia="Times New Roman" w:hAnsi="Calibri" w:cs="Times New Roman"/>
                <w:color w:val="000000"/>
                <w:lang w:eastAsia="it-IT"/>
              </w:rPr>
              <w:t>11%</w:t>
            </w:r>
          </w:p>
        </w:tc>
        <w:tc>
          <w:tcPr>
            <w:tcW w:w="960" w:type="dxa"/>
            <w:tcBorders>
              <w:top w:val="single" w:sz="4" w:space="0" w:color="auto"/>
              <w:left w:val="nil"/>
              <w:bottom w:val="single" w:sz="4" w:space="0" w:color="auto"/>
              <w:right w:val="nil"/>
            </w:tcBorders>
            <w:shd w:val="clear" w:color="auto" w:fill="auto"/>
            <w:noWrap/>
            <w:vAlign w:val="bottom"/>
            <w:hideMark/>
          </w:tcPr>
          <w:p w:rsidR="002B14DE" w:rsidRPr="008013CE" w:rsidRDefault="002B14DE" w:rsidP="002B14DE">
            <w:pPr>
              <w:spacing w:after="0" w:line="240" w:lineRule="auto"/>
              <w:jc w:val="right"/>
              <w:rPr>
                <w:rFonts w:ascii="Calibri" w:eastAsia="Times New Roman" w:hAnsi="Calibri" w:cs="Times New Roman"/>
                <w:color w:val="000000"/>
                <w:lang w:eastAsia="it-IT"/>
              </w:rPr>
            </w:pPr>
            <w:r w:rsidRPr="008013CE">
              <w:rPr>
                <w:rFonts w:ascii="Calibri" w:eastAsia="Times New Roman" w:hAnsi="Calibri" w:cs="Times New Roman"/>
                <w:color w:val="000000"/>
                <w:lang w:eastAsia="it-IT"/>
              </w:rPr>
              <w:t>1%</w:t>
            </w:r>
          </w:p>
        </w:tc>
        <w:tc>
          <w:tcPr>
            <w:tcW w:w="1202" w:type="dxa"/>
            <w:tcBorders>
              <w:top w:val="single" w:sz="4" w:space="0" w:color="auto"/>
              <w:left w:val="nil"/>
              <w:bottom w:val="single" w:sz="4" w:space="0" w:color="auto"/>
              <w:right w:val="nil"/>
            </w:tcBorders>
            <w:shd w:val="clear" w:color="auto" w:fill="auto"/>
            <w:noWrap/>
            <w:vAlign w:val="bottom"/>
            <w:hideMark/>
          </w:tcPr>
          <w:p w:rsidR="002B14DE" w:rsidRPr="008013CE" w:rsidRDefault="002B14DE" w:rsidP="002B14DE">
            <w:pPr>
              <w:spacing w:after="0" w:line="240" w:lineRule="auto"/>
              <w:jc w:val="right"/>
              <w:rPr>
                <w:rFonts w:ascii="Calibri" w:eastAsia="Times New Roman" w:hAnsi="Calibri" w:cs="Times New Roman"/>
                <w:color w:val="000000"/>
                <w:lang w:eastAsia="it-IT"/>
              </w:rPr>
            </w:pPr>
            <w:r w:rsidRPr="008013CE">
              <w:rPr>
                <w:rFonts w:ascii="Calibri" w:eastAsia="Times New Roman" w:hAnsi="Calibri" w:cs="Times New Roman"/>
                <w:color w:val="000000"/>
                <w:lang w:eastAsia="it-IT"/>
              </w:rPr>
              <w:t>1%</w:t>
            </w:r>
          </w:p>
        </w:tc>
      </w:tr>
    </w:tbl>
    <w:p w:rsidR="00BF48AB" w:rsidRDefault="00BF48AB" w:rsidP="002B14DE">
      <w:pPr>
        <w:rPr>
          <w:sz w:val="24"/>
          <w:szCs w:val="24"/>
        </w:rPr>
      </w:pPr>
    </w:p>
    <w:p w:rsidR="002B14DE" w:rsidRDefault="002B14DE" w:rsidP="002B14DE">
      <w:pPr>
        <w:rPr>
          <w:sz w:val="24"/>
          <w:szCs w:val="24"/>
        </w:rPr>
      </w:pPr>
      <w:r>
        <w:rPr>
          <w:sz w:val="24"/>
          <w:szCs w:val="24"/>
        </w:rPr>
        <w:t>Il 95% degli addetti artigiani del distretto ha un contratto a tempo indeterminato (che in questo caso comprendono anche un 11% di contratti di apprendistato); il comparto della bigiotteria è quello in cui contratti diversi hanno la maggiore incidenza (16% del totale)</w:t>
      </w:r>
    </w:p>
    <w:p w:rsidR="002B14DE" w:rsidRPr="00156B1E" w:rsidRDefault="00CD214C" w:rsidP="002B14DE">
      <w:pPr>
        <w:rPr>
          <w:i/>
          <w:sz w:val="24"/>
          <w:szCs w:val="24"/>
        </w:rPr>
      </w:pPr>
      <w:proofErr w:type="spellStart"/>
      <w:r>
        <w:rPr>
          <w:i/>
          <w:sz w:val="24"/>
          <w:szCs w:val="24"/>
        </w:rPr>
        <w:t>Tab</w:t>
      </w:r>
      <w:proofErr w:type="spellEnd"/>
      <w:r>
        <w:rPr>
          <w:i/>
          <w:sz w:val="24"/>
          <w:szCs w:val="24"/>
        </w:rPr>
        <w:t xml:space="preserve">. 2.2 </w:t>
      </w:r>
      <w:r w:rsidR="002B14DE" w:rsidRPr="00156B1E">
        <w:rPr>
          <w:i/>
          <w:sz w:val="24"/>
          <w:szCs w:val="24"/>
        </w:rPr>
        <w:t>Occupati per contratto</w:t>
      </w:r>
    </w:p>
    <w:tbl>
      <w:tblPr>
        <w:tblW w:w="7938" w:type="dxa"/>
        <w:tblCellMar>
          <w:left w:w="70" w:type="dxa"/>
          <w:right w:w="70" w:type="dxa"/>
        </w:tblCellMar>
        <w:tblLook w:val="04A0" w:firstRow="1" w:lastRow="0" w:firstColumn="1" w:lastColumn="0" w:noHBand="0" w:noVBand="1"/>
      </w:tblPr>
      <w:tblGrid>
        <w:gridCol w:w="2410"/>
        <w:gridCol w:w="1276"/>
        <w:gridCol w:w="1134"/>
        <w:gridCol w:w="1134"/>
        <w:gridCol w:w="992"/>
        <w:gridCol w:w="992"/>
      </w:tblGrid>
      <w:tr w:rsidR="002B14DE" w:rsidRPr="00156B1E" w:rsidTr="002B14DE">
        <w:trPr>
          <w:trHeight w:val="495"/>
        </w:trPr>
        <w:tc>
          <w:tcPr>
            <w:tcW w:w="2410" w:type="dxa"/>
            <w:tcBorders>
              <w:top w:val="single" w:sz="4" w:space="0" w:color="auto"/>
              <w:left w:val="nil"/>
              <w:bottom w:val="single" w:sz="4" w:space="0" w:color="auto"/>
              <w:right w:val="nil"/>
            </w:tcBorders>
          </w:tcPr>
          <w:p w:rsidR="002B14DE" w:rsidRPr="00156B1E" w:rsidRDefault="002B14DE" w:rsidP="002B14DE">
            <w:pPr>
              <w:spacing w:after="0" w:line="240" w:lineRule="auto"/>
              <w:rPr>
                <w:rFonts w:ascii="Calibri" w:eastAsia="Times New Roman" w:hAnsi="Calibri" w:cs="Times New Roman"/>
                <w:color w:val="000000"/>
                <w:sz w:val="18"/>
                <w:szCs w:val="18"/>
                <w:lang w:eastAsia="it-IT"/>
              </w:rPr>
            </w:pPr>
          </w:p>
        </w:tc>
        <w:tc>
          <w:tcPr>
            <w:tcW w:w="1276" w:type="dxa"/>
            <w:tcBorders>
              <w:top w:val="single" w:sz="4" w:space="0" w:color="auto"/>
              <w:left w:val="nil"/>
              <w:bottom w:val="single" w:sz="4" w:space="0" w:color="auto"/>
              <w:right w:val="nil"/>
            </w:tcBorders>
            <w:shd w:val="clear" w:color="auto" w:fill="auto"/>
            <w:vAlign w:val="bottom"/>
            <w:hideMark/>
          </w:tcPr>
          <w:p w:rsidR="002B14DE" w:rsidRPr="00156B1E" w:rsidRDefault="002B14DE" w:rsidP="002B14DE">
            <w:pPr>
              <w:spacing w:after="0" w:line="240" w:lineRule="auto"/>
              <w:jc w:val="right"/>
              <w:rPr>
                <w:rFonts w:ascii="Calibri" w:eastAsia="Times New Roman" w:hAnsi="Calibri" w:cs="Times New Roman"/>
                <w:color w:val="000000"/>
                <w:sz w:val="18"/>
                <w:szCs w:val="18"/>
                <w:lang w:eastAsia="it-IT"/>
              </w:rPr>
            </w:pPr>
            <w:proofErr w:type="gramStart"/>
            <w:r w:rsidRPr="00156B1E">
              <w:rPr>
                <w:rFonts w:ascii="Calibri" w:eastAsia="Times New Roman" w:hAnsi="Calibri" w:cs="Times New Roman"/>
                <w:color w:val="000000"/>
                <w:sz w:val="18"/>
                <w:szCs w:val="18"/>
                <w:lang w:eastAsia="it-IT"/>
              </w:rPr>
              <w:t>altri</w:t>
            </w:r>
            <w:proofErr w:type="gramEnd"/>
          </w:p>
        </w:tc>
        <w:tc>
          <w:tcPr>
            <w:tcW w:w="1134" w:type="dxa"/>
            <w:tcBorders>
              <w:top w:val="single" w:sz="4" w:space="0" w:color="auto"/>
              <w:left w:val="nil"/>
              <w:bottom w:val="single" w:sz="4" w:space="0" w:color="auto"/>
              <w:right w:val="nil"/>
            </w:tcBorders>
            <w:shd w:val="clear" w:color="auto" w:fill="auto"/>
            <w:vAlign w:val="bottom"/>
            <w:hideMark/>
          </w:tcPr>
          <w:p w:rsidR="002B14DE" w:rsidRPr="00156B1E" w:rsidRDefault="002B14DE" w:rsidP="002B14DE">
            <w:pPr>
              <w:spacing w:after="0" w:line="240" w:lineRule="auto"/>
              <w:jc w:val="right"/>
              <w:rPr>
                <w:rFonts w:ascii="Calibri" w:eastAsia="Times New Roman" w:hAnsi="Calibri" w:cs="Times New Roman"/>
                <w:color w:val="000000"/>
                <w:sz w:val="18"/>
                <w:szCs w:val="18"/>
                <w:lang w:eastAsia="it-IT"/>
              </w:rPr>
            </w:pPr>
            <w:proofErr w:type="gramStart"/>
            <w:r w:rsidRPr="00156B1E">
              <w:rPr>
                <w:rFonts w:ascii="Calibri" w:eastAsia="Times New Roman" w:hAnsi="Calibri" w:cs="Times New Roman"/>
                <w:color w:val="000000"/>
                <w:sz w:val="18"/>
                <w:szCs w:val="18"/>
                <w:lang w:eastAsia="it-IT"/>
              </w:rPr>
              <w:t>tempo</w:t>
            </w:r>
            <w:proofErr w:type="gramEnd"/>
            <w:r w:rsidRPr="00156B1E">
              <w:rPr>
                <w:rFonts w:ascii="Calibri" w:eastAsia="Times New Roman" w:hAnsi="Calibri" w:cs="Times New Roman"/>
                <w:color w:val="000000"/>
                <w:sz w:val="18"/>
                <w:szCs w:val="18"/>
                <w:lang w:eastAsia="it-IT"/>
              </w:rPr>
              <w:t xml:space="preserve"> </w:t>
            </w:r>
            <w:proofErr w:type="spellStart"/>
            <w:r w:rsidRPr="00156B1E">
              <w:rPr>
                <w:rFonts w:ascii="Calibri" w:eastAsia="Times New Roman" w:hAnsi="Calibri" w:cs="Times New Roman"/>
                <w:color w:val="000000"/>
                <w:sz w:val="18"/>
                <w:szCs w:val="18"/>
                <w:lang w:eastAsia="it-IT"/>
              </w:rPr>
              <w:t>determ</w:t>
            </w:r>
            <w:proofErr w:type="spellEnd"/>
            <w:r w:rsidRPr="00156B1E">
              <w:rPr>
                <w:rFonts w:ascii="Calibri" w:eastAsia="Times New Roman" w:hAnsi="Calibri" w:cs="Times New Roman"/>
                <w:color w:val="000000"/>
                <w:sz w:val="18"/>
                <w:szCs w:val="18"/>
                <w:lang w:eastAsia="it-IT"/>
              </w:rPr>
              <w:t>.</w:t>
            </w:r>
          </w:p>
        </w:tc>
        <w:tc>
          <w:tcPr>
            <w:tcW w:w="1134" w:type="dxa"/>
            <w:tcBorders>
              <w:top w:val="single" w:sz="4" w:space="0" w:color="auto"/>
              <w:left w:val="nil"/>
              <w:bottom w:val="single" w:sz="4" w:space="0" w:color="auto"/>
              <w:right w:val="nil"/>
            </w:tcBorders>
            <w:shd w:val="clear" w:color="auto" w:fill="auto"/>
            <w:vAlign w:val="bottom"/>
            <w:hideMark/>
          </w:tcPr>
          <w:p w:rsidR="002B14DE" w:rsidRPr="00156B1E" w:rsidRDefault="002B14DE" w:rsidP="002B14DE">
            <w:pPr>
              <w:spacing w:after="0" w:line="240" w:lineRule="auto"/>
              <w:jc w:val="right"/>
              <w:rPr>
                <w:rFonts w:ascii="Calibri" w:eastAsia="Times New Roman" w:hAnsi="Calibri" w:cs="Times New Roman"/>
                <w:color w:val="000000"/>
                <w:sz w:val="18"/>
                <w:szCs w:val="18"/>
                <w:lang w:eastAsia="it-IT"/>
              </w:rPr>
            </w:pPr>
            <w:proofErr w:type="gramStart"/>
            <w:r w:rsidRPr="00156B1E">
              <w:rPr>
                <w:rFonts w:ascii="Calibri" w:eastAsia="Times New Roman" w:hAnsi="Calibri" w:cs="Times New Roman"/>
                <w:color w:val="000000"/>
                <w:sz w:val="18"/>
                <w:szCs w:val="18"/>
                <w:lang w:eastAsia="it-IT"/>
              </w:rPr>
              <w:t>tempo</w:t>
            </w:r>
            <w:proofErr w:type="gramEnd"/>
            <w:r w:rsidRPr="00156B1E">
              <w:rPr>
                <w:rFonts w:ascii="Calibri" w:eastAsia="Times New Roman" w:hAnsi="Calibri" w:cs="Times New Roman"/>
                <w:color w:val="000000"/>
                <w:sz w:val="18"/>
                <w:szCs w:val="18"/>
                <w:lang w:eastAsia="it-IT"/>
              </w:rPr>
              <w:t xml:space="preserve"> </w:t>
            </w:r>
            <w:proofErr w:type="spellStart"/>
            <w:r w:rsidRPr="00156B1E">
              <w:rPr>
                <w:rFonts w:ascii="Calibri" w:eastAsia="Times New Roman" w:hAnsi="Calibri" w:cs="Times New Roman"/>
                <w:color w:val="000000"/>
                <w:sz w:val="18"/>
                <w:szCs w:val="18"/>
                <w:lang w:eastAsia="it-IT"/>
              </w:rPr>
              <w:t>indeterm</w:t>
            </w:r>
            <w:proofErr w:type="spellEnd"/>
            <w:r w:rsidRPr="00156B1E">
              <w:rPr>
                <w:rFonts w:ascii="Calibri" w:eastAsia="Times New Roman" w:hAnsi="Calibri" w:cs="Times New Roman"/>
                <w:color w:val="000000"/>
                <w:sz w:val="18"/>
                <w:szCs w:val="18"/>
                <w:lang w:eastAsia="it-IT"/>
              </w:rPr>
              <w:t>.</w:t>
            </w:r>
          </w:p>
        </w:tc>
        <w:tc>
          <w:tcPr>
            <w:tcW w:w="992" w:type="dxa"/>
            <w:tcBorders>
              <w:top w:val="single" w:sz="4" w:space="0" w:color="auto"/>
              <w:left w:val="nil"/>
              <w:bottom w:val="single" w:sz="4" w:space="0" w:color="auto"/>
              <w:right w:val="nil"/>
            </w:tcBorders>
            <w:shd w:val="clear" w:color="auto" w:fill="auto"/>
            <w:vAlign w:val="bottom"/>
            <w:hideMark/>
          </w:tcPr>
          <w:p w:rsidR="002B14DE" w:rsidRPr="00156B1E" w:rsidRDefault="002B14DE" w:rsidP="002B14DE">
            <w:pPr>
              <w:spacing w:after="0" w:line="240" w:lineRule="auto"/>
              <w:jc w:val="right"/>
              <w:rPr>
                <w:rFonts w:ascii="Calibri" w:eastAsia="Times New Roman" w:hAnsi="Calibri" w:cs="Times New Roman"/>
                <w:color w:val="000000"/>
                <w:sz w:val="18"/>
                <w:szCs w:val="18"/>
                <w:lang w:eastAsia="it-IT"/>
              </w:rPr>
            </w:pPr>
            <w:proofErr w:type="gramStart"/>
            <w:r w:rsidRPr="00156B1E">
              <w:rPr>
                <w:rFonts w:ascii="Calibri" w:eastAsia="Times New Roman" w:hAnsi="Calibri" w:cs="Times New Roman"/>
                <w:color w:val="000000"/>
                <w:sz w:val="18"/>
                <w:szCs w:val="18"/>
                <w:lang w:eastAsia="it-IT"/>
              </w:rPr>
              <w:t>totale</w:t>
            </w:r>
            <w:proofErr w:type="gramEnd"/>
          </w:p>
        </w:tc>
        <w:tc>
          <w:tcPr>
            <w:tcW w:w="992" w:type="dxa"/>
            <w:tcBorders>
              <w:top w:val="single" w:sz="4" w:space="0" w:color="auto"/>
              <w:left w:val="nil"/>
              <w:bottom w:val="single" w:sz="4" w:space="0" w:color="auto"/>
              <w:right w:val="nil"/>
            </w:tcBorders>
            <w:shd w:val="clear" w:color="auto" w:fill="auto"/>
            <w:vAlign w:val="bottom"/>
            <w:hideMark/>
          </w:tcPr>
          <w:p w:rsidR="002B14DE" w:rsidRPr="00156B1E" w:rsidRDefault="002B14DE" w:rsidP="002B14DE">
            <w:pPr>
              <w:spacing w:after="0" w:line="240" w:lineRule="auto"/>
              <w:jc w:val="right"/>
              <w:rPr>
                <w:rFonts w:ascii="Calibri" w:eastAsia="Times New Roman" w:hAnsi="Calibri" w:cs="Times New Roman"/>
                <w:color w:val="000000"/>
                <w:sz w:val="18"/>
                <w:szCs w:val="18"/>
                <w:lang w:eastAsia="it-IT"/>
              </w:rPr>
            </w:pPr>
            <w:r w:rsidRPr="00156B1E">
              <w:rPr>
                <w:rFonts w:ascii="Calibri" w:eastAsia="Times New Roman" w:hAnsi="Calibri" w:cs="Times New Roman"/>
                <w:color w:val="000000"/>
                <w:sz w:val="18"/>
                <w:szCs w:val="18"/>
                <w:lang w:eastAsia="it-IT"/>
              </w:rPr>
              <w:t xml:space="preserve">%tempo </w:t>
            </w:r>
            <w:proofErr w:type="spellStart"/>
            <w:r w:rsidRPr="00156B1E">
              <w:rPr>
                <w:rFonts w:ascii="Calibri" w:eastAsia="Times New Roman" w:hAnsi="Calibri" w:cs="Times New Roman"/>
                <w:color w:val="000000"/>
                <w:sz w:val="18"/>
                <w:szCs w:val="18"/>
                <w:lang w:eastAsia="it-IT"/>
              </w:rPr>
              <w:t>ind</w:t>
            </w:r>
            <w:proofErr w:type="spellEnd"/>
            <w:r w:rsidRPr="00156B1E">
              <w:rPr>
                <w:rFonts w:ascii="Calibri" w:eastAsia="Times New Roman" w:hAnsi="Calibri" w:cs="Times New Roman"/>
                <w:color w:val="000000"/>
                <w:sz w:val="18"/>
                <w:szCs w:val="18"/>
                <w:lang w:eastAsia="it-IT"/>
              </w:rPr>
              <w:t>.</w:t>
            </w:r>
          </w:p>
        </w:tc>
      </w:tr>
      <w:tr w:rsidR="002B14DE" w:rsidRPr="00156B1E" w:rsidTr="002B14DE">
        <w:trPr>
          <w:trHeight w:val="300"/>
        </w:trPr>
        <w:tc>
          <w:tcPr>
            <w:tcW w:w="2410" w:type="dxa"/>
            <w:tcBorders>
              <w:top w:val="single" w:sz="4" w:space="0" w:color="auto"/>
              <w:left w:val="nil"/>
              <w:bottom w:val="nil"/>
              <w:right w:val="nil"/>
            </w:tcBorders>
          </w:tcPr>
          <w:p w:rsidR="002B14DE" w:rsidRPr="00156B1E" w:rsidRDefault="002B14DE" w:rsidP="002B14DE">
            <w:pPr>
              <w:spacing w:after="0" w:line="240" w:lineRule="auto"/>
              <w:rPr>
                <w:rFonts w:ascii="Calibri" w:eastAsia="Times New Roman" w:hAnsi="Calibri" w:cs="Times New Roman"/>
                <w:color w:val="000000"/>
                <w:sz w:val="18"/>
                <w:szCs w:val="18"/>
                <w:lang w:eastAsia="it-IT"/>
              </w:rPr>
            </w:pPr>
            <w:r w:rsidRPr="008013CE">
              <w:rPr>
                <w:rFonts w:ascii="Calibri" w:eastAsia="Times New Roman" w:hAnsi="Calibri" w:cs="Times New Roman"/>
                <w:color w:val="000000"/>
                <w:lang w:eastAsia="it-IT"/>
              </w:rPr>
              <w:t>1. produzione e trattamento metalli</w:t>
            </w:r>
          </w:p>
        </w:tc>
        <w:tc>
          <w:tcPr>
            <w:tcW w:w="1276" w:type="dxa"/>
            <w:tcBorders>
              <w:top w:val="single" w:sz="4" w:space="0" w:color="auto"/>
              <w:left w:val="nil"/>
              <w:bottom w:val="nil"/>
              <w:right w:val="nil"/>
            </w:tcBorders>
            <w:shd w:val="clear" w:color="auto" w:fill="auto"/>
            <w:vAlign w:val="bottom"/>
            <w:hideMark/>
          </w:tcPr>
          <w:p w:rsidR="002B14DE" w:rsidRPr="00156B1E" w:rsidRDefault="002B14DE" w:rsidP="002B14DE">
            <w:pPr>
              <w:spacing w:after="0" w:line="240" w:lineRule="auto"/>
              <w:jc w:val="right"/>
              <w:rPr>
                <w:rFonts w:ascii="Calibri" w:eastAsia="Times New Roman" w:hAnsi="Calibri" w:cs="Times New Roman"/>
                <w:color w:val="000000"/>
                <w:sz w:val="18"/>
                <w:szCs w:val="18"/>
                <w:lang w:eastAsia="it-IT"/>
              </w:rPr>
            </w:pPr>
          </w:p>
        </w:tc>
        <w:tc>
          <w:tcPr>
            <w:tcW w:w="1134" w:type="dxa"/>
            <w:tcBorders>
              <w:top w:val="single" w:sz="4" w:space="0" w:color="auto"/>
              <w:left w:val="nil"/>
              <w:bottom w:val="nil"/>
              <w:right w:val="nil"/>
            </w:tcBorders>
            <w:shd w:val="clear" w:color="auto" w:fill="auto"/>
            <w:vAlign w:val="bottom"/>
            <w:hideMark/>
          </w:tcPr>
          <w:p w:rsidR="002B14DE" w:rsidRPr="00156B1E" w:rsidRDefault="002B14DE" w:rsidP="002B14DE">
            <w:pPr>
              <w:spacing w:after="0" w:line="240" w:lineRule="auto"/>
              <w:jc w:val="right"/>
              <w:rPr>
                <w:rFonts w:ascii="Calibri" w:eastAsia="Times New Roman" w:hAnsi="Calibri" w:cs="Times New Roman"/>
                <w:color w:val="000000"/>
                <w:sz w:val="18"/>
                <w:szCs w:val="18"/>
                <w:lang w:eastAsia="it-IT"/>
              </w:rPr>
            </w:pPr>
            <w:r w:rsidRPr="00156B1E">
              <w:rPr>
                <w:rFonts w:ascii="Calibri" w:eastAsia="Times New Roman" w:hAnsi="Calibri" w:cs="Times New Roman"/>
                <w:color w:val="000000"/>
                <w:sz w:val="18"/>
                <w:szCs w:val="18"/>
                <w:lang w:eastAsia="it-IT"/>
              </w:rPr>
              <w:t>13</w:t>
            </w:r>
          </w:p>
        </w:tc>
        <w:tc>
          <w:tcPr>
            <w:tcW w:w="1134" w:type="dxa"/>
            <w:tcBorders>
              <w:top w:val="single" w:sz="4" w:space="0" w:color="auto"/>
              <w:left w:val="nil"/>
              <w:bottom w:val="nil"/>
              <w:right w:val="nil"/>
            </w:tcBorders>
            <w:shd w:val="clear" w:color="auto" w:fill="auto"/>
            <w:vAlign w:val="bottom"/>
            <w:hideMark/>
          </w:tcPr>
          <w:p w:rsidR="002B14DE" w:rsidRPr="00156B1E" w:rsidRDefault="002B14DE" w:rsidP="002B14DE">
            <w:pPr>
              <w:spacing w:after="0" w:line="240" w:lineRule="auto"/>
              <w:jc w:val="right"/>
              <w:rPr>
                <w:rFonts w:ascii="Calibri" w:eastAsia="Times New Roman" w:hAnsi="Calibri" w:cs="Times New Roman"/>
                <w:color w:val="000000"/>
                <w:sz w:val="18"/>
                <w:szCs w:val="18"/>
                <w:lang w:eastAsia="it-IT"/>
              </w:rPr>
            </w:pPr>
            <w:r w:rsidRPr="00156B1E">
              <w:rPr>
                <w:rFonts w:ascii="Calibri" w:eastAsia="Times New Roman" w:hAnsi="Calibri" w:cs="Times New Roman"/>
                <w:color w:val="000000"/>
                <w:sz w:val="18"/>
                <w:szCs w:val="18"/>
                <w:lang w:eastAsia="it-IT"/>
              </w:rPr>
              <w:t>152</w:t>
            </w:r>
          </w:p>
        </w:tc>
        <w:tc>
          <w:tcPr>
            <w:tcW w:w="992" w:type="dxa"/>
            <w:tcBorders>
              <w:top w:val="single" w:sz="4" w:space="0" w:color="auto"/>
              <w:left w:val="nil"/>
              <w:bottom w:val="nil"/>
              <w:right w:val="nil"/>
            </w:tcBorders>
            <w:shd w:val="clear" w:color="auto" w:fill="auto"/>
            <w:vAlign w:val="bottom"/>
            <w:hideMark/>
          </w:tcPr>
          <w:p w:rsidR="002B14DE" w:rsidRPr="00156B1E" w:rsidRDefault="002B14DE" w:rsidP="002B14DE">
            <w:pPr>
              <w:spacing w:after="0" w:line="240" w:lineRule="auto"/>
              <w:jc w:val="right"/>
              <w:rPr>
                <w:rFonts w:ascii="Calibri" w:eastAsia="Times New Roman" w:hAnsi="Calibri" w:cs="Times New Roman"/>
                <w:color w:val="000000"/>
                <w:sz w:val="18"/>
                <w:szCs w:val="18"/>
                <w:lang w:eastAsia="it-IT"/>
              </w:rPr>
            </w:pPr>
            <w:r w:rsidRPr="00156B1E">
              <w:rPr>
                <w:rFonts w:ascii="Calibri" w:eastAsia="Times New Roman" w:hAnsi="Calibri" w:cs="Times New Roman"/>
                <w:color w:val="000000"/>
                <w:sz w:val="18"/>
                <w:szCs w:val="18"/>
                <w:lang w:eastAsia="it-IT"/>
              </w:rPr>
              <w:t>165</w:t>
            </w:r>
          </w:p>
        </w:tc>
        <w:tc>
          <w:tcPr>
            <w:tcW w:w="992" w:type="dxa"/>
            <w:tcBorders>
              <w:top w:val="single" w:sz="4" w:space="0" w:color="auto"/>
              <w:left w:val="nil"/>
              <w:bottom w:val="nil"/>
              <w:right w:val="nil"/>
            </w:tcBorders>
            <w:shd w:val="clear" w:color="auto" w:fill="auto"/>
            <w:vAlign w:val="bottom"/>
            <w:hideMark/>
          </w:tcPr>
          <w:p w:rsidR="002B14DE" w:rsidRPr="00156B1E" w:rsidRDefault="002B14DE" w:rsidP="002B14DE">
            <w:pPr>
              <w:spacing w:after="0" w:line="240" w:lineRule="auto"/>
              <w:jc w:val="right"/>
              <w:rPr>
                <w:rFonts w:ascii="Calibri" w:eastAsia="Times New Roman" w:hAnsi="Calibri" w:cs="Times New Roman"/>
                <w:color w:val="000000"/>
                <w:sz w:val="18"/>
                <w:szCs w:val="18"/>
                <w:lang w:eastAsia="it-IT"/>
              </w:rPr>
            </w:pPr>
            <w:r w:rsidRPr="00156B1E">
              <w:rPr>
                <w:rFonts w:ascii="Calibri" w:eastAsia="Times New Roman" w:hAnsi="Calibri" w:cs="Times New Roman"/>
                <w:color w:val="000000"/>
                <w:sz w:val="18"/>
                <w:szCs w:val="18"/>
                <w:lang w:eastAsia="it-IT"/>
              </w:rPr>
              <w:t>92%</w:t>
            </w:r>
          </w:p>
        </w:tc>
      </w:tr>
      <w:tr w:rsidR="002B14DE" w:rsidRPr="00156B1E" w:rsidTr="002B14DE">
        <w:trPr>
          <w:trHeight w:val="300"/>
        </w:trPr>
        <w:tc>
          <w:tcPr>
            <w:tcW w:w="2410" w:type="dxa"/>
            <w:tcBorders>
              <w:top w:val="nil"/>
              <w:left w:val="nil"/>
              <w:bottom w:val="nil"/>
              <w:right w:val="nil"/>
            </w:tcBorders>
          </w:tcPr>
          <w:p w:rsidR="002B14DE" w:rsidRPr="00156B1E" w:rsidRDefault="002B14DE" w:rsidP="002B14DE">
            <w:pPr>
              <w:spacing w:after="0" w:line="240" w:lineRule="auto"/>
              <w:rPr>
                <w:rFonts w:ascii="Calibri" w:eastAsia="Times New Roman" w:hAnsi="Calibri" w:cs="Times New Roman"/>
                <w:color w:val="000000"/>
                <w:sz w:val="18"/>
                <w:szCs w:val="18"/>
                <w:lang w:eastAsia="it-IT"/>
              </w:rPr>
            </w:pPr>
            <w:r w:rsidRPr="008013CE">
              <w:rPr>
                <w:rFonts w:ascii="Calibri" w:eastAsia="Times New Roman" w:hAnsi="Calibri" w:cs="Times New Roman"/>
                <w:color w:val="000000"/>
                <w:lang w:eastAsia="it-IT"/>
              </w:rPr>
              <w:t>2. macchine e stampi per industria orafa</w:t>
            </w:r>
          </w:p>
        </w:tc>
        <w:tc>
          <w:tcPr>
            <w:tcW w:w="1276" w:type="dxa"/>
            <w:tcBorders>
              <w:top w:val="nil"/>
              <w:left w:val="nil"/>
              <w:bottom w:val="nil"/>
              <w:right w:val="nil"/>
            </w:tcBorders>
            <w:shd w:val="clear" w:color="auto" w:fill="auto"/>
            <w:vAlign w:val="bottom"/>
            <w:hideMark/>
          </w:tcPr>
          <w:p w:rsidR="002B14DE" w:rsidRPr="00156B1E" w:rsidRDefault="002B14DE" w:rsidP="002B14DE">
            <w:pPr>
              <w:spacing w:after="0" w:line="240" w:lineRule="auto"/>
              <w:jc w:val="right"/>
              <w:rPr>
                <w:rFonts w:ascii="Calibri" w:eastAsia="Times New Roman" w:hAnsi="Calibri" w:cs="Times New Roman"/>
                <w:color w:val="000000"/>
                <w:sz w:val="18"/>
                <w:szCs w:val="18"/>
                <w:lang w:eastAsia="it-IT"/>
              </w:rPr>
            </w:pPr>
            <w:r w:rsidRPr="00156B1E">
              <w:rPr>
                <w:rFonts w:ascii="Calibri" w:eastAsia="Times New Roman" w:hAnsi="Calibri" w:cs="Times New Roman"/>
                <w:color w:val="000000"/>
                <w:sz w:val="18"/>
                <w:szCs w:val="18"/>
                <w:lang w:eastAsia="it-IT"/>
              </w:rPr>
              <w:t>1</w:t>
            </w:r>
          </w:p>
        </w:tc>
        <w:tc>
          <w:tcPr>
            <w:tcW w:w="1134" w:type="dxa"/>
            <w:tcBorders>
              <w:top w:val="nil"/>
              <w:left w:val="nil"/>
              <w:bottom w:val="nil"/>
              <w:right w:val="nil"/>
            </w:tcBorders>
            <w:shd w:val="clear" w:color="auto" w:fill="auto"/>
            <w:vAlign w:val="bottom"/>
            <w:hideMark/>
          </w:tcPr>
          <w:p w:rsidR="002B14DE" w:rsidRPr="00156B1E" w:rsidRDefault="002B14DE" w:rsidP="002B14DE">
            <w:pPr>
              <w:spacing w:after="0" w:line="240" w:lineRule="auto"/>
              <w:jc w:val="right"/>
              <w:rPr>
                <w:rFonts w:ascii="Calibri" w:eastAsia="Times New Roman" w:hAnsi="Calibri" w:cs="Times New Roman"/>
                <w:color w:val="000000"/>
                <w:sz w:val="18"/>
                <w:szCs w:val="18"/>
                <w:lang w:eastAsia="it-IT"/>
              </w:rPr>
            </w:pPr>
            <w:r w:rsidRPr="00156B1E">
              <w:rPr>
                <w:rFonts w:ascii="Calibri" w:eastAsia="Times New Roman" w:hAnsi="Calibri" w:cs="Times New Roman"/>
                <w:color w:val="000000"/>
                <w:sz w:val="18"/>
                <w:szCs w:val="18"/>
                <w:lang w:eastAsia="it-IT"/>
              </w:rPr>
              <w:t>5</w:t>
            </w:r>
          </w:p>
        </w:tc>
        <w:tc>
          <w:tcPr>
            <w:tcW w:w="1134" w:type="dxa"/>
            <w:tcBorders>
              <w:top w:val="nil"/>
              <w:left w:val="nil"/>
              <w:bottom w:val="nil"/>
              <w:right w:val="nil"/>
            </w:tcBorders>
            <w:shd w:val="clear" w:color="auto" w:fill="auto"/>
            <w:vAlign w:val="bottom"/>
            <w:hideMark/>
          </w:tcPr>
          <w:p w:rsidR="002B14DE" w:rsidRPr="00156B1E" w:rsidRDefault="002B14DE" w:rsidP="002B14DE">
            <w:pPr>
              <w:spacing w:after="0" w:line="240" w:lineRule="auto"/>
              <w:jc w:val="right"/>
              <w:rPr>
                <w:rFonts w:ascii="Calibri" w:eastAsia="Times New Roman" w:hAnsi="Calibri" w:cs="Times New Roman"/>
                <w:color w:val="000000"/>
                <w:sz w:val="18"/>
                <w:szCs w:val="18"/>
                <w:lang w:eastAsia="it-IT"/>
              </w:rPr>
            </w:pPr>
            <w:r w:rsidRPr="00156B1E">
              <w:rPr>
                <w:rFonts w:ascii="Calibri" w:eastAsia="Times New Roman" w:hAnsi="Calibri" w:cs="Times New Roman"/>
                <w:color w:val="000000"/>
                <w:sz w:val="18"/>
                <w:szCs w:val="18"/>
                <w:lang w:eastAsia="it-IT"/>
              </w:rPr>
              <w:t>93</w:t>
            </w:r>
          </w:p>
        </w:tc>
        <w:tc>
          <w:tcPr>
            <w:tcW w:w="992" w:type="dxa"/>
            <w:tcBorders>
              <w:top w:val="nil"/>
              <w:left w:val="nil"/>
              <w:bottom w:val="nil"/>
              <w:right w:val="nil"/>
            </w:tcBorders>
            <w:shd w:val="clear" w:color="auto" w:fill="auto"/>
            <w:vAlign w:val="bottom"/>
            <w:hideMark/>
          </w:tcPr>
          <w:p w:rsidR="002B14DE" w:rsidRPr="00156B1E" w:rsidRDefault="002B14DE" w:rsidP="002B14DE">
            <w:pPr>
              <w:spacing w:after="0" w:line="240" w:lineRule="auto"/>
              <w:jc w:val="right"/>
              <w:rPr>
                <w:rFonts w:ascii="Calibri" w:eastAsia="Times New Roman" w:hAnsi="Calibri" w:cs="Times New Roman"/>
                <w:color w:val="000000"/>
                <w:sz w:val="18"/>
                <w:szCs w:val="18"/>
                <w:lang w:eastAsia="it-IT"/>
              </w:rPr>
            </w:pPr>
            <w:r w:rsidRPr="00156B1E">
              <w:rPr>
                <w:rFonts w:ascii="Calibri" w:eastAsia="Times New Roman" w:hAnsi="Calibri" w:cs="Times New Roman"/>
                <w:color w:val="000000"/>
                <w:sz w:val="18"/>
                <w:szCs w:val="18"/>
                <w:lang w:eastAsia="it-IT"/>
              </w:rPr>
              <w:t>99</w:t>
            </w:r>
          </w:p>
        </w:tc>
        <w:tc>
          <w:tcPr>
            <w:tcW w:w="992" w:type="dxa"/>
            <w:tcBorders>
              <w:top w:val="nil"/>
              <w:left w:val="nil"/>
              <w:bottom w:val="nil"/>
              <w:right w:val="nil"/>
            </w:tcBorders>
            <w:shd w:val="clear" w:color="auto" w:fill="auto"/>
            <w:vAlign w:val="bottom"/>
            <w:hideMark/>
          </w:tcPr>
          <w:p w:rsidR="002B14DE" w:rsidRPr="00156B1E" w:rsidRDefault="002B14DE" w:rsidP="002B14DE">
            <w:pPr>
              <w:spacing w:after="0" w:line="240" w:lineRule="auto"/>
              <w:jc w:val="right"/>
              <w:rPr>
                <w:rFonts w:ascii="Calibri" w:eastAsia="Times New Roman" w:hAnsi="Calibri" w:cs="Times New Roman"/>
                <w:color w:val="000000"/>
                <w:sz w:val="18"/>
                <w:szCs w:val="18"/>
                <w:lang w:eastAsia="it-IT"/>
              </w:rPr>
            </w:pPr>
            <w:r w:rsidRPr="00156B1E">
              <w:rPr>
                <w:rFonts w:ascii="Calibri" w:eastAsia="Times New Roman" w:hAnsi="Calibri" w:cs="Times New Roman"/>
                <w:color w:val="000000"/>
                <w:sz w:val="18"/>
                <w:szCs w:val="18"/>
                <w:lang w:eastAsia="it-IT"/>
              </w:rPr>
              <w:t>94%</w:t>
            </w:r>
          </w:p>
        </w:tc>
      </w:tr>
      <w:tr w:rsidR="002B14DE" w:rsidRPr="00156B1E" w:rsidTr="002B14DE">
        <w:trPr>
          <w:trHeight w:val="300"/>
        </w:trPr>
        <w:tc>
          <w:tcPr>
            <w:tcW w:w="2410" w:type="dxa"/>
            <w:tcBorders>
              <w:top w:val="nil"/>
              <w:left w:val="nil"/>
              <w:bottom w:val="nil"/>
              <w:right w:val="nil"/>
            </w:tcBorders>
          </w:tcPr>
          <w:p w:rsidR="002B14DE" w:rsidRPr="00156B1E" w:rsidRDefault="002B14DE" w:rsidP="002B14DE">
            <w:pPr>
              <w:spacing w:after="0" w:line="240" w:lineRule="auto"/>
              <w:rPr>
                <w:rFonts w:ascii="Calibri" w:eastAsia="Times New Roman" w:hAnsi="Calibri" w:cs="Times New Roman"/>
                <w:color w:val="000000"/>
                <w:sz w:val="18"/>
                <w:szCs w:val="18"/>
                <w:lang w:eastAsia="it-IT"/>
              </w:rPr>
            </w:pPr>
            <w:r w:rsidRPr="008013CE">
              <w:rPr>
                <w:rFonts w:ascii="Calibri" w:eastAsia="Times New Roman" w:hAnsi="Calibri" w:cs="Times New Roman"/>
                <w:color w:val="000000"/>
                <w:lang w:eastAsia="it-IT"/>
              </w:rPr>
              <w:t>3. bigiotteria, orologi e altro</w:t>
            </w:r>
          </w:p>
        </w:tc>
        <w:tc>
          <w:tcPr>
            <w:tcW w:w="1276" w:type="dxa"/>
            <w:tcBorders>
              <w:top w:val="nil"/>
              <w:left w:val="nil"/>
              <w:bottom w:val="nil"/>
              <w:right w:val="nil"/>
            </w:tcBorders>
            <w:shd w:val="clear" w:color="auto" w:fill="auto"/>
            <w:vAlign w:val="bottom"/>
            <w:hideMark/>
          </w:tcPr>
          <w:p w:rsidR="002B14DE" w:rsidRPr="00156B1E" w:rsidRDefault="002B14DE" w:rsidP="002B14DE">
            <w:pPr>
              <w:spacing w:after="0" w:line="240" w:lineRule="auto"/>
              <w:jc w:val="right"/>
              <w:rPr>
                <w:rFonts w:ascii="Calibri" w:eastAsia="Times New Roman" w:hAnsi="Calibri" w:cs="Times New Roman"/>
                <w:color w:val="000000"/>
                <w:sz w:val="18"/>
                <w:szCs w:val="18"/>
                <w:lang w:eastAsia="it-IT"/>
              </w:rPr>
            </w:pPr>
          </w:p>
        </w:tc>
        <w:tc>
          <w:tcPr>
            <w:tcW w:w="1134" w:type="dxa"/>
            <w:tcBorders>
              <w:top w:val="nil"/>
              <w:left w:val="nil"/>
              <w:bottom w:val="nil"/>
              <w:right w:val="nil"/>
            </w:tcBorders>
            <w:shd w:val="clear" w:color="auto" w:fill="auto"/>
            <w:vAlign w:val="bottom"/>
            <w:hideMark/>
          </w:tcPr>
          <w:p w:rsidR="002B14DE" w:rsidRPr="00156B1E" w:rsidRDefault="002B14DE" w:rsidP="002B14DE">
            <w:pPr>
              <w:spacing w:after="0" w:line="240" w:lineRule="auto"/>
              <w:jc w:val="right"/>
              <w:rPr>
                <w:rFonts w:ascii="Calibri" w:eastAsia="Times New Roman" w:hAnsi="Calibri" w:cs="Times New Roman"/>
                <w:color w:val="000000"/>
                <w:sz w:val="18"/>
                <w:szCs w:val="18"/>
                <w:lang w:eastAsia="it-IT"/>
              </w:rPr>
            </w:pPr>
            <w:r w:rsidRPr="00156B1E">
              <w:rPr>
                <w:rFonts w:ascii="Calibri" w:eastAsia="Times New Roman" w:hAnsi="Calibri" w:cs="Times New Roman"/>
                <w:color w:val="000000"/>
                <w:sz w:val="18"/>
                <w:szCs w:val="18"/>
                <w:lang w:eastAsia="it-IT"/>
              </w:rPr>
              <w:t>15</w:t>
            </w:r>
          </w:p>
        </w:tc>
        <w:tc>
          <w:tcPr>
            <w:tcW w:w="1134" w:type="dxa"/>
            <w:tcBorders>
              <w:top w:val="nil"/>
              <w:left w:val="nil"/>
              <w:bottom w:val="nil"/>
              <w:right w:val="nil"/>
            </w:tcBorders>
            <w:shd w:val="clear" w:color="auto" w:fill="auto"/>
            <w:vAlign w:val="bottom"/>
            <w:hideMark/>
          </w:tcPr>
          <w:p w:rsidR="002B14DE" w:rsidRPr="00156B1E" w:rsidRDefault="002B14DE" w:rsidP="002B14DE">
            <w:pPr>
              <w:spacing w:after="0" w:line="240" w:lineRule="auto"/>
              <w:jc w:val="right"/>
              <w:rPr>
                <w:rFonts w:ascii="Calibri" w:eastAsia="Times New Roman" w:hAnsi="Calibri" w:cs="Times New Roman"/>
                <w:color w:val="000000"/>
                <w:sz w:val="18"/>
                <w:szCs w:val="18"/>
                <w:lang w:eastAsia="it-IT"/>
              </w:rPr>
            </w:pPr>
            <w:r w:rsidRPr="00156B1E">
              <w:rPr>
                <w:rFonts w:ascii="Calibri" w:eastAsia="Times New Roman" w:hAnsi="Calibri" w:cs="Times New Roman"/>
                <w:color w:val="000000"/>
                <w:sz w:val="18"/>
                <w:szCs w:val="18"/>
                <w:lang w:eastAsia="it-IT"/>
              </w:rPr>
              <w:t>80</w:t>
            </w:r>
          </w:p>
        </w:tc>
        <w:tc>
          <w:tcPr>
            <w:tcW w:w="992" w:type="dxa"/>
            <w:tcBorders>
              <w:top w:val="nil"/>
              <w:left w:val="nil"/>
              <w:bottom w:val="nil"/>
              <w:right w:val="nil"/>
            </w:tcBorders>
            <w:shd w:val="clear" w:color="auto" w:fill="auto"/>
            <w:vAlign w:val="bottom"/>
            <w:hideMark/>
          </w:tcPr>
          <w:p w:rsidR="002B14DE" w:rsidRPr="00156B1E" w:rsidRDefault="002B14DE" w:rsidP="002B14DE">
            <w:pPr>
              <w:spacing w:after="0" w:line="240" w:lineRule="auto"/>
              <w:jc w:val="right"/>
              <w:rPr>
                <w:rFonts w:ascii="Calibri" w:eastAsia="Times New Roman" w:hAnsi="Calibri" w:cs="Times New Roman"/>
                <w:color w:val="000000"/>
                <w:sz w:val="18"/>
                <w:szCs w:val="18"/>
                <w:lang w:eastAsia="it-IT"/>
              </w:rPr>
            </w:pPr>
            <w:r w:rsidRPr="00156B1E">
              <w:rPr>
                <w:rFonts w:ascii="Calibri" w:eastAsia="Times New Roman" w:hAnsi="Calibri" w:cs="Times New Roman"/>
                <w:color w:val="000000"/>
                <w:sz w:val="18"/>
                <w:szCs w:val="18"/>
                <w:lang w:eastAsia="it-IT"/>
              </w:rPr>
              <w:t>95</w:t>
            </w:r>
          </w:p>
        </w:tc>
        <w:tc>
          <w:tcPr>
            <w:tcW w:w="992" w:type="dxa"/>
            <w:tcBorders>
              <w:top w:val="nil"/>
              <w:left w:val="nil"/>
              <w:bottom w:val="nil"/>
              <w:right w:val="nil"/>
            </w:tcBorders>
            <w:shd w:val="clear" w:color="auto" w:fill="auto"/>
            <w:vAlign w:val="bottom"/>
            <w:hideMark/>
          </w:tcPr>
          <w:p w:rsidR="002B14DE" w:rsidRPr="00156B1E" w:rsidRDefault="002B14DE" w:rsidP="002B14DE">
            <w:pPr>
              <w:spacing w:after="0" w:line="240" w:lineRule="auto"/>
              <w:jc w:val="right"/>
              <w:rPr>
                <w:rFonts w:ascii="Calibri" w:eastAsia="Times New Roman" w:hAnsi="Calibri" w:cs="Times New Roman"/>
                <w:color w:val="000000"/>
                <w:sz w:val="18"/>
                <w:szCs w:val="18"/>
                <w:lang w:eastAsia="it-IT"/>
              </w:rPr>
            </w:pPr>
            <w:r w:rsidRPr="00156B1E">
              <w:rPr>
                <w:rFonts w:ascii="Calibri" w:eastAsia="Times New Roman" w:hAnsi="Calibri" w:cs="Times New Roman"/>
                <w:color w:val="000000"/>
                <w:sz w:val="18"/>
                <w:szCs w:val="18"/>
                <w:lang w:eastAsia="it-IT"/>
              </w:rPr>
              <w:t>84%</w:t>
            </w:r>
          </w:p>
        </w:tc>
      </w:tr>
      <w:tr w:rsidR="002B14DE" w:rsidRPr="00156B1E" w:rsidTr="002B14DE">
        <w:trPr>
          <w:trHeight w:val="300"/>
        </w:trPr>
        <w:tc>
          <w:tcPr>
            <w:tcW w:w="2410" w:type="dxa"/>
            <w:tcBorders>
              <w:top w:val="nil"/>
              <w:left w:val="nil"/>
              <w:bottom w:val="single" w:sz="4" w:space="0" w:color="auto"/>
              <w:right w:val="nil"/>
            </w:tcBorders>
            <w:vAlign w:val="bottom"/>
          </w:tcPr>
          <w:p w:rsidR="002B14DE" w:rsidRPr="008013CE" w:rsidRDefault="002B14DE" w:rsidP="002B14DE">
            <w:pPr>
              <w:spacing w:after="0" w:line="240" w:lineRule="auto"/>
              <w:rPr>
                <w:rFonts w:ascii="Calibri" w:eastAsia="Times New Roman" w:hAnsi="Calibri" w:cs="Times New Roman"/>
                <w:color w:val="000000"/>
                <w:lang w:eastAsia="it-IT"/>
              </w:rPr>
            </w:pPr>
            <w:r w:rsidRPr="008013CE">
              <w:rPr>
                <w:rFonts w:ascii="Calibri" w:eastAsia="Times New Roman" w:hAnsi="Calibri" w:cs="Times New Roman"/>
                <w:color w:val="000000"/>
                <w:lang w:eastAsia="it-IT"/>
              </w:rPr>
              <w:t>4. oreficeria</w:t>
            </w:r>
          </w:p>
        </w:tc>
        <w:tc>
          <w:tcPr>
            <w:tcW w:w="1276" w:type="dxa"/>
            <w:tcBorders>
              <w:top w:val="nil"/>
              <w:left w:val="nil"/>
              <w:bottom w:val="single" w:sz="4" w:space="0" w:color="auto"/>
              <w:right w:val="nil"/>
            </w:tcBorders>
            <w:shd w:val="clear" w:color="auto" w:fill="auto"/>
            <w:vAlign w:val="bottom"/>
            <w:hideMark/>
          </w:tcPr>
          <w:p w:rsidR="002B14DE" w:rsidRPr="00156B1E" w:rsidRDefault="002B14DE" w:rsidP="002B14DE">
            <w:pPr>
              <w:spacing w:after="0" w:line="240" w:lineRule="auto"/>
              <w:jc w:val="right"/>
              <w:rPr>
                <w:rFonts w:ascii="Calibri" w:eastAsia="Times New Roman" w:hAnsi="Calibri" w:cs="Times New Roman"/>
                <w:color w:val="000000"/>
                <w:sz w:val="18"/>
                <w:szCs w:val="18"/>
                <w:lang w:eastAsia="it-IT"/>
              </w:rPr>
            </w:pPr>
            <w:r w:rsidRPr="00156B1E">
              <w:rPr>
                <w:rFonts w:ascii="Calibri" w:eastAsia="Times New Roman" w:hAnsi="Calibri" w:cs="Times New Roman"/>
                <w:color w:val="000000"/>
                <w:sz w:val="18"/>
                <w:szCs w:val="18"/>
                <w:lang w:eastAsia="it-IT"/>
              </w:rPr>
              <w:t>3</w:t>
            </w:r>
          </w:p>
        </w:tc>
        <w:tc>
          <w:tcPr>
            <w:tcW w:w="1134" w:type="dxa"/>
            <w:tcBorders>
              <w:top w:val="nil"/>
              <w:left w:val="nil"/>
              <w:bottom w:val="single" w:sz="4" w:space="0" w:color="auto"/>
              <w:right w:val="nil"/>
            </w:tcBorders>
            <w:shd w:val="clear" w:color="auto" w:fill="auto"/>
            <w:vAlign w:val="bottom"/>
            <w:hideMark/>
          </w:tcPr>
          <w:p w:rsidR="002B14DE" w:rsidRPr="00156B1E" w:rsidRDefault="002B14DE" w:rsidP="002B14DE">
            <w:pPr>
              <w:spacing w:after="0" w:line="240" w:lineRule="auto"/>
              <w:jc w:val="right"/>
              <w:rPr>
                <w:rFonts w:ascii="Calibri" w:eastAsia="Times New Roman" w:hAnsi="Calibri" w:cs="Times New Roman"/>
                <w:color w:val="000000"/>
                <w:sz w:val="18"/>
                <w:szCs w:val="18"/>
                <w:lang w:eastAsia="it-IT"/>
              </w:rPr>
            </w:pPr>
            <w:r w:rsidRPr="00156B1E">
              <w:rPr>
                <w:rFonts w:ascii="Calibri" w:eastAsia="Times New Roman" w:hAnsi="Calibri" w:cs="Times New Roman"/>
                <w:color w:val="000000"/>
                <w:sz w:val="18"/>
                <w:szCs w:val="18"/>
                <w:lang w:eastAsia="it-IT"/>
              </w:rPr>
              <w:t>73</w:t>
            </w:r>
          </w:p>
        </w:tc>
        <w:tc>
          <w:tcPr>
            <w:tcW w:w="1134" w:type="dxa"/>
            <w:tcBorders>
              <w:top w:val="nil"/>
              <w:left w:val="nil"/>
              <w:bottom w:val="single" w:sz="4" w:space="0" w:color="auto"/>
              <w:right w:val="nil"/>
            </w:tcBorders>
            <w:shd w:val="clear" w:color="auto" w:fill="auto"/>
            <w:vAlign w:val="bottom"/>
            <w:hideMark/>
          </w:tcPr>
          <w:p w:rsidR="002B14DE" w:rsidRPr="00156B1E" w:rsidRDefault="002B14DE" w:rsidP="002B14DE">
            <w:pPr>
              <w:spacing w:after="0" w:line="240" w:lineRule="auto"/>
              <w:jc w:val="right"/>
              <w:rPr>
                <w:rFonts w:ascii="Calibri" w:eastAsia="Times New Roman" w:hAnsi="Calibri" w:cs="Times New Roman"/>
                <w:color w:val="000000"/>
                <w:sz w:val="18"/>
                <w:szCs w:val="18"/>
                <w:lang w:eastAsia="it-IT"/>
              </w:rPr>
            </w:pPr>
            <w:r w:rsidRPr="00156B1E">
              <w:rPr>
                <w:rFonts w:ascii="Calibri" w:eastAsia="Times New Roman" w:hAnsi="Calibri" w:cs="Times New Roman"/>
                <w:color w:val="000000"/>
                <w:sz w:val="18"/>
                <w:szCs w:val="18"/>
                <w:lang w:eastAsia="it-IT"/>
              </w:rPr>
              <w:t>1593</w:t>
            </w:r>
          </w:p>
        </w:tc>
        <w:tc>
          <w:tcPr>
            <w:tcW w:w="992" w:type="dxa"/>
            <w:tcBorders>
              <w:top w:val="nil"/>
              <w:left w:val="nil"/>
              <w:bottom w:val="single" w:sz="4" w:space="0" w:color="auto"/>
              <w:right w:val="nil"/>
            </w:tcBorders>
            <w:shd w:val="clear" w:color="auto" w:fill="auto"/>
            <w:vAlign w:val="bottom"/>
            <w:hideMark/>
          </w:tcPr>
          <w:p w:rsidR="002B14DE" w:rsidRPr="00156B1E" w:rsidRDefault="002B14DE" w:rsidP="002B14DE">
            <w:pPr>
              <w:spacing w:after="0" w:line="240" w:lineRule="auto"/>
              <w:jc w:val="right"/>
              <w:rPr>
                <w:rFonts w:ascii="Calibri" w:eastAsia="Times New Roman" w:hAnsi="Calibri" w:cs="Times New Roman"/>
                <w:color w:val="000000"/>
                <w:sz w:val="18"/>
                <w:szCs w:val="18"/>
                <w:lang w:eastAsia="it-IT"/>
              </w:rPr>
            </w:pPr>
            <w:r w:rsidRPr="00156B1E">
              <w:rPr>
                <w:rFonts w:ascii="Calibri" w:eastAsia="Times New Roman" w:hAnsi="Calibri" w:cs="Times New Roman"/>
                <w:color w:val="000000"/>
                <w:sz w:val="18"/>
                <w:szCs w:val="18"/>
                <w:lang w:eastAsia="it-IT"/>
              </w:rPr>
              <w:t>1669</w:t>
            </w:r>
          </w:p>
        </w:tc>
        <w:tc>
          <w:tcPr>
            <w:tcW w:w="992" w:type="dxa"/>
            <w:tcBorders>
              <w:top w:val="nil"/>
              <w:left w:val="nil"/>
              <w:bottom w:val="single" w:sz="4" w:space="0" w:color="auto"/>
              <w:right w:val="nil"/>
            </w:tcBorders>
            <w:shd w:val="clear" w:color="auto" w:fill="auto"/>
            <w:vAlign w:val="bottom"/>
            <w:hideMark/>
          </w:tcPr>
          <w:p w:rsidR="002B14DE" w:rsidRPr="00156B1E" w:rsidRDefault="002B14DE" w:rsidP="002B14DE">
            <w:pPr>
              <w:spacing w:after="0" w:line="240" w:lineRule="auto"/>
              <w:jc w:val="right"/>
              <w:rPr>
                <w:rFonts w:ascii="Calibri" w:eastAsia="Times New Roman" w:hAnsi="Calibri" w:cs="Times New Roman"/>
                <w:color w:val="000000"/>
                <w:sz w:val="18"/>
                <w:szCs w:val="18"/>
                <w:lang w:eastAsia="it-IT"/>
              </w:rPr>
            </w:pPr>
            <w:r w:rsidRPr="00156B1E">
              <w:rPr>
                <w:rFonts w:ascii="Calibri" w:eastAsia="Times New Roman" w:hAnsi="Calibri" w:cs="Times New Roman"/>
                <w:color w:val="000000"/>
                <w:sz w:val="18"/>
                <w:szCs w:val="18"/>
                <w:lang w:eastAsia="it-IT"/>
              </w:rPr>
              <w:t>95%</w:t>
            </w:r>
          </w:p>
        </w:tc>
      </w:tr>
      <w:tr w:rsidR="002B14DE" w:rsidRPr="00156B1E" w:rsidTr="002B14DE">
        <w:trPr>
          <w:trHeight w:val="300"/>
        </w:trPr>
        <w:tc>
          <w:tcPr>
            <w:tcW w:w="2410" w:type="dxa"/>
            <w:tcBorders>
              <w:top w:val="single" w:sz="4" w:space="0" w:color="auto"/>
              <w:left w:val="nil"/>
              <w:bottom w:val="single" w:sz="4" w:space="0" w:color="auto"/>
              <w:right w:val="nil"/>
            </w:tcBorders>
          </w:tcPr>
          <w:p w:rsidR="002B14DE" w:rsidRDefault="002B14DE" w:rsidP="002B14DE">
            <w:pPr>
              <w:rPr>
                <w:rFonts w:ascii="Calibri" w:hAnsi="Calibri"/>
                <w:color w:val="000000"/>
                <w:sz w:val="18"/>
                <w:szCs w:val="18"/>
              </w:rPr>
            </w:pPr>
            <w:r w:rsidRPr="008013CE">
              <w:rPr>
                <w:rFonts w:ascii="Calibri" w:eastAsia="Times New Roman" w:hAnsi="Calibri" w:cs="Times New Roman"/>
                <w:color w:val="000000"/>
                <w:lang w:eastAsia="it-IT"/>
              </w:rPr>
              <w:t>Totale complessivo</w:t>
            </w:r>
          </w:p>
        </w:tc>
        <w:tc>
          <w:tcPr>
            <w:tcW w:w="1276" w:type="dxa"/>
            <w:tcBorders>
              <w:top w:val="single" w:sz="4" w:space="0" w:color="auto"/>
              <w:left w:val="nil"/>
              <w:bottom w:val="single" w:sz="4" w:space="0" w:color="auto"/>
              <w:right w:val="nil"/>
            </w:tcBorders>
            <w:shd w:val="clear" w:color="auto" w:fill="auto"/>
            <w:vAlign w:val="bottom"/>
          </w:tcPr>
          <w:p w:rsidR="002B14DE" w:rsidRDefault="002B14DE" w:rsidP="002B14DE">
            <w:pPr>
              <w:jc w:val="right"/>
              <w:rPr>
                <w:rFonts w:ascii="Calibri" w:hAnsi="Calibri"/>
                <w:color w:val="000000"/>
                <w:sz w:val="18"/>
                <w:szCs w:val="18"/>
              </w:rPr>
            </w:pPr>
            <w:r>
              <w:rPr>
                <w:rFonts w:ascii="Calibri" w:hAnsi="Calibri"/>
                <w:color w:val="000000"/>
                <w:sz w:val="18"/>
                <w:szCs w:val="18"/>
              </w:rPr>
              <w:t>4</w:t>
            </w:r>
          </w:p>
        </w:tc>
        <w:tc>
          <w:tcPr>
            <w:tcW w:w="1134" w:type="dxa"/>
            <w:tcBorders>
              <w:top w:val="single" w:sz="4" w:space="0" w:color="auto"/>
              <w:left w:val="nil"/>
              <w:bottom w:val="single" w:sz="4" w:space="0" w:color="auto"/>
              <w:right w:val="nil"/>
            </w:tcBorders>
            <w:shd w:val="clear" w:color="auto" w:fill="auto"/>
            <w:vAlign w:val="bottom"/>
          </w:tcPr>
          <w:p w:rsidR="002B14DE" w:rsidRDefault="002B14DE" w:rsidP="002B14DE">
            <w:pPr>
              <w:jc w:val="right"/>
              <w:rPr>
                <w:rFonts w:ascii="Calibri" w:hAnsi="Calibri"/>
                <w:color w:val="000000"/>
                <w:sz w:val="18"/>
                <w:szCs w:val="18"/>
              </w:rPr>
            </w:pPr>
            <w:r>
              <w:rPr>
                <w:rFonts w:ascii="Calibri" w:hAnsi="Calibri"/>
                <w:color w:val="000000"/>
                <w:sz w:val="18"/>
                <w:szCs w:val="18"/>
              </w:rPr>
              <w:t>106</w:t>
            </w:r>
          </w:p>
        </w:tc>
        <w:tc>
          <w:tcPr>
            <w:tcW w:w="1134" w:type="dxa"/>
            <w:tcBorders>
              <w:top w:val="single" w:sz="4" w:space="0" w:color="auto"/>
              <w:left w:val="nil"/>
              <w:bottom w:val="single" w:sz="4" w:space="0" w:color="auto"/>
              <w:right w:val="nil"/>
            </w:tcBorders>
            <w:shd w:val="clear" w:color="auto" w:fill="auto"/>
            <w:vAlign w:val="bottom"/>
          </w:tcPr>
          <w:p w:rsidR="002B14DE" w:rsidRDefault="002B14DE" w:rsidP="002B14DE">
            <w:pPr>
              <w:jc w:val="right"/>
              <w:rPr>
                <w:rFonts w:ascii="Calibri" w:hAnsi="Calibri"/>
                <w:color w:val="000000"/>
                <w:sz w:val="18"/>
                <w:szCs w:val="18"/>
              </w:rPr>
            </w:pPr>
            <w:r>
              <w:rPr>
                <w:rFonts w:ascii="Calibri" w:hAnsi="Calibri"/>
                <w:color w:val="000000"/>
                <w:sz w:val="18"/>
                <w:szCs w:val="18"/>
              </w:rPr>
              <w:t>1918</w:t>
            </w:r>
          </w:p>
        </w:tc>
        <w:tc>
          <w:tcPr>
            <w:tcW w:w="992" w:type="dxa"/>
            <w:tcBorders>
              <w:top w:val="single" w:sz="4" w:space="0" w:color="auto"/>
              <w:left w:val="nil"/>
              <w:bottom w:val="single" w:sz="4" w:space="0" w:color="auto"/>
              <w:right w:val="nil"/>
            </w:tcBorders>
            <w:shd w:val="clear" w:color="auto" w:fill="auto"/>
            <w:vAlign w:val="bottom"/>
          </w:tcPr>
          <w:p w:rsidR="002B14DE" w:rsidRDefault="002B14DE" w:rsidP="002B14DE">
            <w:pPr>
              <w:jc w:val="right"/>
              <w:rPr>
                <w:rFonts w:ascii="Calibri" w:hAnsi="Calibri"/>
                <w:color w:val="000000"/>
                <w:sz w:val="18"/>
                <w:szCs w:val="18"/>
              </w:rPr>
            </w:pPr>
            <w:r>
              <w:rPr>
                <w:rFonts w:ascii="Calibri" w:hAnsi="Calibri"/>
                <w:color w:val="000000"/>
                <w:sz w:val="18"/>
                <w:szCs w:val="18"/>
              </w:rPr>
              <w:t>2028</w:t>
            </w:r>
          </w:p>
        </w:tc>
        <w:tc>
          <w:tcPr>
            <w:tcW w:w="992" w:type="dxa"/>
            <w:tcBorders>
              <w:top w:val="single" w:sz="4" w:space="0" w:color="auto"/>
              <w:left w:val="nil"/>
              <w:bottom w:val="single" w:sz="4" w:space="0" w:color="auto"/>
              <w:right w:val="nil"/>
            </w:tcBorders>
            <w:shd w:val="clear" w:color="auto" w:fill="auto"/>
            <w:vAlign w:val="bottom"/>
          </w:tcPr>
          <w:p w:rsidR="002B14DE" w:rsidRDefault="002B14DE" w:rsidP="002B14DE">
            <w:pPr>
              <w:jc w:val="right"/>
              <w:rPr>
                <w:rFonts w:ascii="Calibri" w:hAnsi="Calibri"/>
                <w:color w:val="000000"/>
                <w:sz w:val="18"/>
                <w:szCs w:val="18"/>
              </w:rPr>
            </w:pPr>
            <w:r>
              <w:rPr>
                <w:rFonts w:ascii="Calibri" w:hAnsi="Calibri"/>
                <w:color w:val="000000"/>
                <w:sz w:val="18"/>
                <w:szCs w:val="18"/>
              </w:rPr>
              <w:t>95%</w:t>
            </w:r>
          </w:p>
        </w:tc>
      </w:tr>
    </w:tbl>
    <w:p w:rsidR="002B14DE" w:rsidRDefault="002B14DE" w:rsidP="002B14DE">
      <w:pPr>
        <w:rPr>
          <w:sz w:val="24"/>
          <w:szCs w:val="24"/>
        </w:rPr>
      </w:pPr>
    </w:p>
    <w:p w:rsidR="002B14DE" w:rsidRDefault="002B14DE" w:rsidP="002B14DE">
      <w:pPr>
        <w:jc w:val="both"/>
        <w:rPr>
          <w:sz w:val="24"/>
          <w:szCs w:val="24"/>
        </w:rPr>
      </w:pPr>
      <w:r>
        <w:rPr>
          <w:sz w:val="24"/>
          <w:szCs w:val="24"/>
        </w:rPr>
        <w:t>Un dato interessante è relativo alla provenienza della forza lavoro: per il 70% si tratta di persone nate nella provincia di Arezzo, per il 3% di nati nelle altre province toscane (e spesso ivi residenti), per circa il 9% di nati in altre regioni italiane (circa due terzi provenienti dalle regioni meridionali, soprattutto dalla Campania). Il 16% degli addetti è nato all’estero (dato che comprende qualche cittadino italiano nato all’estero figlio di emigrati italiani, ma soprattutto cittadini stranieri). Vi sono però significative differenze fra comparti, soprattutto riguardo la presenza di nati all’estero, che aumentano fino al 32% del totale nei trattamenti superficiali del metallo prezioso, e diminuiscono sino al 6% nella produzione di macchine e stampi (come in altri casi settoriali/territoriali la produzione di macchine specializzate è un settore molto più “autoctono” della media dei settori manifatturieri). La presenza di immigrati da altre regioni è maggiore (circa il 15%) nel settore della bigiotteria e altro.</w:t>
      </w:r>
    </w:p>
    <w:p w:rsidR="002B14DE" w:rsidRDefault="002B14DE" w:rsidP="002B14DE">
      <w:pPr>
        <w:rPr>
          <w:sz w:val="24"/>
          <w:szCs w:val="24"/>
        </w:rPr>
      </w:pPr>
    </w:p>
    <w:p w:rsidR="002B14DE" w:rsidRPr="0047441D" w:rsidRDefault="00CD214C" w:rsidP="002B14DE">
      <w:pPr>
        <w:rPr>
          <w:i/>
          <w:sz w:val="24"/>
          <w:szCs w:val="24"/>
        </w:rPr>
      </w:pPr>
      <w:proofErr w:type="spellStart"/>
      <w:r>
        <w:rPr>
          <w:i/>
          <w:sz w:val="24"/>
          <w:szCs w:val="24"/>
        </w:rPr>
        <w:t>Tab</w:t>
      </w:r>
      <w:proofErr w:type="spellEnd"/>
      <w:r>
        <w:rPr>
          <w:i/>
          <w:sz w:val="24"/>
          <w:szCs w:val="24"/>
        </w:rPr>
        <w:t xml:space="preserve">. 2.3 </w:t>
      </w:r>
      <w:r w:rsidR="002B14DE" w:rsidRPr="0047441D">
        <w:rPr>
          <w:i/>
          <w:sz w:val="24"/>
          <w:szCs w:val="24"/>
        </w:rPr>
        <w:t>Dipendenti per luogo di nascita (% su totale)</w:t>
      </w:r>
    </w:p>
    <w:tbl>
      <w:tblPr>
        <w:tblW w:w="9781" w:type="dxa"/>
        <w:tblCellMar>
          <w:left w:w="70" w:type="dxa"/>
          <w:right w:w="70" w:type="dxa"/>
        </w:tblCellMar>
        <w:tblLook w:val="04A0" w:firstRow="1" w:lastRow="0" w:firstColumn="1" w:lastColumn="0" w:noHBand="0" w:noVBand="1"/>
      </w:tblPr>
      <w:tblGrid>
        <w:gridCol w:w="2636"/>
        <w:gridCol w:w="831"/>
        <w:gridCol w:w="970"/>
        <w:gridCol w:w="832"/>
        <w:gridCol w:w="1031"/>
        <w:gridCol w:w="655"/>
        <w:gridCol w:w="591"/>
        <w:gridCol w:w="1217"/>
        <w:gridCol w:w="1018"/>
      </w:tblGrid>
      <w:tr w:rsidR="002B14DE" w:rsidRPr="008013CE" w:rsidTr="002B14DE">
        <w:trPr>
          <w:trHeight w:val="266"/>
        </w:trPr>
        <w:tc>
          <w:tcPr>
            <w:tcW w:w="2636" w:type="dxa"/>
            <w:tcBorders>
              <w:top w:val="single" w:sz="4" w:space="0" w:color="auto"/>
              <w:left w:val="nil"/>
              <w:bottom w:val="single" w:sz="4" w:space="0" w:color="auto"/>
              <w:right w:val="nil"/>
            </w:tcBorders>
            <w:shd w:val="clear" w:color="000000" w:fill="FFFFFF"/>
            <w:noWrap/>
            <w:vAlign w:val="bottom"/>
            <w:hideMark/>
          </w:tcPr>
          <w:p w:rsidR="002B14DE" w:rsidRPr="008013CE" w:rsidRDefault="002B14DE" w:rsidP="002B14DE">
            <w:pPr>
              <w:spacing w:after="0" w:line="240" w:lineRule="auto"/>
              <w:rPr>
                <w:rFonts w:ascii="Calibri" w:eastAsia="Times New Roman" w:hAnsi="Calibri" w:cs="Times New Roman"/>
                <w:color w:val="000000"/>
                <w:lang w:eastAsia="it-IT"/>
              </w:rPr>
            </w:pPr>
            <w:r w:rsidRPr="008013CE">
              <w:rPr>
                <w:rFonts w:ascii="Calibri" w:eastAsia="Times New Roman" w:hAnsi="Calibri" w:cs="Times New Roman"/>
                <w:color w:val="000000"/>
                <w:lang w:eastAsia="it-IT"/>
              </w:rPr>
              <w:t> </w:t>
            </w:r>
          </w:p>
        </w:tc>
        <w:tc>
          <w:tcPr>
            <w:tcW w:w="831" w:type="dxa"/>
            <w:tcBorders>
              <w:top w:val="single" w:sz="4" w:space="0" w:color="auto"/>
              <w:left w:val="nil"/>
              <w:bottom w:val="single" w:sz="4" w:space="0" w:color="auto"/>
              <w:right w:val="nil"/>
            </w:tcBorders>
            <w:shd w:val="clear" w:color="000000" w:fill="FFFFFF"/>
            <w:noWrap/>
            <w:vAlign w:val="bottom"/>
            <w:hideMark/>
          </w:tcPr>
          <w:p w:rsidR="002B14DE" w:rsidRPr="008013CE" w:rsidRDefault="002B14DE" w:rsidP="002B14DE">
            <w:pPr>
              <w:spacing w:after="0" w:line="240" w:lineRule="auto"/>
              <w:rPr>
                <w:rFonts w:ascii="Calibri" w:eastAsia="Times New Roman" w:hAnsi="Calibri" w:cs="Times New Roman"/>
                <w:color w:val="000000"/>
                <w:lang w:eastAsia="it-IT"/>
              </w:rPr>
            </w:pPr>
            <w:r w:rsidRPr="008013CE">
              <w:rPr>
                <w:rFonts w:ascii="Calibri" w:eastAsia="Times New Roman" w:hAnsi="Calibri" w:cs="Times New Roman"/>
                <w:color w:val="000000"/>
                <w:lang w:eastAsia="it-IT"/>
              </w:rPr>
              <w:t>AR</w:t>
            </w:r>
          </w:p>
        </w:tc>
        <w:tc>
          <w:tcPr>
            <w:tcW w:w="970" w:type="dxa"/>
            <w:tcBorders>
              <w:top w:val="single" w:sz="4" w:space="0" w:color="auto"/>
              <w:left w:val="nil"/>
              <w:bottom w:val="single" w:sz="4" w:space="0" w:color="auto"/>
              <w:right w:val="nil"/>
            </w:tcBorders>
            <w:shd w:val="clear" w:color="000000" w:fill="FFFFFF"/>
            <w:noWrap/>
            <w:vAlign w:val="bottom"/>
            <w:hideMark/>
          </w:tcPr>
          <w:p w:rsidR="002B14DE" w:rsidRPr="008013CE" w:rsidRDefault="002B14DE" w:rsidP="002B14DE">
            <w:pPr>
              <w:spacing w:after="0" w:line="240" w:lineRule="auto"/>
              <w:rPr>
                <w:rFonts w:ascii="Calibri" w:eastAsia="Times New Roman" w:hAnsi="Calibri" w:cs="Times New Roman"/>
                <w:color w:val="000000"/>
                <w:lang w:eastAsia="it-IT"/>
              </w:rPr>
            </w:pPr>
            <w:r w:rsidRPr="008013CE">
              <w:rPr>
                <w:rFonts w:ascii="Calibri" w:eastAsia="Times New Roman" w:hAnsi="Calibri" w:cs="Times New Roman"/>
                <w:color w:val="000000"/>
                <w:lang w:eastAsia="it-IT"/>
              </w:rPr>
              <w:t>Toscana</w:t>
            </w:r>
          </w:p>
        </w:tc>
        <w:tc>
          <w:tcPr>
            <w:tcW w:w="832" w:type="dxa"/>
            <w:tcBorders>
              <w:top w:val="single" w:sz="4" w:space="0" w:color="auto"/>
              <w:left w:val="nil"/>
              <w:bottom w:val="single" w:sz="4" w:space="0" w:color="auto"/>
              <w:right w:val="nil"/>
            </w:tcBorders>
            <w:shd w:val="clear" w:color="000000" w:fill="FFFFFF"/>
            <w:noWrap/>
            <w:vAlign w:val="bottom"/>
            <w:hideMark/>
          </w:tcPr>
          <w:p w:rsidR="002B14DE" w:rsidRPr="008013CE" w:rsidRDefault="002B14DE" w:rsidP="002B14DE">
            <w:pPr>
              <w:spacing w:after="0" w:line="240" w:lineRule="auto"/>
              <w:rPr>
                <w:rFonts w:ascii="Calibri" w:eastAsia="Times New Roman" w:hAnsi="Calibri" w:cs="Times New Roman"/>
                <w:color w:val="000000"/>
                <w:lang w:eastAsia="it-IT"/>
              </w:rPr>
            </w:pPr>
            <w:r w:rsidRPr="008013CE">
              <w:rPr>
                <w:rFonts w:ascii="Calibri" w:eastAsia="Times New Roman" w:hAnsi="Calibri" w:cs="Times New Roman"/>
                <w:color w:val="000000"/>
                <w:lang w:eastAsia="it-IT"/>
              </w:rPr>
              <w:t>Centro</w:t>
            </w:r>
          </w:p>
        </w:tc>
        <w:tc>
          <w:tcPr>
            <w:tcW w:w="1031" w:type="dxa"/>
            <w:tcBorders>
              <w:top w:val="single" w:sz="4" w:space="0" w:color="auto"/>
              <w:left w:val="nil"/>
              <w:bottom w:val="single" w:sz="4" w:space="0" w:color="auto"/>
              <w:right w:val="nil"/>
            </w:tcBorders>
            <w:shd w:val="clear" w:color="000000" w:fill="FFFFFF"/>
            <w:noWrap/>
            <w:vAlign w:val="bottom"/>
            <w:hideMark/>
          </w:tcPr>
          <w:p w:rsidR="002B14DE" w:rsidRPr="008013CE" w:rsidRDefault="002B14DE" w:rsidP="002B14DE">
            <w:pPr>
              <w:spacing w:after="0" w:line="240" w:lineRule="auto"/>
              <w:rPr>
                <w:rFonts w:ascii="Calibri" w:eastAsia="Times New Roman" w:hAnsi="Calibri" w:cs="Times New Roman"/>
                <w:color w:val="000000"/>
                <w:lang w:eastAsia="it-IT"/>
              </w:rPr>
            </w:pPr>
            <w:r w:rsidRPr="008013CE">
              <w:rPr>
                <w:rFonts w:ascii="Calibri" w:eastAsia="Times New Roman" w:hAnsi="Calibri" w:cs="Times New Roman"/>
                <w:color w:val="000000"/>
                <w:lang w:eastAsia="it-IT"/>
              </w:rPr>
              <w:t>Campania</w:t>
            </w:r>
          </w:p>
        </w:tc>
        <w:tc>
          <w:tcPr>
            <w:tcW w:w="655" w:type="dxa"/>
            <w:tcBorders>
              <w:top w:val="single" w:sz="4" w:space="0" w:color="auto"/>
              <w:left w:val="nil"/>
              <w:bottom w:val="single" w:sz="4" w:space="0" w:color="auto"/>
              <w:right w:val="nil"/>
            </w:tcBorders>
            <w:shd w:val="clear" w:color="000000" w:fill="FFFFFF"/>
            <w:noWrap/>
            <w:vAlign w:val="bottom"/>
            <w:hideMark/>
          </w:tcPr>
          <w:p w:rsidR="002B14DE" w:rsidRPr="008013CE" w:rsidRDefault="002B14DE" w:rsidP="002B14DE">
            <w:pPr>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 xml:space="preserve">Altro </w:t>
            </w:r>
            <w:r w:rsidRPr="008013CE">
              <w:rPr>
                <w:rFonts w:ascii="Calibri" w:eastAsia="Times New Roman" w:hAnsi="Calibri" w:cs="Times New Roman"/>
                <w:color w:val="000000"/>
                <w:lang w:eastAsia="it-IT"/>
              </w:rPr>
              <w:t>Sud</w:t>
            </w:r>
          </w:p>
        </w:tc>
        <w:tc>
          <w:tcPr>
            <w:tcW w:w="591" w:type="dxa"/>
            <w:tcBorders>
              <w:top w:val="single" w:sz="4" w:space="0" w:color="auto"/>
              <w:left w:val="nil"/>
              <w:bottom w:val="single" w:sz="4" w:space="0" w:color="auto"/>
              <w:right w:val="nil"/>
            </w:tcBorders>
            <w:shd w:val="clear" w:color="000000" w:fill="FFFFFF"/>
            <w:noWrap/>
            <w:vAlign w:val="bottom"/>
            <w:hideMark/>
          </w:tcPr>
          <w:p w:rsidR="002B14DE" w:rsidRPr="008013CE" w:rsidRDefault="002B14DE" w:rsidP="002B14DE">
            <w:pPr>
              <w:spacing w:after="0" w:line="240" w:lineRule="auto"/>
              <w:rPr>
                <w:rFonts w:ascii="Calibri" w:eastAsia="Times New Roman" w:hAnsi="Calibri" w:cs="Times New Roman"/>
                <w:color w:val="000000"/>
                <w:lang w:eastAsia="it-IT"/>
              </w:rPr>
            </w:pPr>
            <w:r w:rsidRPr="008013CE">
              <w:rPr>
                <w:rFonts w:ascii="Calibri" w:eastAsia="Times New Roman" w:hAnsi="Calibri" w:cs="Times New Roman"/>
                <w:color w:val="000000"/>
                <w:lang w:eastAsia="it-IT"/>
              </w:rPr>
              <w:t>Nord</w:t>
            </w:r>
          </w:p>
        </w:tc>
        <w:tc>
          <w:tcPr>
            <w:tcW w:w="1217" w:type="dxa"/>
            <w:tcBorders>
              <w:top w:val="single" w:sz="4" w:space="0" w:color="auto"/>
              <w:left w:val="nil"/>
              <w:bottom w:val="single" w:sz="4" w:space="0" w:color="auto"/>
              <w:right w:val="nil"/>
            </w:tcBorders>
            <w:shd w:val="clear" w:color="000000" w:fill="FFFFFF"/>
            <w:noWrap/>
            <w:vAlign w:val="bottom"/>
            <w:hideMark/>
          </w:tcPr>
          <w:p w:rsidR="002B14DE" w:rsidRPr="008013CE" w:rsidRDefault="002B14DE" w:rsidP="002B14DE">
            <w:pPr>
              <w:spacing w:after="0" w:line="240" w:lineRule="auto"/>
              <w:rPr>
                <w:rFonts w:ascii="Calibri" w:eastAsia="Times New Roman" w:hAnsi="Calibri" w:cs="Times New Roman"/>
                <w:color w:val="000000"/>
                <w:lang w:eastAsia="it-IT"/>
              </w:rPr>
            </w:pPr>
            <w:r w:rsidRPr="008013CE">
              <w:rPr>
                <w:rFonts w:ascii="Calibri" w:eastAsia="Times New Roman" w:hAnsi="Calibri" w:cs="Times New Roman"/>
                <w:color w:val="000000"/>
                <w:lang w:eastAsia="it-IT"/>
              </w:rPr>
              <w:t>Sconosciuto</w:t>
            </w:r>
          </w:p>
        </w:tc>
        <w:tc>
          <w:tcPr>
            <w:tcW w:w="1018" w:type="dxa"/>
            <w:tcBorders>
              <w:top w:val="single" w:sz="4" w:space="0" w:color="auto"/>
              <w:left w:val="nil"/>
              <w:bottom w:val="single" w:sz="4" w:space="0" w:color="auto"/>
              <w:right w:val="nil"/>
            </w:tcBorders>
            <w:shd w:val="clear" w:color="000000" w:fill="FFFFFF"/>
            <w:noWrap/>
            <w:vAlign w:val="bottom"/>
            <w:hideMark/>
          </w:tcPr>
          <w:p w:rsidR="002B14DE" w:rsidRPr="008013CE" w:rsidRDefault="002B14DE" w:rsidP="002B14DE">
            <w:pPr>
              <w:spacing w:after="0" w:line="240" w:lineRule="auto"/>
              <w:rPr>
                <w:rFonts w:ascii="Calibri" w:eastAsia="Times New Roman" w:hAnsi="Calibri" w:cs="Times New Roman"/>
                <w:color w:val="000000"/>
                <w:lang w:eastAsia="it-IT"/>
              </w:rPr>
            </w:pPr>
            <w:r w:rsidRPr="008013CE">
              <w:rPr>
                <w:rFonts w:ascii="Calibri" w:eastAsia="Times New Roman" w:hAnsi="Calibri" w:cs="Times New Roman"/>
                <w:color w:val="000000"/>
                <w:lang w:eastAsia="it-IT"/>
              </w:rPr>
              <w:t>Estero</w:t>
            </w:r>
          </w:p>
        </w:tc>
      </w:tr>
      <w:tr w:rsidR="002B14DE" w:rsidRPr="008013CE" w:rsidTr="002B14DE">
        <w:trPr>
          <w:trHeight w:val="266"/>
        </w:trPr>
        <w:tc>
          <w:tcPr>
            <w:tcW w:w="2636" w:type="dxa"/>
            <w:tcBorders>
              <w:top w:val="single" w:sz="4" w:space="0" w:color="auto"/>
              <w:left w:val="nil"/>
              <w:bottom w:val="nil"/>
              <w:right w:val="nil"/>
            </w:tcBorders>
            <w:shd w:val="clear" w:color="000000" w:fill="FFFFFF"/>
            <w:noWrap/>
            <w:vAlign w:val="bottom"/>
            <w:hideMark/>
          </w:tcPr>
          <w:p w:rsidR="002B14DE" w:rsidRPr="008013CE" w:rsidRDefault="002B14DE" w:rsidP="002B14DE">
            <w:pPr>
              <w:spacing w:after="0" w:line="240" w:lineRule="auto"/>
              <w:rPr>
                <w:rFonts w:ascii="Calibri" w:eastAsia="Times New Roman" w:hAnsi="Calibri" w:cs="Times New Roman"/>
                <w:color w:val="000000"/>
                <w:lang w:eastAsia="it-IT"/>
              </w:rPr>
            </w:pPr>
            <w:r w:rsidRPr="008013CE">
              <w:rPr>
                <w:rFonts w:ascii="Calibri" w:eastAsia="Times New Roman" w:hAnsi="Calibri" w:cs="Times New Roman"/>
                <w:color w:val="000000"/>
                <w:lang w:eastAsia="it-IT"/>
              </w:rPr>
              <w:t>1. produzione e trattamento metalli</w:t>
            </w:r>
          </w:p>
        </w:tc>
        <w:tc>
          <w:tcPr>
            <w:tcW w:w="831" w:type="dxa"/>
            <w:tcBorders>
              <w:top w:val="single" w:sz="4" w:space="0" w:color="auto"/>
              <w:left w:val="nil"/>
              <w:bottom w:val="nil"/>
              <w:right w:val="nil"/>
            </w:tcBorders>
            <w:shd w:val="clear" w:color="000000" w:fill="FFFFFF"/>
            <w:noWrap/>
            <w:vAlign w:val="bottom"/>
            <w:hideMark/>
          </w:tcPr>
          <w:p w:rsidR="002B14DE" w:rsidRPr="008013CE" w:rsidRDefault="002B14DE" w:rsidP="002B14DE">
            <w:pPr>
              <w:spacing w:after="0" w:line="240" w:lineRule="auto"/>
              <w:jc w:val="right"/>
              <w:rPr>
                <w:rFonts w:ascii="Calibri" w:eastAsia="Times New Roman" w:hAnsi="Calibri" w:cs="Times New Roman"/>
                <w:color w:val="000000"/>
                <w:lang w:eastAsia="it-IT"/>
              </w:rPr>
            </w:pPr>
            <w:r w:rsidRPr="008013CE">
              <w:rPr>
                <w:rFonts w:ascii="Calibri" w:eastAsia="Times New Roman" w:hAnsi="Calibri" w:cs="Times New Roman"/>
                <w:color w:val="000000"/>
                <w:lang w:eastAsia="it-IT"/>
              </w:rPr>
              <w:t>52%</w:t>
            </w:r>
          </w:p>
        </w:tc>
        <w:tc>
          <w:tcPr>
            <w:tcW w:w="970" w:type="dxa"/>
            <w:tcBorders>
              <w:top w:val="single" w:sz="4" w:space="0" w:color="auto"/>
              <w:left w:val="nil"/>
              <w:bottom w:val="nil"/>
              <w:right w:val="nil"/>
            </w:tcBorders>
            <w:shd w:val="clear" w:color="000000" w:fill="FFFFFF"/>
            <w:noWrap/>
            <w:vAlign w:val="bottom"/>
            <w:hideMark/>
          </w:tcPr>
          <w:p w:rsidR="002B14DE" w:rsidRPr="008013CE" w:rsidRDefault="002B14DE" w:rsidP="002B14DE">
            <w:pPr>
              <w:spacing w:after="0" w:line="240" w:lineRule="auto"/>
              <w:jc w:val="right"/>
              <w:rPr>
                <w:rFonts w:ascii="Calibri" w:eastAsia="Times New Roman" w:hAnsi="Calibri" w:cs="Times New Roman"/>
                <w:color w:val="000000"/>
                <w:lang w:eastAsia="it-IT"/>
              </w:rPr>
            </w:pPr>
            <w:r w:rsidRPr="008013CE">
              <w:rPr>
                <w:rFonts w:ascii="Calibri" w:eastAsia="Times New Roman" w:hAnsi="Calibri" w:cs="Times New Roman"/>
                <w:color w:val="000000"/>
                <w:lang w:eastAsia="it-IT"/>
              </w:rPr>
              <w:t>3%</w:t>
            </w:r>
          </w:p>
        </w:tc>
        <w:tc>
          <w:tcPr>
            <w:tcW w:w="832" w:type="dxa"/>
            <w:tcBorders>
              <w:top w:val="single" w:sz="4" w:space="0" w:color="auto"/>
              <w:left w:val="nil"/>
              <w:bottom w:val="nil"/>
              <w:right w:val="nil"/>
            </w:tcBorders>
            <w:shd w:val="clear" w:color="000000" w:fill="FFFFFF"/>
            <w:noWrap/>
            <w:vAlign w:val="bottom"/>
            <w:hideMark/>
          </w:tcPr>
          <w:p w:rsidR="002B14DE" w:rsidRPr="008013CE" w:rsidRDefault="002B14DE" w:rsidP="002B14DE">
            <w:pPr>
              <w:spacing w:after="0" w:line="240" w:lineRule="auto"/>
              <w:jc w:val="right"/>
              <w:rPr>
                <w:rFonts w:ascii="Calibri" w:eastAsia="Times New Roman" w:hAnsi="Calibri" w:cs="Times New Roman"/>
                <w:color w:val="000000"/>
                <w:lang w:eastAsia="it-IT"/>
              </w:rPr>
            </w:pPr>
            <w:r w:rsidRPr="008013CE">
              <w:rPr>
                <w:rFonts w:ascii="Calibri" w:eastAsia="Times New Roman" w:hAnsi="Calibri" w:cs="Times New Roman"/>
                <w:color w:val="000000"/>
                <w:lang w:eastAsia="it-IT"/>
              </w:rPr>
              <w:t>3%</w:t>
            </w:r>
          </w:p>
        </w:tc>
        <w:tc>
          <w:tcPr>
            <w:tcW w:w="1031" w:type="dxa"/>
            <w:tcBorders>
              <w:top w:val="single" w:sz="4" w:space="0" w:color="auto"/>
              <w:left w:val="nil"/>
              <w:bottom w:val="nil"/>
              <w:right w:val="nil"/>
            </w:tcBorders>
            <w:shd w:val="clear" w:color="000000" w:fill="FFFFFF"/>
            <w:noWrap/>
            <w:vAlign w:val="bottom"/>
            <w:hideMark/>
          </w:tcPr>
          <w:p w:rsidR="002B14DE" w:rsidRPr="008013CE" w:rsidRDefault="002B14DE" w:rsidP="002B14DE">
            <w:pPr>
              <w:spacing w:after="0" w:line="240" w:lineRule="auto"/>
              <w:jc w:val="right"/>
              <w:rPr>
                <w:rFonts w:ascii="Calibri" w:eastAsia="Times New Roman" w:hAnsi="Calibri" w:cs="Times New Roman"/>
                <w:color w:val="000000"/>
                <w:lang w:eastAsia="it-IT"/>
              </w:rPr>
            </w:pPr>
            <w:r w:rsidRPr="008013CE">
              <w:rPr>
                <w:rFonts w:ascii="Calibri" w:eastAsia="Times New Roman" w:hAnsi="Calibri" w:cs="Times New Roman"/>
                <w:color w:val="000000"/>
                <w:lang w:eastAsia="it-IT"/>
              </w:rPr>
              <w:t>4%</w:t>
            </w:r>
          </w:p>
        </w:tc>
        <w:tc>
          <w:tcPr>
            <w:tcW w:w="655" w:type="dxa"/>
            <w:tcBorders>
              <w:top w:val="single" w:sz="4" w:space="0" w:color="auto"/>
              <w:left w:val="nil"/>
              <w:bottom w:val="nil"/>
              <w:right w:val="nil"/>
            </w:tcBorders>
            <w:shd w:val="clear" w:color="000000" w:fill="FFFFFF"/>
            <w:noWrap/>
            <w:vAlign w:val="bottom"/>
            <w:hideMark/>
          </w:tcPr>
          <w:p w:rsidR="002B14DE" w:rsidRPr="008013CE" w:rsidRDefault="002B14DE" w:rsidP="002B14DE">
            <w:pPr>
              <w:spacing w:after="0" w:line="240" w:lineRule="auto"/>
              <w:jc w:val="right"/>
              <w:rPr>
                <w:rFonts w:ascii="Calibri" w:eastAsia="Times New Roman" w:hAnsi="Calibri" w:cs="Times New Roman"/>
                <w:color w:val="000000"/>
                <w:lang w:eastAsia="it-IT"/>
              </w:rPr>
            </w:pPr>
            <w:r w:rsidRPr="008013CE">
              <w:rPr>
                <w:rFonts w:ascii="Calibri" w:eastAsia="Times New Roman" w:hAnsi="Calibri" w:cs="Times New Roman"/>
                <w:color w:val="000000"/>
                <w:lang w:eastAsia="it-IT"/>
              </w:rPr>
              <w:t>2%</w:t>
            </w:r>
          </w:p>
        </w:tc>
        <w:tc>
          <w:tcPr>
            <w:tcW w:w="591" w:type="dxa"/>
            <w:tcBorders>
              <w:top w:val="single" w:sz="4" w:space="0" w:color="auto"/>
              <w:left w:val="nil"/>
              <w:bottom w:val="nil"/>
              <w:right w:val="nil"/>
            </w:tcBorders>
            <w:shd w:val="clear" w:color="000000" w:fill="FFFFFF"/>
            <w:noWrap/>
            <w:vAlign w:val="bottom"/>
            <w:hideMark/>
          </w:tcPr>
          <w:p w:rsidR="002B14DE" w:rsidRPr="008013CE" w:rsidRDefault="002B14DE" w:rsidP="002B14DE">
            <w:pPr>
              <w:spacing w:after="0" w:line="240" w:lineRule="auto"/>
              <w:jc w:val="right"/>
              <w:rPr>
                <w:rFonts w:ascii="Calibri" w:eastAsia="Times New Roman" w:hAnsi="Calibri" w:cs="Times New Roman"/>
                <w:color w:val="000000"/>
                <w:lang w:eastAsia="it-IT"/>
              </w:rPr>
            </w:pPr>
            <w:r w:rsidRPr="008013CE">
              <w:rPr>
                <w:rFonts w:ascii="Calibri" w:eastAsia="Times New Roman" w:hAnsi="Calibri" w:cs="Times New Roman"/>
                <w:color w:val="000000"/>
                <w:lang w:eastAsia="it-IT"/>
              </w:rPr>
              <w:t>3%</w:t>
            </w:r>
          </w:p>
        </w:tc>
        <w:tc>
          <w:tcPr>
            <w:tcW w:w="1217" w:type="dxa"/>
            <w:tcBorders>
              <w:top w:val="single" w:sz="4" w:space="0" w:color="auto"/>
              <w:left w:val="nil"/>
              <w:bottom w:val="nil"/>
              <w:right w:val="nil"/>
            </w:tcBorders>
            <w:shd w:val="clear" w:color="000000" w:fill="FFFFFF"/>
            <w:noWrap/>
            <w:vAlign w:val="bottom"/>
            <w:hideMark/>
          </w:tcPr>
          <w:p w:rsidR="002B14DE" w:rsidRPr="008013CE" w:rsidRDefault="002B14DE" w:rsidP="002B14DE">
            <w:pPr>
              <w:spacing w:after="0" w:line="240" w:lineRule="auto"/>
              <w:jc w:val="right"/>
              <w:rPr>
                <w:rFonts w:ascii="Calibri" w:eastAsia="Times New Roman" w:hAnsi="Calibri" w:cs="Times New Roman"/>
                <w:color w:val="000000"/>
                <w:lang w:eastAsia="it-IT"/>
              </w:rPr>
            </w:pPr>
            <w:r w:rsidRPr="008013CE">
              <w:rPr>
                <w:rFonts w:ascii="Calibri" w:eastAsia="Times New Roman" w:hAnsi="Calibri" w:cs="Times New Roman"/>
                <w:color w:val="000000"/>
                <w:lang w:eastAsia="it-IT"/>
              </w:rPr>
              <w:t>2%</w:t>
            </w:r>
          </w:p>
        </w:tc>
        <w:tc>
          <w:tcPr>
            <w:tcW w:w="1018" w:type="dxa"/>
            <w:tcBorders>
              <w:top w:val="single" w:sz="4" w:space="0" w:color="auto"/>
              <w:left w:val="nil"/>
              <w:bottom w:val="nil"/>
              <w:right w:val="nil"/>
            </w:tcBorders>
            <w:shd w:val="clear" w:color="000000" w:fill="FFFFFF"/>
            <w:noWrap/>
            <w:vAlign w:val="bottom"/>
            <w:hideMark/>
          </w:tcPr>
          <w:p w:rsidR="002B14DE" w:rsidRPr="008013CE" w:rsidRDefault="002B14DE" w:rsidP="002B14DE">
            <w:pPr>
              <w:spacing w:after="0" w:line="240" w:lineRule="auto"/>
              <w:jc w:val="right"/>
              <w:rPr>
                <w:rFonts w:ascii="Calibri" w:eastAsia="Times New Roman" w:hAnsi="Calibri" w:cs="Times New Roman"/>
                <w:color w:val="000000"/>
                <w:lang w:eastAsia="it-IT"/>
              </w:rPr>
            </w:pPr>
            <w:r w:rsidRPr="008013CE">
              <w:rPr>
                <w:rFonts w:ascii="Calibri" w:eastAsia="Times New Roman" w:hAnsi="Calibri" w:cs="Times New Roman"/>
                <w:color w:val="000000"/>
                <w:lang w:eastAsia="it-IT"/>
              </w:rPr>
              <w:t>32%</w:t>
            </w:r>
          </w:p>
        </w:tc>
      </w:tr>
      <w:tr w:rsidR="002B14DE" w:rsidRPr="008013CE" w:rsidTr="002B14DE">
        <w:trPr>
          <w:trHeight w:val="266"/>
        </w:trPr>
        <w:tc>
          <w:tcPr>
            <w:tcW w:w="2636" w:type="dxa"/>
            <w:tcBorders>
              <w:top w:val="nil"/>
              <w:left w:val="nil"/>
              <w:bottom w:val="nil"/>
              <w:right w:val="nil"/>
            </w:tcBorders>
            <w:shd w:val="clear" w:color="000000" w:fill="FFFFFF"/>
            <w:noWrap/>
            <w:vAlign w:val="bottom"/>
            <w:hideMark/>
          </w:tcPr>
          <w:p w:rsidR="002B14DE" w:rsidRPr="008013CE" w:rsidRDefault="002B14DE" w:rsidP="002B14DE">
            <w:pPr>
              <w:spacing w:after="0" w:line="240" w:lineRule="auto"/>
              <w:rPr>
                <w:rFonts w:ascii="Calibri" w:eastAsia="Times New Roman" w:hAnsi="Calibri" w:cs="Times New Roman"/>
                <w:color w:val="000000"/>
                <w:lang w:eastAsia="it-IT"/>
              </w:rPr>
            </w:pPr>
            <w:r w:rsidRPr="008013CE">
              <w:rPr>
                <w:rFonts w:ascii="Calibri" w:eastAsia="Times New Roman" w:hAnsi="Calibri" w:cs="Times New Roman"/>
                <w:color w:val="000000"/>
                <w:lang w:eastAsia="it-IT"/>
              </w:rPr>
              <w:t>2. macchine e stampi per industria orafa</w:t>
            </w:r>
          </w:p>
        </w:tc>
        <w:tc>
          <w:tcPr>
            <w:tcW w:w="831" w:type="dxa"/>
            <w:tcBorders>
              <w:top w:val="nil"/>
              <w:left w:val="nil"/>
              <w:bottom w:val="nil"/>
              <w:right w:val="nil"/>
            </w:tcBorders>
            <w:shd w:val="clear" w:color="000000" w:fill="FFFFFF"/>
            <w:noWrap/>
            <w:vAlign w:val="bottom"/>
            <w:hideMark/>
          </w:tcPr>
          <w:p w:rsidR="002B14DE" w:rsidRPr="008013CE" w:rsidRDefault="002B14DE" w:rsidP="002B14DE">
            <w:pPr>
              <w:spacing w:after="0" w:line="240" w:lineRule="auto"/>
              <w:jc w:val="right"/>
              <w:rPr>
                <w:rFonts w:ascii="Calibri" w:eastAsia="Times New Roman" w:hAnsi="Calibri" w:cs="Times New Roman"/>
                <w:color w:val="000000"/>
                <w:lang w:eastAsia="it-IT"/>
              </w:rPr>
            </w:pPr>
            <w:r w:rsidRPr="008013CE">
              <w:rPr>
                <w:rFonts w:ascii="Calibri" w:eastAsia="Times New Roman" w:hAnsi="Calibri" w:cs="Times New Roman"/>
                <w:color w:val="000000"/>
                <w:lang w:eastAsia="it-IT"/>
              </w:rPr>
              <w:t>80%</w:t>
            </w:r>
          </w:p>
        </w:tc>
        <w:tc>
          <w:tcPr>
            <w:tcW w:w="970" w:type="dxa"/>
            <w:tcBorders>
              <w:top w:val="nil"/>
              <w:left w:val="nil"/>
              <w:bottom w:val="nil"/>
              <w:right w:val="nil"/>
            </w:tcBorders>
            <w:shd w:val="clear" w:color="000000" w:fill="FFFFFF"/>
            <w:noWrap/>
            <w:vAlign w:val="bottom"/>
            <w:hideMark/>
          </w:tcPr>
          <w:p w:rsidR="002B14DE" w:rsidRPr="008013CE" w:rsidRDefault="002B14DE" w:rsidP="002B14DE">
            <w:pPr>
              <w:spacing w:after="0" w:line="240" w:lineRule="auto"/>
              <w:jc w:val="right"/>
              <w:rPr>
                <w:rFonts w:ascii="Calibri" w:eastAsia="Times New Roman" w:hAnsi="Calibri" w:cs="Times New Roman"/>
                <w:color w:val="000000"/>
                <w:lang w:eastAsia="it-IT"/>
              </w:rPr>
            </w:pPr>
            <w:r w:rsidRPr="008013CE">
              <w:rPr>
                <w:rFonts w:ascii="Calibri" w:eastAsia="Times New Roman" w:hAnsi="Calibri" w:cs="Times New Roman"/>
                <w:color w:val="000000"/>
                <w:lang w:eastAsia="it-IT"/>
              </w:rPr>
              <w:t>3%</w:t>
            </w:r>
          </w:p>
        </w:tc>
        <w:tc>
          <w:tcPr>
            <w:tcW w:w="832" w:type="dxa"/>
            <w:tcBorders>
              <w:top w:val="nil"/>
              <w:left w:val="nil"/>
              <w:bottom w:val="nil"/>
              <w:right w:val="nil"/>
            </w:tcBorders>
            <w:shd w:val="clear" w:color="000000" w:fill="FFFFFF"/>
            <w:noWrap/>
            <w:vAlign w:val="bottom"/>
            <w:hideMark/>
          </w:tcPr>
          <w:p w:rsidR="002B14DE" w:rsidRPr="008013CE" w:rsidRDefault="002B14DE" w:rsidP="002B14DE">
            <w:pPr>
              <w:spacing w:after="0" w:line="240" w:lineRule="auto"/>
              <w:jc w:val="right"/>
              <w:rPr>
                <w:rFonts w:ascii="Calibri" w:eastAsia="Times New Roman" w:hAnsi="Calibri" w:cs="Times New Roman"/>
                <w:color w:val="000000"/>
                <w:lang w:eastAsia="it-IT"/>
              </w:rPr>
            </w:pPr>
            <w:r w:rsidRPr="008013CE">
              <w:rPr>
                <w:rFonts w:ascii="Calibri" w:eastAsia="Times New Roman" w:hAnsi="Calibri" w:cs="Times New Roman"/>
                <w:color w:val="000000"/>
                <w:lang w:eastAsia="it-IT"/>
              </w:rPr>
              <w:t>3%</w:t>
            </w:r>
          </w:p>
        </w:tc>
        <w:tc>
          <w:tcPr>
            <w:tcW w:w="1031" w:type="dxa"/>
            <w:tcBorders>
              <w:top w:val="nil"/>
              <w:left w:val="nil"/>
              <w:bottom w:val="nil"/>
              <w:right w:val="nil"/>
            </w:tcBorders>
            <w:shd w:val="clear" w:color="000000" w:fill="FFFFFF"/>
            <w:noWrap/>
            <w:vAlign w:val="bottom"/>
            <w:hideMark/>
          </w:tcPr>
          <w:p w:rsidR="002B14DE" w:rsidRPr="008013CE" w:rsidRDefault="002B14DE" w:rsidP="002B14DE">
            <w:pPr>
              <w:spacing w:after="0" w:line="240" w:lineRule="auto"/>
              <w:jc w:val="right"/>
              <w:rPr>
                <w:rFonts w:ascii="Calibri" w:eastAsia="Times New Roman" w:hAnsi="Calibri" w:cs="Times New Roman"/>
                <w:color w:val="000000"/>
                <w:lang w:eastAsia="it-IT"/>
              </w:rPr>
            </w:pPr>
            <w:r w:rsidRPr="008013CE">
              <w:rPr>
                <w:rFonts w:ascii="Calibri" w:eastAsia="Times New Roman" w:hAnsi="Calibri" w:cs="Times New Roman"/>
                <w:color w:val="000000"/>
                <w:lang w:eastAsia="it-IT"/>
              </w:rPr>
              <w:t>4%</w:t>
            </w:r>
          </w:p>
        </w:tc>
        <w:tc>
          <w:tcPr>
            <w:tcW w:w="655" w:type="dxa"/>
            <w:tcBorders>
              <w:top w:val="nil"/>
              <w:left w:val="nil"/>
              <w:bottom w:val="nil"/>
              <w:right w:val="nil"/>
            </w:tcBorders>
            <w:shd w:val="clear" w:color="000000" w:fill="FFFFFF"/>
            <w:noWrap/>
            <w:vAlign w:val="bottom"/>
            <w:hideMark/>
          </w:tcPr>
          <w:p w:rsidR="002B14DE" w:rsidRPr="008013CE" w:rsidRDefault="002B14DE" w:rsidP="002B14DE">
            <w:pPr>
              <w:spacing w:after="0" w:line="240" w:lineRule="auto"/>
              <w:jc w:val="right"/>
              <w:rPr>
                <w:rFonts w:ascii="Calibri" w:eastAsia="Times New Roman" w:hAnsi="Calibri" w:cs="Times New Roman"/>
                <w:color w:val="000000"/>
                <w:lang w:eastAsia="it-IT"/>
              </w:rPr>
            </w:pPr>
            <w:r w:rsidRPr="008013CE">
              <w:rPr>
                <w:rFonts w:ascii="Calibri" w:eastAsia="Times New Roman" w:hAnsi="Calibri" w:cs="Times New Roman"/>
                <w:color w:val="000000"/>
                <w:lang w:eastAsia="it-IT"/>
              </w:rPr>
              <w:t>2%</w:t>
            </w:r>
          </w:p>
        </w:tc>
        <w:tc>
          <w:tcPr>
            <w:tcW w:w="591" w:type="dxa"/>
            <w:tcBorders>
              <w:top w:val="nil"/>
              <w:left w:val="nil"/>
              <w:bottom w:val="nil"/>
              <w:right w:val="nil"/>
            </w:tcBorders>
            <w:shd w:val="clear" w:color="000000" w:fill="FFFFFF"/>
            <w:noWrap/>
            <w:vAlign w:val="bottom"/>
            <w:hideMark/>
          </w:tcPr>
          <w:p w:rsidR="002B14DE" w:rsidRPr="008013CE" w:rsidRDefault="002B14DE" w:rsidP="002B14DE">
            <w:pPr>
              <w:spacing w:after="0" w:line="240" w:lineRule="auto"/>
              <w:jc w:val="right"/>
              <w:rPr>
                <w:rFonts w:ascii="Calibri" w:eastAsia="Times New Roman" w:hAnsi="Calibri" w:cs="Times New Roman"/>
                <w:color w:val="000000"/>
                <w:lang w:eastAsia="it-IT"/>
              </w:rPr>
            </w:pPr>
            <w:r w:rsidRPr="008013CE">
              <w:rPr>
                <w:rFonts w:ascii="Calibri" w:eastAsia="Times New Roman" w:hAnsi="Calibri" w:cs="Times New Roman"/>
                <w:color w:val="000000"/>
                <w:lang w:eastAsia="it-IT"/>
              </w:rPr>
              <w:t>2%</w:t>
            </w:r>
          </w:p>
        </w:tc>
        <w:tc>
          <w:tcPr>
            <w:tcW w:w="1217" w:type="dxa"/>
            <w:tcBorders>
              <w:top w:val="nil"/>
              <w:left w:val="nil"/>
              <w:bottom w:val="nil"/>
              <w:right w:val="nil"/>
            </w:tcBorders>
            <w:shd w:val="clear" w:color="000000" w:fill="FFFFFF"/>
            <w:noWrap/>
            <w:vAlign w:val="bottom"/>
            <w:hideMark/>
          </w:tcPr>
          <w:p w:rsidR="002B14DE" w:rsidRPr="008013CE" w:rsidRDefault="002B14DE" w:rsidP="002B14DE">
            <w:pPr>
              <w:spacing w:after="0" w:line="240" w:lineRule="auto"/>
              <w:jc w:val="right"/>
              <w:rPr>
                <w:rFonts w:ascii="Calibri" w:eastAsia="Times New Roman" w:hAnsi="Calibri" w:cs="Times New Roman"/>
                <w:color w:val="000000"/>
                <w:lang w:eastAsia="it-IT"/>
              </w:rPr>
            </w:pPr>
            <w:r w:rsidRPr="008013CE">
              <w:rPr>
                <w:rFonts w:ascii="Calibri" w:eastAsia="Times New Roman" w:hAnsi="Calibri" w:cs="Times New Roman"/>
                <w:color w:val="000000"/>
                <w:lang w:eastAsia="it-IT"/>
              </w:rPr>
              <w:t>0%</w:t>
            </w:r>
          </w:p>
        </w:tc>
        <w:tc>
          <w:tcPr>
            <w:tcW w:w="1018" w:type="dxa"/>
            <w:tcBorders>
              <w:top w:val="nil"/>
              <w:left w:val="nil"/>
              <w:bottom w:val="nil"/>
              <w:right w:val="nil"/>
            </w:tcBorders>
            <w:shd w:val="clear" w:color="000000" w:fill="FFFFFF"/>
            <w:noWrap/>
            <w:vAlign w:val="bottom"/>
            <w:hideMark/>
          </w:tcPr>
          <w:p w:rsidR="002B14DE" w:rsidRPr="008013CE" w:rsidRDefault="002B14DE" w:rsidP="002B14DE">
            <w:pPr>
              <w:spacing w:after="0" w:line="240" w:lineRule="auto"/>
              <w:jc w:val="right"/>
              <w:rPr>
                <w:rFonts w:ascii="Calibri" w:eastAsia="Times New Roman" w:hAnsi="Calibri" w:cs="Times New Roman"/>
                <w:color w:val="000000"/>
                <w:lang w:eastAsia="it-IT"/>
              </w:rPr>
            </w:pPr>
            <w:r w:rsidRPr="008013CE">
              <w:rPr>
                <w:rFonts w:ascii="Calibri" w:eastAsia="Times New Roman" w:hAnsi="Calibri" w:cs="Times New Roman"/>
                <w:color w:val="000000"/>
                <w:lang w:eastAsia="it-IT"/>
              </w:rPr>
              <w:t>6%</w:t>
            </w:r>
          </w:p>
        </w:tc>
      </w:tr>
      <w:tr w:rsidR="002B14DE" w:rsidRPr="008013CE" w:rsidTr="002B14DE">
        <w:trPr>
          <w:trHeight w:val="266"/>
        </w:trPr>
        <w:tc>
          <w:tcPr>
            <w:tcW w:w="2636" w:type="dxa"/>
            <w:tcBorders>
              <w:top w:val="nil"/>
              <w:left w:val="nil"/>
              <w:bottom w:val="nil"/>
              <w:right w:val="nil"/>
            </w:tcBorders>
            <w:shd w:val="clear" w:color="000000" w:fill="FFFFFF"/>
            <w:noWrap/>
            <w:vAlign w:val="bottom"/>
            <w:hideMark/>
          </w:tcPr>
          <w:p w:rsidR="002B14DE" w:rsidRPr="008013CE" w:rsidRDefault="002B14DE" w:rsidP="002B14DE">
            <w:pPr>
              <w:spacing w:after="0" w:line="240" w:lineRule="auto"/>
              <w:rPr>
                <w:rFonts w:ascii="Calibri" w:eastAsia="Times New Roman" w:hAnsi="Calibri" w:cs="Times New Roman"/>
                <w:color w:val="000000"/>
                <w:lang w:eastAsia="it-IT"/>
              </w:rPr>
            </w:pPr>
            <w:r w:rsidRPr="008013CE">
              <w:rPr>
                <w:rFonts w:ascii="Calibri" w:eastAsia="Times New Roman" w:hAnsi="Calibri" w:cs="Times New Roman"/>
                <w:color w:val="000000"/>
                <w:lang w:eastAsia="it-IT"/>
              </w:rPr>
              <w:t>3. bigiotteria, orologi e altro</w:t>
            </w:r>
          </w:p>
        </w:tc>
        <w:tc>
          <w:tcPr>
            <w:tcW w:w="831" w:type="dxa"/>
            <w:tcBorders>
              <w:top w:val="nil"/>
              <w:left w:val="nil"/>
              <w:bottom w:val="nil"/>
              <w:right w:val="nil"/>
            </w:tcBorders>
            <w:shd w:val="clear" w:color="000000" w:fill="FFFFFF"/>
            <w:noWrap/>
            <w:vAlign w:val="bottom"/>
            <w:hideMark/>
          </w:tcPr>
          <w:p w:rsidR="002B14DE" w:rsidRPr="008013CE" w:rsidRDefault="002B14DE" w:rsidP="002B14DE">
            <w:pPr>
              <w:spacing w:after="0" w:line="240" w:lineRule="auto"/>
              <w:jc w:val="right"/>
              <w:rPr>
                <w:rFonts w:ascii="Calibri" w:eastAsia="Times New Roman" w:hAnsi="Calibri" w:cs="Times New Roman"/>
                <w:color w:val="000000"/>
                <w:lang w:eastAsia="it-IT"/>
              </w:rPr>
            </w:pPr>
            <w:r w:rsidRPr="008013CE">
              <w:rPr>
                <w:rFonts w:ascii="Calibri" w:eastAsia="Times New Roman" w:hAnsi="Calibri" w:cs="Times New Roman"/>
                <w:color w:val="000000"/>
                <w:lang w:eastAsia="it-IT"/>
              </w:rPr>
              <w:t>56%</w:t>
            </w:r>
          </w:p>
        </w:tc>
        <w:tc>
          <w:tcPr>
            <w:tcW w:w="970" w:type="dxa"/>
            <w:tcBorders>
              <w:top w:val="nil"/>
              <w:left w:val="nil"/>
              <w:bottom w:val="nil"/>
              <w:right w:val="nil"/>
            </w:tcBorders>
            <w:shd w:val="clear" w:color="000000" w:fill="FFFFFF"/>
            <w:noWrap/>
            <w:vAlign w:val="bottom"/>
            <w:hideMark/>
          </w:tcPr>
          <w:p w:rsidR="002B14DE" w:rsidRPr="008013CE" w:rsidRDefault="002B14DE" w:rsidP="002B14DE">
            <w:pPr>
              <w:spacing w:after="0" w:line="240" w:lineRule="auto"/>
              <w:jc w:val="right"/>
              <w:rPr>
                <w:rFonts w:ascii="Calibri" w:eastAsia="Times New Roman" w:hAnsi="Calibri" w:cs="Times New Roman"/>
                <w:color w:val="000000"/>
                <w:lang w:eastAsia="it-IT"/>
              </w:rPr>
            </w:pPr>
            <w:r w:rsidRPr="008013CE">
              <w:rPr>
                <w:rFonts w:ascii="Calibri" w:eastAsia="Times New Roman" w:hAnsi="Calibri" w:cs="Times New Roman"/>
                <w:color w:val="000000"/>
                <w:lang w:eastAsia="it-IT"/>
              </w:rPr>
              <w:t>5%</w:t>
            </w:r>
          </w:p>
        </w:tc>
        <w:tc>
          <w:tcPr>
            <w:tcW w:w="832" w:type="dxa"/>
            <w:tcBorders>
              <w:top w:val="nil"/>
              <w:left w:val="nil"/>
              <w:bottom w:val="nil"/>
              <w:right w:val="nil"/>
            </w:tcBorders>
            <w:shd w:val="clear" w:color="000000" w:fill="FFFFFF"/>
            <w:noWrap/>
            <w:vAlign w:val="bottom"/>
            <w:hideMark/>
          </w:tcPr>
          <w:p w:rsidR="002B14DE" w:rsidRPr="008013CE" w:rsidRDefault="002B14DE" w:rsidP="002B14DE">
            <w:pPr>
              <w:spacing w:after="0" w:line="240" w:lineRule="auto"/>
              <w:jc w:val="right"/>
              <w:rPr>
                <w:rFonts w:ascii="Calibri" w:eastAsia="Times New Roman" w:hAnsi="Calibri" w:cs="Times New Roman"/>
                <w:color w:val="000000"/>
                <w:lang w:eastAsia="it-IT"/>
              </w:rPr>
            </w:pPr>
            <w:r w:rsidRPr="008013CE">
              <w:rPr>
                <w:rFonts w:ascii="Calibri" w:eastAsia="Times New Roman" w:hAnsi="Calibri" w:cs="Times New Roman"/>
                <w:color w:val="000000"/>
                <w:lang w:eastAsia="it-IT"/>
              </w:rPr>
              <w:t>2%</w:t>
            </w:r>
          </w:p>
        </w:tc>
        <w:tc>
          <w:tcPr>
            <w:tcW w:w="1031" w:type="dxa"/>
            <w:tcBorders>
              <w:top w:val="nil"/>
              <w:left w:val="nil"/>
              <w:bottom w:val="nil"/>
              <w:right w:val="nil"/>
            </w:tcBorders>
            <w:shd w:val="clear" w:color="000000" w:fill="FFFFFF"/>
            <w:noWrap/>
            <w:vAlign w:val="bottom"/>
            <w:hideMark/>
          </w:tcPr>
          <w:p w:rsidR="002B14DE" w:rsidRPr="008013CE" w:rsidRDefault="002B14DE" w:rsidP="002B14DE">
            <w:pPr>
              <w:spacing w:after="0" w:line="240" w:lineRule="auto"/>
              <w:jc w:val="right"/>
              <w:rPr>
                <w:rFonts w:ascii="Calibri" w:eastAsia="Times New Roman" w:hAnsi="Calibri" w:cs="Times New Roman"/>
                <w:color w:val="000000"/>
                <w:lang w:eastAsia="it-IT"/>
              </w:rPr>
            </w:pPr>
            <w:r w:rsidRPr="008013CE">
              <w:rPr>
                <w:rFonts w:ascii="Calibri" w:eastAsia="Times New Roman" w:hAnsi="Calibri" w:cs="Times New Roman"/>
                <w:color w:val="000000"/>
                <w:lang w:eastAsia="it-IT"/>
              </w:rPr>
              <w:t>8%</w:t>
            </w:r>
          </w:p>
        </w:tc>
        <w:tc>
          <w:tcPr>
            <w:tcW w:w="655" w:type="dxa"/>
            <w:tcBorders>
              <w:top w:val="nil"/>
              <w:left w:val="nil"/>
              <w:bottom w:val="nil"/>
              <w:right w:val="nil"/>
            </w:tcBorders>
            <w:shd w:val="clear" w:color="000000" w:fill="FFFFFF"/>
            <w:noWrap/>
            <w:vAlign w:val="bottom"/>
            <w:hideMark/>
          </w:tcPr>
          <w:p w:rsidR="002B14DE" w:rsidRPr="008013CE" w:rsidRDefault="002B14DE" w:rsidP="002B14DE">
            <w:pPr>
              <w:spacing w:after="0" w:line="240" w:lineRule="auto"/>
              <w:jc w:val="right"/>
              <w:rPr>
                <w:rFonts w:ascii="Calibri" w:eastAsia="Times New Roman" w:hAnsi="Calibri" w:cs="Times New Roman"/>
                <w:color w:val="000000"/>
                <w:lang w:eastAsia="it-IT"/>
              </w:rPr>
            </w:pPr>
            <w:r w:rsidRPr="008013CE">
              <w:rPr>
                <w:rFonts w:ascii="Calibri" w:eastAsia="Times New Roman" w:hAnsi="Calibri" w:cs="Times New Roman"/>
                <w:color w:val="000000"/>
                <w:lang w:eastAsia="it-IT"/>
              </w:rPr>
              <w:t>3%</w:t>
            </w:r>
          </w:p>
        </w:tc>
        <w:tc>
          <w:tcPr>
            <w:tcW w:w="591" w:type="dxa"/>
            <w:tcBorders>
              <w:top w:val="nil"/>
              <w:left w:val="nil"/>
              <w:bottom w:val="nil"/>
              <w:right w:val="nil"/>
            </w:tcBorders>
            <w:shd w:val="clear" w:color="000000" w:fill="FFFFFF"/>
            <w:noWrap/>
            <w:vAlign w:val="bottom"/>
            <w:hideMark/>
          </w:tcPr>
          <w:p w:rsidR="002B14DE" w:rsidRPr="008013CE" w:rsidRDefault="002B14DE" w:rsidP="002B14DE">
            <w:pPr>
              <w:spacing w:after="0" w:line="240" w:lineRule="auto"/>
              <w:jc w:val="right"/>
              <w:rPr>
                <w:rFonts w:ascii="Calibri" w:eastAsia="Times New Roman" w:hAnsi="Calibri" w:cs="Times New Roman"/>
                <w:color w:val="000000"/>
                <w:lang w:eastAsia="it-IT"/>
              </w:rPr>
            </w:pPr>
            <w:r w:rsidRPr="008013CE">
              <w:rPr>
                <w:rFonts w:ascii="Calibri" w:eastAsia="Times New Roman" w:hAnsi="Calibri" w:cs="Times New Roman"/>
                <w:color w:val="000000"/>
                <w:lang w:eastAsia="it-IT"/>
              </w:rPr>
              <w:t>2%</w:t>
            </w:r>
          </w:p>
        </w:tc>
        <w:tc>
          <w:tcPr>
            <w:tcW w:w="1217" w:type="dxa"/>
            <w:tcBorders>
              <w:top w:val="nil"/>
              <w:left w:val="nil"/>
              <w:bottom w:val="nil"/>
              <w:right w:val="nil"/>
            </w:tcBorders>
            <w:shd w:val="clear" w:color="000000" w:fill="FFFFFF"/>
            <w:noWrap/>
            <w:vAlign w:val="bottom"/>
            <w:hideMark/>
          </w:tcPr>
          <w:p w:rsidR="002B14DE" w:rsidRPr="008013CE" w:rsidRDefault="002B14DE" w:rsidP="002B14DE">
            <w:pPr>
              <w:spacing w:after="0" w:line="240" w:lineRule="auto"/>
              <w:jc w:val="right"/>
              <w:rPr>
                <w:rFonts w:ascii="Calibri" w:eastAsia="Times New Roman" w:hAnsi="Calibri" w:cs="Times New Roman"/>
                <w:color w:val="000000"/>
                <w:lang w:eastAsia="it-IT"/>
              </w:rPr>
            </w:pPr>
            <w:r w:rsidRPr="008013CE">
              <w:rPr>
                <w:rFonts w:ascii="Calibri" w:eastAsia="Times New Roman" w:hAnsi="Calibri" w:cs="Times New Roman"/>
                <w:color w:val="000000"/>
                <w:lang w:eastAsia="it-IT"/>
              </w:rPr>
              <w:t>1%</w:t>
            </w:r>
          </w:p>
        </w:tc>
        <w:tc>
          <w:tcPr>
            <w:tcW w:w="1018" w:type="dxa"/>
            <w:tcBorders>
              <w:top w:val="nil"/>
              <w:left w:val="nil"/>
              <w:bottom w:val="nil"/>
              <w:right w:val="nil"/>
            </w:tcBorders>
            <w:shd w:val="clear" w:color="000000" w:fill="FFFFFF"/>
            <w:noWrap/>
            <w:vAlign w:val="bottom"/>
            <w:hideMark/>
          </w:tcPr>
          <w:p w:rsidR="002B14DE" w:rsidRPr="008013CE" w:rsidRDefault="002B14DE" w:rsidP="002B14DE">
            <w:pPr>
              <w:spacing w:after="0" w:line="240" w:lineRule="auto"/>
              <w:jc w:val="right"/>
              <w:rPr>
                <w:rFonts w:ascii="Calibri" w:eastAsia="Times New Roman" w:hAnsi="Calibri" w:cs="Times New Roman"/>
                <w:color w:val="000000"/>
                <w:lang w:eastAsia="it-IT"/>
              </w:rPr>
            </w:pPr>
            <w:r w:rsidRPr="008013CE">
              <w:rPr>
                <w:rFonts w:ascii="Calibri" w:eastAsia="Times New Roman" w:hAnsi="Calibri" w:cs="Times New Roman"/>
                <w:color w:val="000000"/>
                <w:lang w:eastAsia="it-IT"/>
              </w:rPr>
              <w:t>22%</w:t>
            </w:r>
          </w:p>
        </w:tc>
      </w:tr>
      <w:tr w:rsidR="002B14DE" w:rsidRPr="008013CE" w:rsidTr="002B14DE">
        <w:trPr>
          <w:trHeight w:val="266"/>
        </w:trPr>
        <w:tc>
          <w:tcPr>
            <w:tcW w:w="2636" w:type="dxa"/>
            <w:tcBorders>
              <w:top w:val="nil"/>
              <w:left w:val="nil"/>
              <w:bottom w:val="single" w:sz="4" w:space="0" w:color="auto"/>
              <w:right w:val="nil"/>
            </w:tcBorders>
            <w:shd w:val="clear" w:color="000000" w:fill="FFFFFF"/>
            <w:noWrap/>
            <w:vAlign w:val="bottom"/>
            <w:hideMark/>
          </w:tcPr>
          <w:p w:rsidR="002B14DE" w:rsidRPr="008013CE" w:rsidRDefault="002B14DE" w:rsidP="002B14DE">
            <w:pPr>
              <w:spacing w:after="0" w:line="240" w:lineRule="auto"/>
              <w:rPr>
                <w:rFonts w:ascii="Calibri" w:eastAsia="Times New Roman" w:hAnsi="Calibri" w:cs="Times New Roman"/>
                <w:color w:val="000000"/>
                <w:lang w:eastAsia="it-IT"/>
              </w:rPr>
            </w:pPr>
            <w:r w:rsidRPr="008013CE">
              <w:rPr>
                <w:rFonts w:ascii="Calibri" w:eastAsia="Times New Roman" w:hAnsi="Calibri" w:cs="Times New Roman"/>
                <w:color w:val="000000"/>
                <w:lang w:eastAsia="it-IT"/>
              </w:rPr>
              <w:t>4. oreficeria</w:t>
            </w:r>
          </w:p>
        </w:tc>
        <w:tc>
          <w:tcPr>
            <w:tcW w:w="831" w:type="dxa"/>
            <w:tcBorders>
              <w:top w:val="nil"/>
              <w:left w:val="nil"/>
              <w:bottom w:val="single" w:sz="4" w:space="0" w:color="auto"/>
              <w:right w:val="nil"/>
            </w:tcBorders>
            <w:shd w:val="clear" w:color="000000" w:fill="FFFFFF"/>
            <w:noWrap/>
            <w:vAlign w:val="bottom"/>
            <w:hideMark/>
          </w:tcPr>
          <w:p w:rsidR="002B14DE" w:rsidRPr="008013CE" w:rsidRDefault="002B14DE" w:rsidP="002B14DE">
            <w:pPr>
              <w:spacing w:after="0" w:line="240" w:lineRule="auto"/>
              <w:jc w:val="right"/>
              <w:rPr>
                <w:rFonts w:ascii="Calibri" w:eastAsia="Times New Roman" w:hAnsi="Calibri" w:cs="Times New Roman"/>
                <w:color w:val="000000"/>
                <w:lang w:eastAsia="it-IT"/>
              </w:rPr>
            </w:pPr>
            <w:r w:rsidRPr="008013CE">
              <w:rPr>
                <w:rFonts w:ascii="Calibri" w:eastAsia="Times New Roman" w:hAnsi="Calibri" w:cs="Times New Roman"/>
                <w:color w:val="000000"/>
                <w:lang w:eastAsia="it-IT"/>
              </w:rPr>
              <w:t>73%</w:t>
            </w:r>
          </w:p>
        </w:tc>
        <w:tc>
          <w:tcPr>
            <w:tcW w:w="970" w:type="dxa"/>
            <w:tcBorders>
              <w:top w:val="nil"/>
              <w:left w:val="nil"/>
              <w:bottom w:val="single" w:sz="4" w:space="0" w:color="auto"/>
              <w:right w:val="nil"/>
            </w:tcBorders>
            <w:shd w:val="clear" w:color="000000" w:fill="FFFFFF"/>
            <w:noWrap/>
            <w:vAlign w:val="bottom"/>
            <w:hideMark/>
          </w:tcPr>
          <w:p w:rsidR="002B14DE" w:rsidRPr="008013CE" w:rsidRDefault="002B14DE" w:rsidP="002B14DE">
            <w:pPr>
              <w:spacing w:after="0" w:line="240" w:lineRule="auto"/>
              <w:jc w:val="right"/>
              <w:rPr>
                <w:rFonts w:ascii="Calibri" w:eastAsia="Times New Roman" w:hAnsi="Calibri" w:cs="Times New Roman"/>
                <w:color w:val="000000"/>
                <w:lang w:eastAsia="it-IT"/>
              </w:rPr>
            </w:pPr>
            <w:r w:rsidRPr="008013CE">
              <w:rPr>
                <w:rFonts w:ascii="Calibri" w:eastAsia="Times New Roman" w:hAnsi="Calibri" w:cs="Times New Roman"/>
                <w:color w:val="000000"/>
                <w:lang w:eastAsia="it-IT"/>
              </w:rPr>
              <w:t>3%</w:t>
            </w:r>
          </w:p>
        </w:tc>
        <w:tc>
          <w:tcPr>
            <w:tcW w:w="832" w:type="dxa"/>
            <w:tcBorders>
              <w:top w:val="nil"/>
              <w:left w:val="nil"/>
              <w:bottom w:val="single" w:sz="4" w:space="0" w:color="auto"/>
              <w:right w:val="nil"/>
            </w:tcBorders>
            <w:shd w:val="clear" w:color="000000" w:fill="FFFFFF"/>
            <w:noWrap/>
            <w:vAlign w:val="bottom"/>
            <w:hideMark/>
          </w:tcPr>
          <w:p w:rsidR="002B14DE" w:rsidRPr="008013CE" w:rsidRDefault="002B14DE" w:rsidP="002B14DE">
            <w:pPr>
              <w:spacing w:after="0" w:line="240" w:lineRule="auto"/>
              <w:jc w:val="right"/>
              <w:rPr>
                <w:rFonts w:ascii="Calibri" w:eastAsia="Times New Roman" w:hAnsi="Calibri" w:cs="Times New Roman"/>
                <w:color w:val="000000"/>
                <w:lang w:eastAsia="it-IT"/>
              </w:rPr>
            </w:pPr>
            <w:r w:rsidRPr="008013CE">
              <w:rPr>
                <w:rFonts w:ascii="Calibri" w:eastAsia="Times New Roman" w:hAnsi="Calibri" w:cs="Times New Roman"/>
                <w:color w:val="000000"/>
                <w:lang w:eastAsia="it-IT"/>
              </w:rPr>
              <w:t>2%</w:t>
            </w:r>
          </w:p>
        </w:tc>
        <w:tc>
          <w:tcPr>
            <w:tcW w:w="1031" w:type="dxa"/>
            <w:tcBorders>
              <w:top w:val="nil"/>
              <w:left w:val="nil"/>
              <w:bottom w:val="single" w:sz="4" w:space="0" w:color="auto"/>
              <w:right w:val="nil"/>
            </w:tcBorders>
            <w:shd w:val="clear" w:color="000000" w:fill="FFFFFF"/>
            <w:noWrap/>
            <w:vAlign w:val="bottom"/>
            <w:hideMark/>
          </w:tcPr>
          <w:p w:rsidR="002B14DE" w:rsidRPr="008013CE" w:rsidRDefault="002B14DE" w:rsidP="002B14DE">
            <w:pPr>
              <w:spacing w:after="0" w:line="240" w:lineRule="auto"/>
              <w:jc w:val="right"/>
              <w:rPr>
                <w:rFonts w:ascii="Calibri" w:eastAsia="Times New Roman" w:hAnsi="Calibri" w:cs="Times New Roman"/>
                <w:color w:val="000000"/>
                <w:lang w:eastAsia="it-IT"/>
              </w:rPr>
            </w:pPr>
            <w:r w:rsidRPr="008013CE">
              <w:rPr>
                <w:rFonts w:ascii="Calibri" w:eastAsia="Times New Roman" w:hAnsi="Calibri" w:cs="Times New Roman"/>
                <w:color w:val="000000"/>
                <w:lang w:eastAsia="it-IT"/>
              </w:rPr>
              <w:t>3%</w:t>
            </w:r>
          </w:p>
        </w:tc>
        <w:tc>
          <w:tcPr>
            <w:tcW w:w="655" w:type="dxa"/>
            <w:tcBorders>
              <w:top w:val="nil"/>
              <w:left w:val="nil"/>
              <w:bottom w:val="single" w:sz="4" w:space="0" w:color="auto"/>
              <w:right w:val="nil"/>
            </w:tcBorders>
            <w:shd w:val="clear" w:color="000000" w:fill="FFFFFF"/>
            <w:noWrap/>
            <w:vAlign w:val="bottom"/>
            <w:hideMark/>
          </w:tcPr>
          <w:p w:rsidR="002B14DE" w:rsidRPr="008013CE" w:rsidRDefault="002B14DE" w:rsidP="002B14DE">
            <w:pPr>
              <w:spacing w:after="0" w:line="240" w:lineRule="auto"/>
              <w:jc w:val="right"/>
              <w:rPr>
                <w:rFonts w:ascii="Calibri" w:eastAsia="Times New Roman" w:hAnsi="Calibri" w:cs="Times New Roman"/>
                <w:color w:val="000000"/>
                <w:lang w:eastAsia="it-IT"/>
              </w:rPr>
            </w:pPr>
            <w:r w:rsidRPr="008013CE">
              <w:rPr>
                <w:rFonts w:ascii="Calibri" w:eastAsia="Times New Roman" w:hAnsi="Calibri" w:cs="Times New Roman"/>
                <w:color w:val="000000"/>
                <w:lang w:eastAsia="it-IT"/>
              </w:rPr>
              <w:t>3%</w:t>
            </w:r>
          </w:p>
        </w:tc>
        <w:tc>
          <w:tcPr>
            <w:tcW w:w="591" w:type="dxa"/>
            <w:tcBorders>
              <w:top w:val="nil"/>
              <w:left w:val="nil"/>
              <w:bottom w:val="single" w:sz="4" w:space="0" w:color="auto"/>
              <w:right w:val="nil"/>
            </w:tcBorders>
            <w:shd w:val="clear" w:color="000000" w:fill="FFFFFF"/>
            <w:noWrap/>
            <w:vAlign w:val="bottom"/>
            <w:hideMark/>
          </w:tcPr>
          <w:p w:rsidR="002B14DE" w:rsidRPr="008013CE" w:rsidRDefault="002B14DE" w:rsidP="002B14DE">
            <w:pPr>
              <w:spacing w:after="0" w:line="240" w:lineRule="auto"/>
              <w:jc w:val="right"/>
              <w:rPr>
                <w:rFonts w:ascii="Calibri" w:eastAsia="Times New Roman" w:hAnsi="Calibri" w:cs="Times New Roman"/>
                <w:color w:val="000000"/>
                <w:lang w:eastAsia="it-IT"/>
              </w:rPr>
            </w:pPr>
            <w:r w:rsidRPr="008013CE">
              <w:rPr>
                <w:rFonts w:ascii="Calibri" w:eastAsia="Times New Roman" w:hAnsi="Calibri" w:cs="Times New Roman"/>
                <w:color w:val="000000"/>
                <w:lang w:eastAsia="it-IT"/>
              </w:rPr>
              <w:t>1%</w:t>
            </w:r>
          </w:p>
        </w:tc>
        <w:tc>
          <w:tcPr>
            <w:tcW w:w="1217" w:type="dxa"/>
            <w:tcBorders>
              <w:top w:val="nil"/>
              <w:left w:val="nil"/>
              <w:bottom w:val="single" w:sz="4" w:space="0" w:color="auto"/>
              <w:right w:val="nil"/>
            </w:tcBorders>
            <w:shd w:val="clear" w:color="000000" w:fill="FFFFFF"/>
            <w:noWrap/>
            <w:vAlign w:val="bottom"/>
            <w:hideMark/>
          </w:tcPr>
          <w:p w:rsidR="002B14DE" w:rsidRPr="008013CE" w:rsidRDefault="002B14DE" w:rsidP="002B14DE">
            <w:pPr>
              <w:spacing w:after="0" w:line="240" w:lineRule="auto"/>
              <w:jc w:val="right"/>
              <w:rPr>
                <w:rFonts w:ascii="Calibri" w:eastAsia="Times New Roman" w:hAnsi="Calibri" w:cs="Times New Roman"/>
                <w:color w:val="000000"/>
                <w:lang w:eastAsia="it-IT"/>
              </w:rPr>
            </w:pPr>
            <w:r w:rsidRPr="008013CE">
              <w:rPr>
                <w:rFonts w:ascii="Calibri" w:eastAsia="Times New Roman" w:hAnsi="Calibri" w:cs="Times New Roman"/>
                <w:color w:val="000000"/>
                <w:lang w:eastAsia="it-IT"/>
              </w:rPr>
              <w:t>0%</w:t>
            </w:r>
          </w:p>
        </w:tc>
        <w:tc>
          <w:tcPr>
            <w:tcW w:w="1018" w:type="dxa"/>
            <w:tcBorders>
              <w:top w:val="nil"/>
              <w:left w:val="nil"/>
              <w:bottom w:val="single" w:sz="4" w:space="0" w:color="auto"/>
              <w:right w:val="nil"/>
            </w:tcBorders>
            <w:shd w:val="clear" w:color="000000" w:fill="FFFFFF"/>
            <w:noWrap/>
            <w:vAlign w:val="bottom"/>
            <w:hideMark/>
          </w:tcPr>
          <w:p w:rsidR="002B14DE" w:rsidRPr="008013CE" w:rsidRDefault="002B14DE" w:rsidP="002B14DE">
            <w:pPr>
              <w:spacing w:after="0" w:line="240" w:lineRule="auto"/>
              <w:jc w:val="right"/>
              <w:rPr>
                <w:rFonts w:ascii="Calibri" w:eastAsia="Times New Roman" w:hAnsi="Calibri" w:cs="Times New Roman"/>
                <w:color w:val="000000"/>
                <w:lang w:eastAsia="it-IT"/>
              </w:rPr>
            </w:pPr>
            <w:r w:rsidRPr="008013CE">
              <w:rPr>
                <w:rFonts w:ascii="Calibri" w:eastAsia="Times New Roman" w:hAnsi="Calibri" w:cs="Times New Roman"/>
                <w:color w:val="000000"/>
                <w:lang w:eastAsia="it-IT"/>
              </w:rPr>
              <w:t>15%</w:t>
            </w:r>
          </w:p>
        </w:tc>
      </w:tr>
      <w:tr w:rsidR="002B14DE" w:rsidRPr="008013CE" w:rsidTr="002B14DE">
        <w:trPr>
          <w:trHeight w:val="266"/>
        </w:trPr>
        <w:tc>
          <w:tcPr>
            <w:tcW w:w="2636" w:type="dxa"/>
            <w:tcBorders>
              <w:top w:val="single" w:sz="4" w:space="0" w:color="auto"/>
              <w:left w:val="nil"/>
              <w:bottom w:val="single" w:sz="4" w:space="0" w:color="auto"/>
              <w:right w:val="nil"/>
            </w:tcBorders>
            <w:shd w:val="clear" w:color="000000" w:fill="FFFFFF"/>
            <w:noWrap/>
            <w:vAlign w:val="bottom"/>
            <w:hideMark/>
          </w:tcPr>
          <w:p w:rsidR="002B14DE" w:rsidRPr="008013CE" w:rsidRDefault="002B14DE" w:rsidP="002B14DE">
            <w:pPr>
              <w:spacing w:after="0" w:line="240" w:lineRule="auto"/>
              <w:rPr>
                <w:rFonts w:ascii="Calibri" w:eastAsia="Times New Roman" w:hAnsi="Calibri" w:cs="Times New Roman"/>
                <w:color w:val="000000"/>
                <w:lang w:eastAsia="it-IT"/>
              </w:rPr>
            </w:pPr>
            <w:r w:rsidRPr="008013CE">
              <w:rPr>
                <w:rFonts w:ascii="Calibri" w:eastAsia="Times New Roman" w:hAnsi="Calibri" w:cs="Times New Roman"/>
                <w:color w:val="000000"/>
                <w:lang w:eastAsia="it-IT"/>
              </w:rPr>
              <w:t>Totale complessivo</w:t>
            </w:r>
          </w:p>
        </w:tc>
        <w:tc>
          <w:tcPr>
            <w:tcW w:w="831" w:type="dxa"/>
            <w:tcBorders>
              <w:top w:val="single" w:sz="4" w:space="0" w:color="auto"/>
              <w:left w:val="nil"/>
              <w:bottom w:val="single" w:sz="4" w:space="0" w:color="auto"/>
              <w:right w:val="nil"/>
            </w:tcBorders>
            <w:shd w:val="clear" w:color="000000" w:fill="FFFFFF"/>
            <w:noWrap/>
            <w:vAlign w:val="bottom"/>
            <w:hideMark/>
          </w:tcPr>
          <w:p w:rsidR="002B14DE" w:rsidRPr="008013CE" w:rsidRDefault="002B14DE" w:rsidP="002B14DE">
            <w:pPr>
              <w:spacing w:after="0" w:line="240" w:lineRule="auto"/>
              <w:jc w:val="right"/>
              <w:rPr>
                <w:rFonts w:ascii="Calibri" w:eastAsia="Times New Roman" w:hAnsi="Calibri" w:cs="Times New Roman"/>
                <w:color w:val="000000"/>
                <w:lang w:eastAsia="it-IT"/>
              </w:rPr>
            </w:pPr>
            <w:r w:rsidRPr="008013CE">
              <w:rPr>
                <w:rFonts w:ascii="Calibri" w:eastAsia="Times New Roman" w:hAnsi="Calibri" w:cs="Times New Roman"/>
                <w:color w:val="000000"/>
                <w:lang w:eastAsia="it-IT"/>
              </w:rPr>
              <w:t>71%</w:t>
            </w:r>
          </w:p>
        </w:tc>
        <w:tc>
          <w:tcPr>
            <w:tcW w:w="970" w:type="dxa"/>
            <w:tcBorders>
              <w:top w:val="single" w:sz="4" w:space="0" w:color="auto"/>
              <w:left w:val="nil"/>
              <w:bottom w:val="single" w:sz="4" w:space="0" w:color="auto"/>
              <w:right w:val="nil"/>
            </w:tcBorders>
            <w:shd w:val="clear" w:color="000000" w:fill="FFFFFF"/>
            <w:noWrap/>
            <w:vAlign w:val="bottom"/>
            <w:hideMark/>
          </w:tcPr>
          <w:p w:rsidR="002B14DE" w:rsidRPr="008013CE" w:rsidRDefault="002B14DE" w:rsidP="002B14DE">
            <w:pPr>
              <w:spacing w:after="0" w:line="240" w:lineRule="auto"/>
              <w:jc w:val="right"/>
              <w:rPr>
                <w:rFonts w:ascii="Calibri" w:eastAsia="Times New Roman" w:hAnsi="Calibri" w:cs="Times New Roman"/>
                <w:color w:val="000000"/>
                <w:lang w:eastAsia="it-IT"/>
              </w:rPr>
            </w:pPr>
            <w:r w:rsidRPr="008013CE">
              <w:rPr>
                <w:rFonts w:ascii="Calibri" w:eastAsia="Times New Roman" w:hAnsi="Calibri" w:cs="Times New Roman"/>
                <w:color w:val="000000"/>
                <w:lang w:eastAsia="it-IT"/>
              </w:rPr>
              <w:t>3%</w:t>
            </w:r>
          </w:p>
        </w:tc>
        <w:tc>
          <w:tcPr>
            <w:tcW w:w="832" w:type="dxa"/>
            <w:tcBorders>
              <w:top w:val="single" w:sz="4" w:space="0" w:color="auto"/>
              <w:left w:val="nil"/>
              <w:bottom w:val="single" w:sz="4" w:space="0" w:color="auto"/>
              <w:right w:val="nil"/>
            </w:tcBorders>
            <w:shd w:val="clear" w:color="000000" w:fill="FFFFFF"/>
            <w:noWrap/>
            <w:vAlign w:val="bottom"/>
            <w:hideMark/>
          </w:tcPr>
          <w:p w:rsidR="002B14DE" w:rsidRPr="008013CE" w:rsidRDefault="002B14DE" w:rsidP="002B14DE">
            <w:pPr>
              <w:spacing w:after="0" w:line="240" w:lineRule="auto"/>
              <w:jc w:val="right"/>
              <w:rPr>
                <w:rFonts w:ascii="Calibri" w:eastAsia="Times New Roman" w:hAnsi="Calibri" w:cs="Times New Roman"/>
                <w:color w:val="000000"/>
                <w:lang w:eastAsia="it-IT"/>
              </w:rPr>
            </w:pPr>
            <w:r w:rsidRPr="008013CE">
              <w:rPr>
                <w:rFonts w:ascii="Calibri" w:eastAsia="Times New Roman" w:hAnsi="Calibri" w:cs="Times New Roman"/>
                <w:color w:val="000000"/>
                <w:lang w:eastAsia="it-IT"/>
              </w:rPr>
              <w:t>2%</w:t>
            </w:r>
          </w:p>
        </w:tc>
        <w:tc>
          <w:tcPr>
            <w:tcW w:w="1031" w:type="dxa"/>
            <w:tcBorders>
              <w:top w:val="single" w:sz="4" w:space="0" w:color="auto"/>
              <w:left w:val="nil"/>
              <w:bottom w:val="single" w:sz="4" w:space="0" w:color="auto"/>
              <w:right w:val="nil"/>
            </w:tcBorders>
            <w:shd w:val="clear" w:color="000000" w:fill="FFFFFF"/>
            <w:noWrap/>
            <w:vAlign w:val="bottom"/>
            <w:hideMark/>
          </w:tcPr>
          <w:p w:rsidR="002B14DE" w:rsidRPr="008013CE" w:rsidRDefault="002B14DE" w:rsidP="002B14DE">
            <w:pPr>
              <w:spacing w:after="0" w:line="240" w:lineRule="auto"/>
              <w:jc w:val="right"/>
              <w:rPr>
                <w:rFonts w:ascii="Calibri" w:eastAsia="Times New Roman" w:hAnsi="Calibri" w:cs="Times New Roman"/>
                <w:color w:val="000000"/>
                <w:lang w:eastAsia="it-IT"/>
              </w:rPr>
            </w:pPr>
            <w:r w:rsidRPr="008013CE">
              <w:rPr>
                <w:rFonts w:ascii="Calibri" w:eastAsia="Times New Roman" w:hAnsi="Calibri" w:cs="Times New Roman"/>
                <w:color w:val="000000"/>
                <w:lang w:eastAsia="it-IT"/>
              </w:rPr>
              <w:t>3%</w:t>
            </w:r>
          </w:p>
        </w:tc>
        <w:tc>
          <w:tcPr>
            <w:tcW w:w="655" w:type="dxa"/>
            <w:tcBorders>
              <w:top w:val="single" w:sz="4" w:space="0" w:color="auto"/>
              <w:left w:val="nil"/>
              <w:bottom w:val="single" w:sz="4" w:space="0" w:color="auto"/>
              <w:right w:val="nil"/>
            </w:tcBorders>
            <w:shd w:val="clear" w:color="000000" w:fill="FFFFFF"/>
            <w:noWrap/>
            <w:vAlign w:val="bottom"/>
            <w:hideMark/>
          </w:tcPr>
          <w:p w:rsidR="002B14DE" w:rsidRPr="008013CE" w:rsidRDefault="002B14DE" w:rsidP="002B14DE">
            <w:pPr>
              <w:spacing w:after="0" w:line="240" w:lineRule="auto"/>
              <w:jc w:val="right"/>
              <w:rPr>
                <w:rFonts w:ascii="Calibri" w:eastAsia="Times New Roman" w:hAnsi="Calibri" w:cs="Times New Roman"/>
                <w:color w:val="000000"/>
                <w:lang w:eastAsia="it-IT"/>
              </w:rPr>
            </w:pPr>
            <w:r w:rsidRPr="008013CE">
              <w:rPr>
                <w:rFonts w:ascii="Calibri" w:eastAsia="Times New Roman" w:hAnsi="Calibri" w:cs="Times New Roman"/>
                <w:color w:val="000000"/>
                <w:lang w:eastAsia="it-IT"/>
              </w:rPr>
              <w:t>3%</w:t>
            </w:r>
          </w:p>
        </w:tc>
        <w:tc>
          <w:tcPr>
            <w:tcW w:w="591" w:type="dxa"/>
            <w:tcBorders>
              <w:top w:val="single" w:sz="4" w:space="0" w:color="auto"/>
              <w:left w:val="nil"/>
              <w:bottom w:val="single" w:sz="4" w:space="0" w:color="auto"/>
              <w:right w:val="nil"/>
            </w:tcBorders>
            <w:shd w:val="clear" w:color="000000" w:fill="FFFFFF"/>
            <w:noWrap/>
            <w:vAlign w:val="bottom"/>
            <w:hideMark/>
          </w:tcPr>
          <w:p w:rsidR="002B14DE" w:rsidRPr="008013CE" w:rsidRDefault="002B14DE" w:rsidP="002B14DE">
            <w:pPr>
              <w:spacing w:after="0" w:line="240" w:lineRule="auto"/>
              <w:jc w:val="right"/>
              <w:rPr>
                <w:rFonts w:ascii="Calibri" w:eastAsia="Times New Roman" w:hAnsi="Calibri" w:cs="Times New Roman"/>
                <w:color w:val="000000"/>
                <w:lang w:eastAsia="it-IT"/>
              </w:rPr>
            </w:pPr>
            <w:r w:rsidRPr="008013CE">
              <w:rPr>
                <w:rFonts w:ascii="Calibri" w:eastAsia="Times New Roman" w:hAnsi="Calibri" w:cs="Times New Roman"/>
                <w:color w:val="000000"/>
                <w:lang w:eastAsia="it-IT"/>
              </w:rPr>
              <w:t>1%</w:t>
            </w:r>
          </w:p>
        </w:tc>
        <w:tc>
          <w:tcPr>
            <w:tcW w:w="1217" w:type="dxa"/>
            <w:tcBorders>
              <w:top w:val="single" w:sz="4" w:space="0" w:color="auto"/>
              <w:left w:val="nil"/>
              <w:bottom w:val="single" w:sz="4" w:space="0" w:color="auto"/>
              <w:right w:val="nil"/>
            </w:tcBorders>
            <w:shd w:val="clear" w:color="000000" w:fill="FFFFFF"/>
            <w:noWrap/>
            <w:vAlign w:val="bottom"/>
            <w:hideMark/>
          </w:tcPr>
          <w:p w:rsidR="002B14DE" w:rsidRPr="008013CE" w:rsidRDefault="002B14DE" w:rsidP="002B14DE">
            <w:pPr>
              <w:spacing w:after="0" w:line="240" w:lineRule="auto"/>
              <w:jc w:val="right"/>
              <w:rPr>
                <w:rFonts w:ascii="Calibri" w:eastAsia="Times New Roman" w:hAnsi="Calibri" w:cs="Times New Roman"/>
                <w:color w:val="000000"/>
                <w:lang w:eastAsia="it-IT"/>
              </w:rPr>
            </w:pPr>
            <w:r w:rsidRPr="008013CE">
              <w:rPr>
                <w:rFonts w:ascii="Calibri" w:eastAsia="Times New Roman" w:hAnsi="Calibri" w:cs="Times New Roman"/>
                <w:color w:val="000000"/>
                <w:lang w:eastAsia="it-IT"/>
              </w:rPr>
              <w:t>0%</w:t>
            </w:r>
          </w:p>
        </w:tc>
        <w:tc>
          <w:tcPr>
            <w:tcW w:w="1018" w:type="dxa"/>
            <w:tcBorders>
              <w:top w:val="single" w:sz="4" w:space="0" w:color="auto"/>
              <w:left w:val="nil"/>
              <w:bottom w:val="single" w:sz="4" w:space="0" w:color="auto"/>
              <w:right w:val="nil"/>
            </w:tcBorders>
            <w:shd w:val="clear" w:color="DDEBF7" w:fill="FFFFFF"/>
            <w:noWrap/>
            <w:vAlign w:val="bottom"/>
            <w:hideMark/>
          </w:tcPr>
          <w:p w:rsidR="002B14DE" w:rsidRPr="008013CE" w:rsidRDefault="002B14DE" w:rsidP="002B14DE">
            <w:pPr>
              <w:spacing w:after="0" w:line="240" w:lineRule="auto"/>
              <w:jc w:val="right"/>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16%</w:t>
            </w:r>
          </w:p>
        </w:tc>
      </w:tr>
    </w:tbl>
    <w:p w:rsidR="002B14DE" w:rsidRDefault="002B14DE" w:rsidP="002B14DE">
      <w:pPr>
        <w:rPr>
          <w:sz w:val="24"/>
          <w:szCs w:val="24"/>
        </w:rPr>
      </w:pPr>
    </w:p>
    <w:p w:rsidR="002B14DE" w:rsidRDefault="002B14DE" w:rsidP="002B14DE">
      <w:pPr>
        <w:jc w:val="both"/>
        <w:rPr>
          <w:sz w:val="24"/>
          <w:szCs w:val="24"/>
        </w:rPr>
      </w:pPr>
      <w:r>
        <w:rPr>
          <w:sz w:val="24"/>
          <w:szCs w:val="24"/>
        </w:rPr>
        <w:t>Approfondiamo l’aspetto della presenza di stranieri nel settore: è evidente dai dati la presenza di un alta quota di immigrati dalle nazioni del subcontinente indiano</w:t>
      </w:r>
      <w:r>
        <w:rPr>
          <w:rStyle w:val="Rimandonotaapidipagina"/>
          <w:sz w:val="24"/>
          <w:szCs w:val="24"/>
        </w:rPr>
        <w:footnoteReference w:id="5"/>
      </w:r>
      <w:r>
        <w:rPr>
          <w:sz w:val="24"/>
          <w:szCs w:val="24"/>
        </w:rPr>
        <w:t xml:space="preserve">, che costituiscono circa il 10% degli addetti, provenienti dal </w:t>
      </w:r>
      <w:proofErr w:type="spellStart"/>
      <w:r>
        <w:rPr>
          <w:sz w:val="24"/>
          <w:szCs w:val="24"/>
        </w:rPr>
        <w:t>Bangla</w:t>
      </w:r>
      <w:proofErr w:type="spellEnd"/>
      <w:r>
        <w:rPr>
          <w:sz w:val="24"/>
          <w:szCs w:val="24"/>
        </w:rPr>
        <w:t xml:space="preserve"> </w:t>
      </w:r>
      <w:proofErr w:type="spellStart"/>
      <w:r>
        <w:rPr>
          <w:sz w:val="24"/>
          <w:szCs w:val="24"/>
        </w:rPr>
        <w:t>Desh</w:t>
      </w:r>
      <w:proofErr w:type="spellEnd"/>
      <w:r>
        <w:rPr>
          <w:sz w:val="24"/>
          <w:szCs w:val="24"/>
        </w:rPr>
        <w:t xml:space="preserve"> (5%), dal Pakistan (4%), e per l’1% dall’India</w:t>
      </w:r>
      <w:r>
        <w:rPr>
          <w:rStyle w:val="Rimandonotaapidipagina"/>
          <w:sz w:val="24"/>
          <w:szCs w:val="24"/>
        </w:rPr>
        <w:footnoteReference w:id="6"/>
      </w:r>
      <w:r>
        <w:rPr>
          <w:sz w:val="24"/>
          <w:szCs w:val="24"/>
        </w:rPr>
        <w:t>. Vi è poi un 2% di romeni, un 1% di albanesi, un 1% di altre nazionalità europee, e un 1% di provenienti da altri paesi. Coloro che provengono dal subcontinente indiano sono i più presenti nella produzione dei metalli (19% del totale degli addetti dipendenti, prevalentemente bengalesi) e nella bigiotteria (16%, in prevalenza indiani), ma sono praticamente assenti nella produzione macchine.</w:t>
      </w:r>
    </w:p>
    <w:p w:rsidR="002B14DE" w:rsidRDefault="002B14DE" w:rsidP="002B14DE">
      <w:pPr>
        <w:rPr>
          <w:sz w:val="24"/>
          <w:szCs w:val="24"/>
        </w:rPr>
      </w:pPr>
    </w:p>
    <w:p w:rsidR="00BF48AB" w:rsidRDefault="00BF48AB" w:rsidP="002B14DE">
      <w:pPr>
        <w:rPr>
          <w:sz w:val="24"/>
          <w:szCs w:val="24"/>
        </w:rPr>
      </w:pPr>
    </w:p>
    <w:p w:rsidR="002B14DE" w:rsidRPr="0010314C" w:rsidRDefault="00CD214C" w:rsidP="002B14DE">
      <w:pPr>
        <w:rPr>
          <w:i/>
          <w:sz w:val="24"/>
          <w:szCs w:val="24"/>
        </w:rPr>
      </w:pPr>
      <w:proofErr w:type="spellStart"/>
      <w:r>
        <w:rPr>
          <w:i/>
          <w:sz w:val="24"/>
          <w:szCs w:val="24"/>
        </w:rPr>
        <w:t>Tab</w:t>
      </w:r>
      <w:proofErr w:type="spellEnd"/>
      <w:r>
        <w:rPr>
          <w:i/>
          <w:sz w:val="24"/>
          <w:szCs w:val="24"/>
        </w:rPr>
        <w:t xml:space="preserve">. 2.4 </w:t>
      </w:r>
      <w:r w:rsidR="002B14DE" w:rsidRPr="0010314C">
        <w:rPr>
          <w:i/>
          <w:sz w:val="24"/>
          <w:szCs w:val="24"/>
        </w:rPr>
        <w:t>Dipendenti per stato di nascita (% su totale)</w:t>
      </w:r>
    </w:p>
    <w:tbl>
      <w:tblPr>
        <w:tblW w:w="10065" w:type="dxa"/>
        <w:tblCellMar>
          <w:left w:w="70" w:type="dxa"/>
          <w:right w:w="70" w:type="dxa"/>
        </w:tblCellMar>
        <w:tblLook w:val="04A0" w:firstRow="1" w:lastRow="0" w:firstColumn="1" w:lastColumn="0" w:noHBand="0" w:noVBand="1"/>
      </w:tblPr>
      <w:tblGrid>
        <w:gridCol w:w="2694"/>
        <w:gridCol w:w="992"/>
        <w:gridCol w:w="1029"/>
        <w:gridCol w:w="672"/>
        <w:gridCol w:w="992"/>
        <w:gridCol w:w="932"/>
        <w:gridCol w:w="911"/>
        <w:gridCol w:w="992"/>
        <w:gridCol w:w="851"/>
      </w:tblGrid>
      <w:tr w:rsidR="002B14DE" w:rsidRPr="0033347C" w:rsidTr="002B14DE">
        <w:trPr>
          <w:trHeight w:val="300"/>
        </w:trPr>
        <w:tc>
          <w:tcPr>
            <w:tcW w:w="2694" w:type="dxa"/>
            <w:tcBorders>
              <w:top w:val="single" w:sz="4" w:space="0" w:color="auto"/>
              <w:left w:val="nil"/>
              <w:bottom w:val="single" w:sz="4" w:space="0" w:color="auto"/>
              <w:right w:val="nil"/>
            </w:tcBorders>
            <w:shd w:val="clear" w:color="auto" w:fill="auto"/>
            <w:noWrap/>
            <w:vAlign w:val="bottom"/>
            <w:hideMark/>
          </w:tcPr>
          <w:p w:rsidR="002B14DE" w:rsidRPr="0033347C" w:rsidRDefault="002B14DE" w:rsidP="002B14DE">
            <w:pPr>
              <w:spacing w:after="0" w:line="240" w:lineRule="auto"/>
              <w:rPr>
                <w:rFonts w:ascii="Times New Roman" w:eastAsia="Times New Roman" w:hAnsi="Times New Roman" w:cs="Times New Roman"/>
                <w:sz w:val="24"/>
                <w:szCs w:val="24"/>
                <w:lang w:eastAsia="it-IT"/>
              </w:rPr>
            </w:pPr>
          </w:p>
        </w:tc>
        <w:tc>
          <w:tcPr>
            <w:tcW w:w="992" w:type="dxa"/>
            <w:tcBorders>
              <w:top w:val="single" w:sz="4" w:space="0" w:color="auto"/>
              <w:left w:val="nil"/>
              <w:bottom w:val="single" w:sz="4" w:space="0" w:color="auto"/>
              <w:right w:val="nil"/>
            </w:tcBorders>
            <w:shd w:val="clear" w:color="auto" w:fill="auto"/>
            <w:noWrap/>
            <w:vAlign w:val="bottom"/>
            <w:hideMark/>
          </w:tcPr>
          <w:p w:rsidR="002B14DE" w:rsidRPr="0033347C" w:rsidRDefault="002B14DE" w:rsidP="002B14DE">
            <w:pPr>
              <w:spacing w:after="0" w:line="240" w:lineRule="auto"/>
              <w:rPr>
                <w:rFonts w:ascii="Calibri" w:eastAsia="Times New Roman" w:hAnsi="Calibri" w:cs="Times New Roman"/>
                <w:color w:val="000000"/>
                <w:lang w:eastAsia="it-IT"/>
              </w:rPr>
            </w:pPr>
            <w:r w:rsidRPr="0033347C">
              <w:rPr>
                <w:rFonts w:ascii="Calibri" w:eastAsia="Times New Roman" w:hAnsi="Calibri" w:cs="Times New Roman"/>
                <w:color w:val="000000"/>
                <w:lang w:eastAsia="it-IT"/>
              </w:rPr>
              <w:t>BANGLA</w:t>
            </w:r>
            <w:r>
              <w:rPr>
                <w:rFonts w:ascii="Calibri" w:eastAsia="Times New Roman" w:hAnsi="Calibri" w:cs="Times New Roman"/>
                <w:color w:val="000000"/>
                <w:lang w:eastAsia="it-IT"/>
              </w:rPr>
              <w:t xml:space="preserve"> </w:t>
            </w:r>
            <w:r w:rsidRPr="0033347C">
              <w:rPr>
                <w:rFonts w:ascii="Calibri" w:eastAsia="Times New Roman" w:hAnsi="Calibri" w:cs="Times New Roman"/>
                <w:color w:val="000000"/>
                <w:lang w:eastAsia="it-IT"/>
              </w:rPr>
              <w:t>DESH</w:t>
            </w:r>
          </w:p>
        </w:tc>
        <w:tc>
          <w:tcPr>
            <w:tcW w:w="1029" w:type="dxa"/>
            <w:tcBorders>
              <w:top w:val="single" w:sz="4" w:space="0" w:color="auto"/>
              <w:left w:val="nil"/>
              <w:bottom w:val="single" w:sz="4" w:space="0" w:color="auto"/>
              <w:right w:val="nil"/>
            </w:tcBorders>
            <w:shd w:val="clear" w:color="auto" w:fill="auto"/>
            <w:noWrap/>
            <w:vAlign w:val="bottom"/>
            <w:hideMark/>
          </w:tcPr>
          <w:p w:rsidR="002B14DE" w:rsidRPr="0033347C" w:rsidRDefault="002B14DE" w:rsidP="002B14DE">
            <w:pPr>
              <w:spacing w:after="0" w:line="240" w:lineRule="auto"/>
              <w:rPr>
                <w:rFonts w:ascii="Calibri" w:eastAsia="Times New Roman" w:hAnsi="Calibri" w:cs="Times New Roman"/>
                <w:color w:val="000000"/>
                <w:lang w:eastAsia="it-IT"/>
              </w:rPr>
            </w:pPr>
            <w:r w:rsidRPr="0033347C">
              <w:rPr>
                <w:rFonts w:ascii="Calibri" w:eastAsia="Times New Roman" w:hAnsi="Calibri" w:cs="Times New Roman"/>
                <w:color w:val="000000"/>
                <w:lang w:eastAsia="it-IT"/>
              </w:rPr>
              <w:t>PAKISTAN</w:t>
            </w:r>
          </w:p>
        </w:tc>
        <w:tc>
          <w:tcPr>
            <w:tcW w:w="672" w:type="dxa"/>
            <w:tcBorders>
              <w:top w:val="single" w:sz="4" w:space="0" w:color="auto"/>
              <w:left w:val="nil"/>
              <w:bottom w:val="single" w:sz="4" w:space="0" w:color="auto"/>
              <w:right w:val="nil"/>
            </w:tcBorders>
            <w:shd w:val="clear" w:color="auto" w:fill="auto"/>
            <w:noWrap/>
            <w:vAlign w:val="bottom"/>
            <w:hideMark/>
          </w:tcPr>
          <w:p w:rsidR="002B14DE" w:rsidRPr="0033347C" w:rsidRDefault="002B14DE" w:rsidP="002B14DE">
            <w:pPr>
              <w:spacing w:after="0" w:line="240" w:lineRule="auto"/>
              <w:rPr>
                <w:rFonts w:ascii="Calibri" w:eastAsia="Times New Roman" w:hAnsi="Calibri" w:cs="Times New Roman"/>
                <w:color w:val="000000"/>
                <w:lang w:eastAsia="it-IT"/>
              </w:rPr>
            </w:pPr>
            <w:r w:rsidRPr="0033347C">
              <w:rPr>
                <w:rFonts w:ascii="Calibri" w:eastAsia="Times New Roman" w:hAnsi="Calibri" w:cs="Times New Roman"/>
                <w:color w:val="000000"/>
                <w:lang w:eastAsia="it-IT"/>
              </w:rPr>
              <w:t>INDIA</w:t>
            </w:r>
          </w:p>
        </w:tc>
        <w:tc>
          <w:tcPr>
            <w:tcW w:w="992" w:type="dxa"/>
            <w:tcBorders>
              <w:top w:val="single" w:sz="4" w:space="0" w:color="auto"/>
              <w:left w:val="nil"/>
              <w:bottom w:val="single" w:sz="4" w:space="0" w:color="auto"/>
              <w:right w:val="nil"/>
            </w:tcBorders>
            <w:shd w:val="clear" w:color="auto" w:fill="auto"/>
            <w:noWrap/>
            <w:vAlign w:val="bottom"/>
            <w:hideMark/>
          </w:tcPr>
          <w:p w:rsidR="002B14DE" w:rsidRPr="0033347C" w:rsidRDefault="002B14DE" w:rsidP="002B14DE">
            <w:pPr>
              <w:spacing w:after="0" w:line="240" w:lineRule="auto"/>
              <w:rPr>
                <w:rFonts w:ascii="Calibri" w:eastAsia="Times New Roman" w:hAnsi="Calibri" w:cs="Times New Roman"/>
                <w:color w:val="000000"/>
                <w:lang w:eastAsia="it-IT"/>
              </w:rPr>
            </w:pPr>
            <w:r w:rsidRPr="0033347C">
              <w:rPr>
                <w:rFonts w:ascii="Calibri" w:eastAsia="Times New Roman" w:hAnsi="Calibri" w:cs="Times New Roman"/>
                <w:color w:val="000000"/>
                <w:lang w:eastAsia="it-IT"/>
              </w:rPr>
              <w:t>Romania</w:t>
            </w:r>
          </w:p>
        </w:tc>
        <w:tc>
          <w:tcPr>
            <w:tcW w:w="932" w:type="dxa"/>
            <w:tcBorders>
              <w:top w:val="single" w:sz="4" w:space="0" w:color="auto"/>
              <w:left w:val="nil"/>
              <w:bottom w:val="single" w:sz="4" w:space="0" w:color="auto"/>
              <w:right w:val="nil"/>
            </w:tcBorders>
            <w:shd w:val="clear" w:color="auto" w:fill="auto"/>
            <w:noWrap/>
            <w:vAlign w:val="bottom"/>
            <w:hideMark/>
          </w:tcPr>
          <w:p w:rsidR="002B14DE" w:rsidRPr="0033347C" w:rsidRDefault="002B14DE" w:rsidP="002B14DE">
            <w:pPr>
              <w:spacing w:after="0" w:line="240" w:lineRule="auto"/>
              <w:rPr>
                <w:rFonts w:ascii="Calibri" w:eastAsia="Times New Roman" w:hAnsi="Calibri" w:cs="Times New Roman"/>
                <w:color w:val="000000"/>
                <w:lang w:eastAsia="it-IT"/>
              </w:rPr>
            </w:pPr>
            <w:r w:rsidRPr="0033347C">
              <w:rPr>
                <w:rFonts w:ascii="Calibri" w:eastAsia="Times New Roman" w:hAnsi="Calibri" w:cs="Times New Roman"/>
                <w:color w:val="000000"/>
                <w:lang w:eastAsia="it-IT"/>
              </w:rPr>
              <w:t>ALBANIA</w:t>
            </w:r>
          </w:p>
        </w:tc>
        <w:tc>
          <w:tcPr>
            <w:tcW w:w="911" w:type="dxa"/>
            <w:tcBorders>
              <w:top w:val="single" w:sz="4" w:space="0" w:color="auto"/>
              <w:left w:val="nil"/>
              <w:bottom w:val="single" w:sz="4" w:space="0" w:color="auto"/>
              <w:right w:val="nil"/>
            </w:tcBorders>
            <w:shd w:val="clear" w:color="auto" w:fill="auto"/>
            <w:noWrap/>
            <w:vAlign w:val="bottom"/>
            <w:hideMark/>
          </w:tcPr>
          <w:p w:rsidR="002B14DE" w:rsidRPr="0033347C" w:rsidRDefault="002B14DE" w:rsidP="002B14DE">
            <w:pPr>
              <w:spacing w:after="0" w:line="240" w:lineRule="auto"/>
              <w:rPr>
                <w:rFonts w:ascii="Calibri" w:eastAsia="Times New Roman" w:hAnsi="Calibri" w:cs="Times New Roman"/>
                <w:color w:val="000000"/>
                <w:lang w:eastAsia="it-IT"/>
              </w:rPr>
            </w:pPr>
            <w:r w:rsidRPr="0033347C">
              <w:rPr>
                <w:rFonts w:ascii="Calibri" w:eastAsia="Times New Roman" w:hAnsi="Calibri" w:cs="Times New Roman"/>
                <w:color w:val="000000"/>
                <w:lang w:eastAsia="it-IT"/>
              </w:rPr>
              <w:t>Altri UE</w:t>
            </w:r>
          </w:p>
        </w:tc>
        <w:tc>
          <w:tcPr>
            <w:tcW w:w="992" w:type="dxa"/>
            <w:tcBorders>
              <w:top w:val="single" w:sz="4" w:space="0" w:color="auto"/>
              <w:left w:val="nil"/>
              <w:bottom w:val="single" w:sz="4" w:space="0" w:color="auto"/>
              <w:right w:val="nil"/>
            </w:tcBorders>
            <w:shd w:val="clear" w:color="auto" w:fill="auto"/>
            <w:noWrap/>
            <w:vAlign w:val="bottom"/>
            <w:hideMark/>
          </w:tcPr>
          <w:p w:rsidR="002B14DE" w:rsidRPr="0033347C" w:rsidRDefault="002B14DE" w:rsidP="002B14DE">
            <w:pPr>
              <w:spacing w:after="0" w:line="240" w:lineRule="auto"/>
              <w:rPr>
                <w:rFonts w:ascii="Calibri" w:eastAsia="Times New Roman" w:hAnsi="Calibri" w:cs="Times New Roman"/>
                <w:color w:val="000000"/>
                <w:lang w:eastAsia="it-IT"/>
              </w:rPr>
            </w:pPr>
            <w:r w:rsidRPr="0033347C">
              <w:rPr>
                <w:rFonts w:ascii="Calibri" w:eastAsia="Times New Roman" w:hAnsi="Calibri" w:cs="Times New Roman"/>
                <w:color w:val="000000"/>
                <w:lang w:eastAsia="it-IT"/>
              </w:rPr>
              <w:t>ALTRI NON UE</w:t>
            </w:r>
          </w:p>
        </w:tc>
        <w:tc>
          <w:tcPr>
            <w:tcW w:w="851" w:type="dxa"/>
            <w:tcBorders>
              <w:top w:val="single" w:sz="4" w:space="0" w:color="auto"/>
              <w:left w:val="nil"/>
              <w:bottom w:val="single" w:sz="4" w:space="0" w:color="auto"/>
              <w:right w:val="nil"/>
            </w:tcBorders>
            <w:shd w:val="clear" w:color="auto" w:fill="auto"/>
            <w:noWrap/>
            <w:vAlign w:val="bottom"/>
            <w:hideMark/>
          </w:tcPr>
          <w:p w:rsidR="002B14DE" w:rsidRPr="0033347C" w:rsidRDefault="002B14DE" w:rsidP="002B14DE">
            <w:pPr>
              <w:spacing w:after="0" w:line="240" w:lineRule="auto"/>
              <w:rPr>
                <w:rFonts w:ascii="Calibri" w:eastAsia="Times New Roman" w:hAnsi="Calibri" w:cs="Times New Roman"/>
                <w:color w:val="000000"/>
                <w:lang w:eastAsia="it-IT"/>
              </w:rPr>
            </w:pPr>
            <w:r w:rsidRPr="0033347C">
              <w:rPr>
                <w:rFonts w:ascii="Calibri" w:eastAsia="Times New Roman" w:hAnsi="Calibri" w:cs="Times New Roman"/>
                <w:color w:val="000000"/>
                <w:lang w:eastAsia="it-IT"/>
              </w:rPr>
              <w:t>Totale</w:t>
            </w:r>
          </w:p>
        </w:tc>
      </w:tr>
      <w:tr w:rsidR="002B14DE" w:rsidRPr="0033347C" w:rsidTr="002B14DE">
        <w:trPr>
          <w:trHeight w:val="300"/>
        </w:trPr>
        <w:tc>
          <w:tcPr>
            <w:tcW w:w="2694" w:type="dxa"/>
            <w:tcBorders>
              <w:top w:val="single" w:sz="4" w:space="0" w:color="auto"/>
              <w:left w:val="nil"/>
              <w:bottom w:val="nil"/>
              <w:right w:val="nil"/>
            </w:tcBorders>
            <w:shd w:val="clear" w:color="000000" w:fill="FFFFFF"/>
            <w:noWrap/>
            <w:vAlign w:val="bottom"/>
            <w:hideMark/>
          </w:tcPr>
          <w:p w:rsidR="002B14DE" w:rsidRPr="0033347C" w:rsidRDefault="002B14DE" w:rsidP="002B14DE">
            <w:pPr>
              <w:spacing w:after="0" w:line="240" w:lineRule="auto"/>
              <w:rPr>
                <w:rFonts w:ascii="Calibri" w:eastAsia="Times New Roman" w:hAnsi="Calibri" w:cs="Times New Roman"/>
                <w:color w:val="000000"/>
                <w:lang w:eastAsia="it-IT"/>
              </w:rPr>
            </w:pPr>
            <w:r w:rsidRPr="0033347C">
              <w:rPr>
                <w:rFonts w:ascii="Calibri" w:eastAsia="Times New Roman" w:hAnsi="Calibri" w:cs="Times New Roman"/>
                <w:color w:val="000000"/>
                <w:lang w:eastAsia="it-IT"/>
              </w:rPr>
              <w:t>1. produzione e trattamento metalli</w:t>
            </w:r>
          </w:p>
        </w:tc>
        <w:tc>
          <w:tcPr>
            <w:tcW w:w="992" w:type="dxa"/>
            <w:tcBorders>
              <w:top w:val="single" w:sz="4" w:space="0" w:color="auto"/>
              <w:left w:val="nil"/>
              <w:bottom w:val="nil"/>
              <w:right w:val="nil"/>
            </w:tcBorders>
            <w:shd w:val="clear" w:color="auto" w:fill="auto"/>
            <w:noWrap/>
            <w:vAlign w:val="bottom"/>
            <w:hideMark/>
          </w:tcPr>
          <w:p w:rsidR="002B14DE" w:rsidRPr="0033347C" w:rsidRDefault="002B14DE" w:rsidP="002B14DE">
            <w:pPr>
              <w:spacing w:after="0" w:line="240" w:lineRule="auto"/>
              <w:jc w:val="right"/>
              <w:rPr>
                <w:rFonts w:ascii="Calibri" w:eastAsia="Times New Roman" w:hAnsi="Calibri" w:cs="Times New Roman"/>
                <w:color w:val="000000"/>
                <w:lang w:eastAsia="it-IT"/>
              </w:rPr>
            </w:pPr>
            <w:r w:rsidRPr="0033347C">
              <w:rPr>
                <w:rFonts w:ascii="Calibri" w:eastAsia="Times New Roman" w:hAnsi="Calibri" w:cs="Times New Roman"/>
                <w:color w:val="000000"/>
                <w:lang w:eastAsia="it-IT"/>
              </w:rPr>
              <w:t>11%</w:t>
            </w:r>
          </w:p>
        </w:tc>
        <w:tc>
          <w:tcPr>
            <w:tcW w:w="1029" w:type="dxa"/>
            <w:tcBorders>
              <w:top w:val="single" w:sz="4" w:space="0" w:color="auto"/>
              <w:left w:val="nil"/>
              <w:bottom w:val="nil"/>
              <w:right w:val="nil"/>
            </w:tcBorders>
            <w:shd w:val="clear" w:color="auto" w:fill="auto"/>
            <w:noWrap/>
            <w:vAlign w:val="bottom"/>
            <w:hideMark/>
          </w:tcPr>
          <w:p w:rsidR="002B14DE" w:rsidRPr="0033347C" w:rsidRDefault="002B14DE" w:rsidP="002B14DE">
            <w:pPr>
              <w:spacing w:after="0" w:line="240" w:lineRule="auto"/>
              <w:jc w:val="right"/>
              <w:rPr>
                <w:rFonts w:ascii="Calibri" w:eastAsia="Times New Roman" w:hAnsi="Calibri" w:cs="Times New Roman"/>
                <w:color w:val="000000"/>
                <w:lang w:eastAsia="it-IT"/>
              </w:rPr>
            </w:pPr>
            <w:r w:rsidRPr="0033347C">
              <w:rPr>
                <w:rFonts w:ascii="Calibri" w:eastAsia="Times New Roman" w:hAnsi="Calibri" w:cs="Times New Roman"/>
                <w:color w:val="000000"/>
                <w:lang w:eastAsia="it-IT"/>
              </w:rPr>
              <w:t>1%</w:t>
            </w:r>
          </w:p>
        </w:tc>
        <w:tc>
          <w:tcPr>
            <w:tcW w:w="672" w:type="dxa"/>
            <w:tcBorders>
              <w:top w:val="single" w:sz="4" w:space="0" w:color="auto"/>
              <w:left w:val="nil"/>
              <w:bottom w:val="nil"/>
              <w:right w:val="nil"/>
            </w:tcBorders>
            <w:shd w:val="clear" w:color="auto" w:fill="auto"/>
            <w:noWrap/>
            <w:vAlign w:val="bottom"/>
            <w:hideMark/>
          </w:tcPr>
          <w:p w:rsidR="002B14DE" w:rsidRPr="0033347C" w:rsidRDefault="002B14DE" w:rsidP="002B14DE">
            <w:pPr>
              <w:spacing w:after="0" w:line="240" w:lineRule="auto"/>
              <w:jc w:val="right"/>
              <w:rPr>
                <w:rFonts w:ascii="Calibri" w:eastAsia="Times New Roman" w:hAnsi="Calibri" w:cs="Times New Roman"/>
                <w:color w:val="000000"/>
                <w:lang w:eastAsia="it-IT"/>
              </w:rPr>
            </w:pPr>
            <w:r w:rsidRPr="0033347C">
              <w:rPr>
                <w:rFonts w:ascii="Calibri" w:eastAsia="Times New Roman" w:hAnsi="Calibri" w:cs="Times New Roman"/>
                <w:color w:val="000000"/>
                <w:lang w:eastAsia="it-IT"/>
              </w:rPr>
              <w:t>7%</w:t>
            </w:r>
          </w:p>
        </w:tc>
        <w:tc>
          <w:tcPr>
            <w:tcW w:w="992" w:type="dxa"/>
            <w:tcBorders>
              <w:top w:val="single" w:sz="4" w:space="0" w:color="auto"/>
              <w:left w:val="nil"/>
              <w:bottom w:val="nil"/>
              <w:right w:val="nil"/>
            </w:tcBorders>
            <w:shd w:val="clear" w:color="auto" w:fill="auto"/>
            <w:noWrap/>
            <w:vAlign w:val="bottom"/>
            <w:hideMark/>
          </w:tcPr>
          <w:p w:rsidR="002B14DE" w:rsidRPr="0033347C" w:rsidRDefault="002B14DE" w:rsidP="002B14DE">
            <w:pPr>
              <w:spacing w:after="0" w:line="240" w:lineRule="auto"/>
              <w:jc w:val="right"/>
              <w:rPr>
                <w:rFonts w:ascii="Calibri" w:eastAsia="Times New Roman" w:hAnsi="Calibri" w:cs="Times New Roman"/>
                <w:b/>
                <w:color w:val="000000"/>
                <w:lang w:eastAsia="it-IT"/>
              </w:rPr>
            </w:pPr>
            <w:r w:rsidRPr="0033347C">
              <w:rPr>
                <w:rFonts w:ascii="Calibri" w:eastAsia="Times New Roman" w:hAnsi="Calibri" w:cs="Times New Roman"/>
                <w:b/>
                <w:color w:val="000000"/>
                <w:lang w:eastAsia="it-IT"/>
              </w:rPr>
              <w:t>1%</w:t>
            </w:r>
          </w:p>
        </w:tc>
        <w:tc>
          <w:tcPr>
            <w:tcW w:w="932" w:type="dxa"/>
            <w:tcBorders>
              <w:top w:val="single" w:sz="4" w:space="0" w:color="auto"/>
              <w:left w:val="nil"/>
              <w:bottom w:val="nil"/>
              <w:right w:val="nil"/>
            </w:tcBorders>
            <w:shd w:val="clear" w:color="auto" w:fill="auto"/>
            <w:noWrap/>
            <w:vAlign w:val="bottom"/>
            <w:hideMark/>
          </w:tcPr>
          <w:p w:rsidR="002B14DE" w:rsidRPr="0033347C" w:rsidRDefault="002B14DE" w:rsidP="002B14DE">
            <w:pPr>
              <w:spacing w:after="0" w:line="240" w:lineRule="auto"/>
              <w:jc w:val="right"/>
              <w:rPr>
                <w:rFonts w:ascii="Calibri" w:eastAsia="Times New Roman" w:hAnsi="Calibri" w:cs="Times New Roman"/>
                <w:color w:val="000000"/>
                <w:lang w:eastAsia="it-IT"/>
              </w:rPr>
            </w:pPr>
            <w:r w:rsidRPr="0033347C">
              <w:rPr>
                <w:rFonts w:ascii="Calibri" w:eastAsia="Times New Roman" w:hAnsi="Calibri" w:cs="Times New Roman"/>
                <w:color w:val="000000"/>
                <w:lang w:eastAsia="it-IT"/>
              </w:rPr>
              <w:t>4%</w:t>
            </w:r>
          </w:p>
        </w:tc>
        <w:tc>
          <w:tcPr>
            <w:tcW w:w="911" w:type="dxa"/>
            <w:tcBorders>
              <w:top w:val="single" w:sz="4" w:space="0" w:color="auto"/>
              <w:left w:val="nil"/>
              <w:bottom w:val="nil"/>
              <w:right w:val="nil"/>
            </w:tcBorders>
            <w:shd w:val="clear" w:color="auto" w:fill="auto"/>
            <w:noWrap/>
            <w:vAlign w:val="bottom"/>
            <w:hideMark/>
          </w:tcPr>
          <w:p w:rsidR="002B14DE" w:rsidRPr="0033347C" w:rsidRDefault="002B14DE" w:rsidP="002B14DE">
            <w:pPr>
              <w:spacing w:after="0" w:line="240" w:lineRule="auto"/>
              <w:jc w:val="right"/>
              <w:rPr>
                <w:rFonts w:ascii="Calibri" w:eastAsia="Times New Roman" w:hAnsi="Calibri" w:cs="Times New Roman"/>
                <w:color w:val="000000"/>
                <w:lang w:eastAsia="it-IT"/>
              </w:rPr>
            </w:pPr>
            <w:r w:rsidRPr="0033347C">
              <w:rPr>
                <w:rFonts w:ascii="Calibri" w:eastAsia="Times New Roman" w:hAnsi="Calibri" w:cs="Times New Roman"/>
                <w:color w:val="000000"/>
                <w:lang w:eastAsia="it-IT"/>
              </w:rPr>
              <w:t>2%</w:t>
            </w:r>
          </w:p>
        </w:tc>
        <w:tc>
          <w:tcPr>
            <w:tcW w:w="992" w:type="dxa"/>
            <w:tcBorders>
              <w:top w:val="single" w:sz="4" w:space="0" w:color="auto"/>
              <w:left w:val="nil"/>
              <w:bottom w:val="nil"/>
              <w:right w:val="nil"/>
            </w:tcBorders>
            <w:shd w:val="clear" w:color="auto" w:fill="auto"/>
            <w:noWrap/>
            <w:vAlign w:val="bottom"/>
            <w:hideMark/>
          </w:tcPr>
          <w:p w:rsidR="002B14DE" w:rsidRPr="0033347C" w:rsidRDefault="002B14DE" w:rsidP="002B14DE">
            <w:pPr>
              <w:spacing w:after="0" w:line="240" w:lineRule="auto"/>
              <w:jc w:val="right"/>
              <w:rPr>
                <w:rFonts w:ascii="Calibri" w:eastAsia="Times New Roman" w:hAnsi="Calibri" w:cs="Times New Roman"/>
                <w:color w:val="000000"/>
                <w:lang w:eastAsia="it-IT"/>
              </w:rPr>
            </w:pPr>
            <w:r w:rsidRPr="0033347C">
              <w:rPr>
                <w:rFonts w:ascii="Calibri" w:eastAsia="Times New Roman" w:hAnsi="Calibri" w:cs="Times New Roman"/>
                <w:color w:val="000000"/>
                <w:lang w:eastAsia="it-IT"/>
              </w:rPr>
              <w:t>6%</w:t>
            </w:r>
          </w:p>
        </w:tc>
        <w:tc>
          <w:tcPr>
            <w:tcW w:w="851" w:type="dxa"/>
            <w:tcBorders>
              <w:top w:val="single" w:sz="4" w:space="0" w:color="auto"/>
              <w:left w:val="nil"/>
              <w:bottom w:val="nil"/>
              <w:right w:val="nil"/>
            </w:tcBorders>
            <w:shd w:val="clear" w:color="auto" w:fill="auto"/>
            <w:noWrap/>
            <w:vAlign w:val="bottom"/>
            <w:hideMark/>
          </w:tcPr>
          <w:p w:rsidR="002B14DE" w:rsidRPr="0033347C" w:rsidRDefault="002B14DE" w:rsidP="002B14DE">
            <w:pPr>
              <w:spacing w:after="0" w:line="240" w:lineRule="auto"/>
              <w:jc w:val="right"/>
              <w:rPr>
                <w:rFonts w:ascii="Calibri" w:eastAsia="Times New Roman" w:hAnsi="Calibri" w:cs="Times New Roman"/>
                <w:color w:val="000000"/>
                <w:lang w:eastAsia="it-IT"/>
              </w:rPr>
            </w:pPr>
            <w:r w:rsidRPr="0033347C">
              <w:rPr>
                <w:rFonts w:ascii="Calibri" w:eastAsia="Times New Roman" w:hAnsi="Calibri" w:cs="Times New Roman"/>
                <w:color w:val="000000"/>
                <w:lang w:eastAsia="it-IT"/>
              </w:rPr>
              <w:t>32%</w:t>
            </w:r>
          </w:p>
        </w:tc>
      </w:tr>
      <w:tr w:rsidR="002B14DE" w:rsidRPr="0033347C" w:rsidTr="002B14DE">
        <w:trPr>
          <w:trHeight w:val="300"/>
        </w:trPr>
        <w:tc>
          <w:tcPr>
            <w:tcW w:w="2694" w:type="dxa"/>
            <w:tcBorders>
              <w:top w:val="nil"/>
              <w:left w:val="nil"/>
              <w:bottom w:val="nil"/>
              <w:right w:val="nil"/>
            </w:tcBorders>
            <w:shd w:val="clear" w:color="000000" w:fill="FFFFFF"/>
            <w:noWrap/>
            <w:vAlign w:val="bottom"/>
            <w:hideMark/>
          </w:tcPr>
          <w:p w:rsidR="002B14DE" w:rsidRPr="0033347C" w:rsidRDefault="002B14DE" w:rsidP="002B14DE">
            <w:pPr>
              <w:spacing w:after="0" w:line="240" w:lineRule="auto"/>
              <w:rPr>
                <w:rFonts w:ascii="Calibri" w:eastAsia="Times New Roman" w:hAnsi="Calibri" w:cs="Times New Roman"/>
                <w:color w:val="000000"/>
                <w:lang w:eastAsia="it-IT"/>
              </w:rPr>
            </w:pPr>
            <w:r w:rsidRPr="0033347C">
              <w:rPr>
                <w:rFonts w:ascii="Calibri" w:eastAsia="Times New Roman" w:hAnsi="Calibri" w:cs="Times New Roman"/>
                <w:color w:val="000000"/>
                <w:lang w:eastAsia="it-IT"/>
              </w:rPr>
              <w:t>2. macchine e stampi per industria orafa</w:t>
            </w:r>
          </w:p>
        </w:tc>
        <w:tc>
          <w:tcPr>
            <w:tcW w:w="992" w:type="dxa"/>
            <w:tcBorders>
              <w:top w:val="nil"/>
              <w:left w:val="nil"/>
              <w:bottom w:val="nil"/>
              <w:right w:val="nil"/>
            </w:tcBorders>
            <w:shd w:val="clear" w:color="auto" w:fill="auto"/>
            <w:noWrap/>
            <w:vAlign w:val="bottom"/>
            <w:hideMark/>
          </w:tcPr>
          <w:p w:rsidR="002B14DE" w:rsidRPr="0033347C" w:rsidRDefault="002B14DE" w:rsidP="002B14DE">
            <w:pPr>
              <w:spacing w:after="0" w:line="240" w:lineRule="auto"/>
              <w:jc w:val="right"/>
              <w:rPr>
                <w:rFonts w:ascii="Calibri" w:eastAsia="Times New Roman" w:hAnsi="Calibri" w:cs="Times New Roman"/>
                <w:color w:val="000000"/>
                <w:lang w:eastAsia="it-IT"/>
              </w:rPr>
            </w:pPr>
            <w:r w:rsidRPr="0033347C">
              <w:rPr>
                <w:rFonts w:ascii="Calibri" w:eastAsia="Times New Roman" w:hAnsi="Calibri" w:cs="Times New Roman"/>
                <w:color w:val="000000"/>
                <w:lang w:eastAsia="it-IT"/>
              </w:rPr>
              <w:t>0%</w:t>
            </w:r>
          </w:p>
        </w:tc>
        <w:tc>
          <w:tcPr>
            <w:tcW w:w="1029" w:type="dxa"/>
            <w:tcBorders>
              <w:top w:val="nil"/>
              <w:left w:val="nil"/>
              <w:bottom w:val="nil"/>
              <w:right w:val="nil"/>
            </w:tcBorders>
            <w:shd w:val="clear" w:color="auto" w:fill="auto"/>
            <w:noWrap/>
            <w:vAlign w:val="bottom"/>
            <w:hideMark/>
          </w:tcPr>
          <w:p w:rsidR="002B14DE" w:rsidRPr="0033347C" w:rsidRDefault="002B14DE" w:rsidP="002B14DE">
            <w:pPr>
              <w:spacing w:after="0" w:line="240" w:lineRule="auto"/>
              <w:jc w:val="right"/>
              <w:rPr>
                <w:rFonts w:ascii="Calibri" w:eastAsia="Times New Roman" w:hAnsi="Calibri" w:cs="Times New Roman"/>
                <w:color w:val="000000"/>
                <w:lang w:eastAsia="it-IT"/>
              </w:rPr>
            </w:pPr>
            <w:r w:rsidRPr="0033347C">
              <w:rPr>
                <w:rFonts w:ascii="Calibri" w:eastAsia="Times New Roman" w:hAnsi="Calibri" w:cs="Times New Roman"/>
                <w:color w:val="000000"/>
                <w:lang w:eastAsia="it-IT"/>
              </w:rPr>
              <w:t>0%</w:t>
            </w:r>
          </w:p>
        </w:tc>
        <w:tc>
          <w:tcPr>
            <w:tcW w:w="672" w:type="dxa"/>
            <w:tcBorders>
              <w:top w:val="nil"/>
              <w:left w:val="nil"/>
              <w:bottom w:val="nil"/>
              <w:right w:val="nil"/>
            </w:tcBorders>
            <w:shd w:val="clear" w:color="auto" w:fill="auto"/>
            <w:noWrap/>
            <w:vAlign w:val="bottom"/>
            <w:hideMark/>
          </w:tcPr>
          <w:p w:rsidR="002B14DE" w:rsidRPr="0033347C" w:rsidRDefault="002B14DE" w:rsidP="002B14DE">
            <w:pPr>
              <w:spacing w:after="0" w:line="240" w:lineRule="auto"/>
              <w:jc w:val="right"/>
              <w:rPr>
                <w:rFonts w:ascii="Calibri" w:eastAsia="Times New Roman" w:hAnsi="Calibri" w:cs="Times New Roman"/>
                <w:color w:val="000000"/>
                <w:lang w:eastAsia="it-IT"/>
              </w:rPr>
            </w:pPr>
            <w:r w:rsidRPr="0033347C">
              <w:rPr>
                <w:rFonts w:ascii="Calibri" w:eastAsia="Times New Roman" w:hAnsi="Calibri" w:cs="Times New Roman"/>
                <w:color w:val="000000"/>
                <w:lang w:eastAsia="it-IT"/>
              </w:rPr>
              <w:t>0%</w:t>
            </w:r>
          </w:p>
        </w:tc>
        <w:tc>
          <w:tcPr>
            <w:tcW w:w="992" w:type="dxa"/>
            <w:tcBorders>
              <w:top w:val="nil"/>
              <w:left w:val="nil"/>
              <w:bottom w:val="nil"/>
              <w:right w:val="nil"/>
            </w:tcBorders>
            <w:shd w:val="clear" w:color="auto" w:fill="auto"/>
            <w:noWrap/>
            <w:vAlign w:val="bottom"/>
            <w:hideMark/>
          </w:tcPr>
          <w:p w:rsidR="002B14DE" w:rsidRPr="0033347C" w:rsidRDefault="002B14DE" w:rsidP="002B14DE">
            <w:pPr>
              <w:spacing w:after="0" w:line="240" w:lineRule="auto"/>
              <w:jc w:val="right"/>
              <w:rPr>
                <w:rFonts w:ascii="Calibri" w:eastAsia="Times New Roman" w:hAnsi="Calibri" w:cs="Times New Roman"/>
                <w:color w:val="000000"/>
                <w:lang w:eastAsia="it-IT"/>
              </w:rPr>
            </w:pPr>
            <w:r w:rsidRPr="0033347C">
              <w:rPr>
                <w:rFonts w:ascii="Calibri" w:eastAsia="Times New Roman" w:hAnsi="Calibri" w:cs="Times New Roman"/>
                <w:color w:val="000000"/>
                <w:lang w:eastAsia="it-IT"/>
              </w:rPr>
              <w:t>2%</w:t>
            </w:r>
          </w:p>
        </w:tc>
        <w:tc>
          <w:tcPr>
            <w:tcW w:w="932" w:type="dxa"/>
            <w:tcBorders>
              <w:top w:val="nil"/>
              <w:left w:val="nil"/>
              <w:bottom w:val="nil"/>
              <w:right w:val="nil"/>
            </w:tcBorders>
            <w:shd w:val="clear" w:color="auto" w:fill="auto"/>
            <w:noWrap/>
            <w:vAlign w:val="bottom"/>
            <w:hideMark/>
          </w:tcPr>
          <w:p w:rsidR="002B14DE" w:rsidRPr="0033347C" w:rsidRDefault="002B14DE" w:rsidP="002B14DE">
            <w:pPr>
              <w:spacing w:after="0" w:line="240" w:lineRule="auto"/>
              <w:jc w:val="right"/>
              <w:rPr>
                <w:rFonts w:ascii="Calibri" w:eastAsia="Times New Roman" w:hAnsi="Calibri" w:cs="Times New Roman"/>
                <w:color w:val="000000"/>
                <w:lang w:eastAsia="it-IT"/>
              </w:rPr>
            </w:pPr>
            <w:r w:rsidRPr="0033347C">
              <w:rPr>
                <w:rFonts w:ascii="Calibri" w:eastAsia="Times New Roman" w:hAnsi="Calibri" w:cs="Times New Roman"/>
                <w:color w:val="000000"/>
                <w:lang w:eastAsia="it-IT"/>
              </w:rPr>
              <w:t>0%</w:t>
            </w:r>
          </w:p>
        </w:tc>
        <w:tc>
          <w:tcPr>
            <w:tcW w:w="911" w:type="dxa"/>
            <w:tcBorders>
              <w:top w:val="nil"/>
              <w:left w:val="nil"/>
              <w:bottom w:val="nil"/>
              <w:right w:val="nil"/>
            </w:tcBorders>
            <w:shd w:val="clear" w:color="auto" w:fill="auto"/>
            <w:noWrap/>
            <w:vAlign w:val="bottom"/>
            <w:hideMark/>
          </w:tcPr>
          <w:p w:rsidR="002B14DE" w:rsidRPr="0033347C" w:rsidRDefault="002B14DE" w:rsidP="002B14DE">
            <w:pPr>
              <w:spacing w:after="0" w:line="240" w:lineRule="auto"/>
              <w:jc w:val="right"/>
              <w:rPr>
                <w:rFonts w:ascii="Calibri" w:eastAsia="Times New Roman" w:hAnsi="Calibri" w:cs="Times New Roman"/>
                <w:color w:val="000000"/>
                <w:lang w:eastAsia="it-IT"/>
              </w:rPr>
            </w:pPr>
            <w:r w:rsidRPr="0033347C">
              <w:rPr>
                <w:rFonts w:ascii="Calibri" w:eastAsia="Times New Roman" w:hAnsi="Calibri" w:cs="Times New Roman"/>
                <w:color w:val="000000"/>
                <w:lang w:eastAsia="it-IT"/>
              </w:rPr>
              <w:t>4%</w:t>
            </w:r>
          </w:p>
        </w:tc>
        <w:tc>
          <w:tcPr>
            <w:tcW w:w="992" w:type="dxa"/>
            <w:tcBorders>
              <w:top w:val="nil"/>
              <w:left w:val="nil"/>
              <w:bottom w:val="nil"/>
              <w:right w:val="nil"/>
            </w:tcBorders>
            <w:shd w:val="clear" w:color="auto" w:fill="auto"/>
            <w:noWrap/>
            <w:vAlign w:val="bottom"/>
            <w:hideMark/>
          </w:tcPr>
          <w:p w:rsidR="002B14DE" w:rsidRPr="0033347C" w:rsidRDefault="002B14DE" w:rsidP="002B14DE">
            <w:pPr>
              <w:spacing w:after="0" w:line="240" w:lineRule="auto"/>
              <w:jc w:val="right"/>
              <w:rPr>
                <w:rFonts w:ascii="Calibri" w:eastAsia="Times New Roman" w:hAnsi="Calibri" w:cs="Times New Roman"/>
                <w:color w:val="000000"/>
                <w:lang w:eastAsia="it-IT"/>
              </w:rPr>
            </w:pPr>
            <w:r w:rsidRPr="0033347C">
              <w:rPr>
                <w:rFonts w:ascii="Calibri" w:eastAsia="Times New Roman" w:hAnsi="Calibri" w:cs="Times New Roman"/>
                <w:color w:val="000000"/>
                <w:lang w:eastAsia="it-IT"/>
              </w:rPr>
              <w:t>0%</w:t>
            </w:r>
          </w:p>
        </w:tc>
        <w:tc>
          <w:tcPr>
            <w:tcW w:w="851" w:type="dxa"/>
            <w:tcBorders>
              <w:top w:val="nil"/>
              <w:left w:val="nil"/>
              <w:bottom w:val="nil"/>
              <w:right w:val="nil"/>
            </w:tcBorders>
            <w:shd w:val="clear" w:color="auto" w:fill="auto"/>
            <w:noWrap/>
            <w:vAlign w:val="bottom"/>
            <w:hideMark/>
          </w:tcPr>
          <w:p w:rsidR="002B14DE" w:rsidRPr="0033347C" w:rsidRDefault="002B14DE" w:rsidP="002B14DE">
            <w:pPr>
              <w:spacing w:after="0" w:line="240" w:lineRule="auto"/>
              <w:jc w:val="right"/>
              <w:rPr>
                <w:rFonts w:ascii="Calibri" w:eastAsia="Times New Roman" w:hAnsi="Calibri" w:cs="Times New Roman"/>
                <w:color w:val="000000"/>
                <w:lang w:eastAsia="it-IT"/>
              </w:rPr>
            </w:pPr>
            <w:r w:rsidRPr="0033347C">
              <w:rPr>
                <w:rFonts w:ascii="Calibri" w:eastAsia="Times New Roman" w:hAnsi="Calibri" w:cs="Times New Roman"/>
                <w:color w:val="000000"/>
                <w:lang w:eastAsia="it-IT"/>
              </w:rPr>
              <w:t>6%</w:t>
            </w:r>
          </w:p>
        </w:tc>
      </w:tr>
      <w:tr w:rsidR="002B14DE" w:rsidRPr="0033347C" w:rsidTr="002B14DE">
        <w:trPr>
          <w:trHeight w:val="300"/>
        </w:trPr>
        <w:tc>
          <w:tcPr>
            <w:tcW w:w="2694" w:type="dxa"/>
            <w:tcBorders>
              <w:top w:val="nil"/>
              <w:left w:val="nil"/>
              <w:bottom w:val="nil"/>
              <w:right w:val="nil"/>
            </w:tcBorders>
            <w:shd w:val="clear" w:color="000000" w:fill="FFFFFF"/>
            <w:noWrap/>
            <w:vAlign w:val="bottom"/>
            <w:hideMark/>
          </w:tcPr>
          <w:p w:rsidR="002B14DE" w:rsidRPr="0033347C" w:rsidRDefault="002B14DE" w:rsidP="002B14DE">
            <w:pPr>
              <w:spacing w:after="0" w:line="240" w:lineRule="auto"/>
              <w:rPr>
                <w:rFonts w:ascii="Calibri" w:eastAsia="Times New Roman" w:hAnsi="Calibri" w:cs="Times New Roman"/>
                <w:color w:val="000000"/>
                <w:lang w:eastAsia="it-IT"/>
              </w:rPr>
            </w:pPr>
            <w:r w:rsidRPr="0033347C">
              <w:rPr>
                <w:rFonts w:ascii="Calibri" w:eastAsia="Times New Roman" w:hAnsi="Calibri" w:cs="Times New Roman"/>
                <w:color w:val="000000"/>
                <w:lang w:eastAsia="it-IT"/>
              </w:rPr>
              <w:t>3. bigiotteria, orologi e altro</w:t>
            </w:r>
          </w:p>
        </w:tc>
        <w:tc>
          <w:tcPr>
            <w:tcW w:w="992" w:type="dxa"/>
            <w:tcBorders>
              <w:top w:val="nil"/>
              <w:left w:val="nil"/>
              <w:bottom w:val="nil"/>
              <w:right w:val="nil"/>
            </w:tcBorders>
            <w:shd w:val="clear" w:color="auto" w:fill="auto"/>
            <w:noWrap/>
            <w:vAlign w:val="bottom"/>
            <w:hideMark/>
          </w:tcPr>
          <w:p w:rsidR="002B14DE" w:rsidRPr="0033347C" w:rsidRDefault="002B14DE" w:rsidP="002B14DE">
            <w:pPr>
              <w:spacing w:after="0" w:line="240" w:lineRule="auto"/>
              <w:jc w:val="right"/>
              <w:rPr>
                <w:rFonts w:ascii="Calibri" w:eastAsia="Times New Roman" w:hAnsi="Calibri" w:cs="Times New Roman"/>
                <w:color w:val="000000"/>
                <w:lang w:eastAsia="it-IT"/>
              </w:rPr>
            </w:pPr>
            <w:r w:rsidRPr="0033347C">
              <w:rPr>
                <w:rFonts w:ascii="Calibri" w:eastAsia="Times New Roman" w:hAnsi="Calibri" w:cs="Times New Roman"/>
                <w:color w:val="000000"/>
                <w:lang w:eastAsia="it-IT"/>
              </w:rPr>
              <w:t>4%</w:t>
            </w:r>
          </w:p>
        </w:tc>
        <w:tc>
          <w:tcPr>
            <w:tcW w:w="1029" w:type="dxa"/>
            <w:tcBorders>
              <w:top w:val="nil"/>
              <w:left w:val="nil"/>
              <w:bottom w:val="nil"/>
              <w:right w:val="nil"/>
            </w:tcBorders>
            <w:shd w:val="clear" w:color="auto" w:fill="auto"/>
            <w:noWrap/>
            <w:vAlign w:val="bottom"/>
            <w:hideMark/>
          </w:tcPr>
          <w:p w:rsidR="002B14DE" w:rsidRPr="0033347C" w:rsidRDefault="002B14DE" w:rsidP="002B14DE">
            <w:pPr>
              <w:spacing w:after="0" w:line="240" w:lineRule="auto"/>
              <w:jc w:val="right"/>
              <w:rPr>
                <w:rFonts w:ascii="Calibri" w:eastAsia="Times New Roman" w:hAnsi="Calibri" w:cs="Times New Roman"/>
                <w:color w:val="000000"/>
                <w:lang w:eastAsia="it-IT"/>
              </w:rPr>
            </w:pPr>
            <w:r w:rsidRPr="0033347C">
              <w:rPr>
                <w:rFonts w:ascii="Calibri" w:eastAsia="Times New Roman" w:hAnsi="Calibri" w:cs="Times New Roman"/>
                <w:color w:val="000000"/>
                <w:lang w:eastAsia="it-IT"/>
              </w:rPr>
              <w:t>4%</w:t>
            </w:r>
          </w:p>
        </w:tc>
        <w:tc>
          <w:tcPr>
            <w:tcW w:w="672" w:type="dxa"/>
            <w:tcBorders>
              <w:top w:val="nil"/>
              <w:left w:val="nil"/>
              <w:bottom w:val="nil"/>
              <w:right w:val="nil"/>
            </w:tcBorders>
            <w:shd w:val="clear" w:color="auto" w:fill="auto"/>
            <w:noWrap/>
            <w:vAlign w:val="bottom"/>
            <w:hideMark/>
          </w:tcPr>
          <w:p w:rsidR="002B14DE" w:rsidRPr="0033347C" w:rsidRDefault="002B14DE" w:rsidP="002B14DE">
            <w:pPr>
              <w:spacing w:after="0" w:line="240" w:lineRule="auto"/>
              <w:jc w:val="right"/>
              <w:rPr>
                <w:rFonts w:ascii="Calibri" w:eastAsia="Times New Roman" w:hAnsi="Calibri" w:cs="Times New Roman"/>
                <w:color w:val="000000"/>
                <w:lang w:eastAsia="it-IT"/>
              </w:rPr>
            </w:pPr>
            <w:r w:rsidRPr="0033347C">
              <w:rPr>
                <w:rFonts w:ascii="Calibri" w:eastAsia="Times New Roman" w:hAnsi="Calibri" w:cs="Times New Roman"/>
                <w:color w:val="000000"/>
                <w:lang w:eastAsia="it-IT"/>
              </w:rPr>
              <w:t>8%</w:t>
            </w:r>
          </w:p>
        </w:tc>
        <w:tc>
          <w:tcPr>
            <w:tcW w:w="992" w:type="dxa"/>
            <w:tcBorders>
              <w:top w:val="nil"/>
              <w:left w:val="nil"/>
              <w:bottom w:val="nil"/>
              <w:right w:val="nil"/>
            </w:tcBorders>
            <w:shd w:val="clear" w:color="auto" w:fill="auto"/>
            <w:noWrap/>
            <w:vAlign w:val="bottom"/>
            <w:hideMark/>
          </w:tcPr>
          <w:p w:rsidR="002B14DE" w:rsidRPr="0033347C" w:rsidRDefault="002B14DE" w:rsidP="002B14DE">
            <w:pPr>
              <w:spacing w:after="0" w:line="240" w:lineRule="auto"/>
              <w:jc w:val="right"/>
              <w:rPr>
                <w:rFonts w:ascii="Calibri" w:eastAsia="Times New Roman" w:hAnsi="Calibri" w:cs="Times New Roman"/>
                <w:color w:val="000000"/>
                <w:lang w:eastAsia="it-IT"/>
              </w:rPr>
            </w:pPr>
            <w:r w:rsidRPr="0033347C">
              <w:rPr>
                <w:rFonts w:ascii="Calibri" w:eastAsia="Times New Roman" w:hAnsi="Calibri" w:cs="Times New Roman"/>
                <w:color w:val="000000"/>
                <w:lang w:eastAsia="it-IT"/>
              </w:rPr>
              <w:t>3%</w:t>
            </w:r>
          </w:p>
        </w:tc>
        <w:tc>
          <w:tcPr>
            <w:tcW w:w="932" w:type="dxa"/>
            <w:tcBorders>
              <w:top w:val="nil"/>
              <w:left w:val="nil"/>
              <w:bottom w:val="nil"/>
              <w:right w:val="nil"/>
            </w:tcBorders>
            <w:shd w:val="clear" w:color="auto" w:fill="auto"/>
            <w:noWrap/>
            <w:vAlign w:val="bottom"/>
            <w:hideMark/>
          </w:tcPr>
          <w:p w:rsidR="002B14DE" w:rsidRPr="0033347C" w:rsidRDefault="002B14DE" w:rsidP="002B14DE">
            <w:pPr>
              <w:spacing w:after="0" w:line="240" w:lineRule="auto"/>
              <w:jc w:val="right"/>
              <w:rPr>
                <w:rFonts w:ascii="Calibri" w:eastAsia="Times New Roman" w:hAnsi="Calibri" w:cs="Times New Roman"/>
                <w:color w:val="000000"/>
                <w:lang w:eastAsia="it-IT"/>
              </w:rPr>
            </w:pPr>
            <w:r w:rsidRPr="0033347C">
              <w:rPr>
                <w:rFonts w:ascii="Calibri" w:eastAsia="Times New Roman" w:hAnsi="Calibri" w:cs="Times New Roman"/>
                <w:color w:val="000000"/>
                <w:lang w:eastAsia="it-IT"/>
              </w:rPr>
              <w:t>2%</w:t>
            </w:r>
          </w:p>
        </w:tc>
        <w:tc>
          <w:tcPr>
            <w:tcW w:w="911" w:type="dxa"/>
            <w:tcBorders>
              <w:top w:val="nil"/>
              <w:left w:val="nil"/>
              <w:bottom w:val="nil"/>
              <w:right w:val="nil"/>
            </w:tcBorders>
            <w:shd w:val="clear" w:color="auto" w:fill="auto"/>
            <w:noWrap/>
            <w:vAlign w:val="bottom"/>
            <w:hideMark/>
          </w:tcPr>
          <w:p w:rsidR="002B14DE" w:rsidRPr="0033347C" w:rsidRDefault="002B14DE" w:rsidP="002B14DE">
            <w:pPr>
              <w:spacing w:after="0" w:line="240" w:lineRule="auto"/>
              <w:jc w:val="right"/>
              <w:rPr>
                <w:rFonts w:ascii="Calibri" w:eastAsia="Times New Roman" w:hAnsi="Calibri" w:cs="Times New Roman"/>
                <w:color w:val="000000"/>
                <w:lang w:eastAsia="it-IT"/>
              </w:rPr>
            </w:pPr>
            <w:r w:rsidRPr="0033347C">
              <w:rPr>
                <w:rFonts w:ascii="Calibri" w:eastAsia="Times New Roman" w:hAnsi="Calibri" w:cs="Times New Roman"/>
                <w:color w:val="000000"/>
                <w:lang w:eastAsia="it-IT"/>
              </w:rPr>
              <w:t>0%</w:t>
            </w:r>
          </w:p>
        </w:tc>
        <w:tc>
          <w:tcPr>
            <w:tcW w:w="992" w:type="dxa"/>
            <w:tcBorders>
              <w:top w:val="nil"/>
              <w:left w:val="nil"/>
              <w:bottom w:val="nil"/>
              <w:right w:val="nil"/>
            </w:tcBorders>
            <w:shd w:val="clear" w:color="auto" w:fill="auto"/>
            <w:noWrap/>
            <w:vAlign w:val="bottom"/>
            <w:hideMark/>
          </w:tcPr>
          <w:p w:rsidR="002B14DE" w:rsidRPr="0033347C" w:rsidRDefault="002B14DE" w:rsidP="002B14DE">
            <w:pPr>
              <w:spacing w:after="0" w:line="240" w:lineRule="auto"/>
              <w:jc w:val="right"/>
              <w:rPr>
                <w:rFonts w:ascii="Calibri" w:eastAsia="Times New Roman" w:hAnsi="Calibri" w:cs="Times New Roman"/>
                <w:color w:val="000000"/>
                <w:lang w:eastAsia="it-IT"/>
              </w:rPr>
            </w:pPr>
            <w:r w:rsidRPr="0033347C">
              <w:rPr>
                <w:rFonts w:ascii="Calibri" w:eastAsia="Times New Roman" w:hAnsi="Calibri" w:cs="Times New Roman"/>
                <w:color w:val="000000"/>
                <w:lang w:eastAsia="it-IT"/>
              </w:rPr>
              <w:t>0%</w:t>
            </w:r>
          </w:p>
        </w:tc>
        <w:tc>
          <w:tcPr>
            <w:tcW w:w="851" w:type="dxa"/>
            <w:tcBorders>
              <w:top w:val="nil"/>
              <w:left w:val="nil"/>
              <w:bottom w:val="nil"/>
              <w:right w:val="nil"/>
            </w:tcBorders>
            <w:shd w:val="clear" w:color="auto" w:fill="auto"/>
            <w:noWrap/>
            <w:vAlign w:val="bottom"/>
            <w:hideMark/>
          </w:tcPr>
          <w:p w:rsidR="002B14DE" w:rsidRPr="0033347C" w:rsidRDefault="002B14DE" w:rsidP="002B14DE">
            <w:pPr>
              <w:spacing w:after="0" w:line="240" w:lineRule="auto"/>
              <w:jc w:val="right"/>
              <w:rPr>
                <w:rFonts w:ascii="Calibri" w:eastAsia="Times New Roman" w:hAnsi="Calibri" w:cs="Times New Roman"/>
                <w:color w:val="000000"/>
                <w:lang w:eastAsia="it-IT"/>
              </w:rPr>
            </w:pPr>
            <w:r w:rsidRPr="0033347C">
              <w:rPr>
                <w:rFonts w:ascii="Calibri" w:eastAsia="Times New Roman" w:hAnsi="Calibri" w:cs="Times New Roman"/>
                <w:color w:val="000000"/>
                <w:lang w:eastAsia="it-IT"/>
              </w:rPr>
              <w:t>22%</w:t>
            </w:r>
          </w:p>
        </w:tc>
      </w:tr>
      <w:tr w:rsidR="002B14DE" w:rsidRPr="0033347C" w:rsidTr="002B14DE">
        <w:trPr>
          <w:trHeight w:val="300"/>
        </w:trPr>
        <w:tc>
          <w:tcPr>
            <w:tcW w:w="2694" w:type="dxa"/>
            <w:tcBorders>
              <w:top w:val="nil"/>
              <w:left w:val="nil"/>
              <w:bottom w:val="single" w:sz="4" w:space="0" w:color="auto"/>
              <w:right w:val="nil"/>
            </w:tcBorders>
            <w:shd w:val="clear" w:color="000000" w:fill="FFFFFF"/>
            <w:noWrap/>
            <w:vAlign w:val="bottom"/>
            <w:hideMark/>
          </w:tcPr>
          <w:p w:rsidR="002B14DE" w:rsidRPr="0033347C" w:rsidRDefault="002B14DE" w:rsidP="002B14DE">
            <w:pPr>
              <w:spacing w:after="0" w:line="240" w:lineRule="auto"/>
              <w:rPr>
                <w:rFonts w:ascii="Calibri" w:eastAsia="Times New Roman" w:hAnsi="Calibri" w:cs="Times New Roman"/>
                <w:color w:val="000000"/>
                <w:lang w:eastAsia="it-IT"/>
              </w:rPr>
            </w:pPr>
            <w:r w:rsidRPr="0033347C">
              <w:rPr>
                <w:rFonts w:ascii="Calibri" w:eastAsia="Times New Roman" w:hAnsi="Calibri" w:cs="Times New Roman"/>
                <w:color w:val="000000"/>
                <w:lang w:eastAsia="it-IT"/>
              </w:rPr>
              <w:t>4. oreficeria</w:t>
            </w:r>
          </w:p>
        </w:tc>
        <w:tc>
          <w:tcPr>
            <w:tcW w:w="992" w:type="dxa"/>
            <w:tcBorders>
              <w:top w:val="nil"/>
              <w:left w:val="nil"/>
              <w:bottom w:val="single" w:sz="4" w:space="0" w:color="auto"/>
              <w:right w:val="nil"/>
            </w:tcBorders>
            <w:shd w:val="clear" w:color="auto" w:fill="auto"/>
            <w:noWrap/>
            <w:vAlign w:val="bottom"/>
            <w:hideMark/>
          </w:tcPr>
          <w:p w:rsidR="002B14DE" w:rsidRPr="0033347C" w:rsidRDefault="002B14DE" w:rsidP="002B14DE">
            <w:pPr>
              <w:spacing w:after="0" w:line="240" w:lineRule="auto"/>
              <w:jc w:val="right"/>
              <w:rPr>
                <w:rFonts w:ascii="Calibri" w:eastAsia="Times New Roman" w:hAnsi="Calibri" w:cs="Times New Roman"/>
                <w:color w:val="000000"/>
                <w:lang w:eastAsia="it-IT"/>
              </w:rPr>
            </w:pPr>
            <w:r w:rsidRPr="0033347C">
              <w:rPr>
                <w:rFonts w:ascii="Calibri" w:eastAsia="Times New Roman" w:hAnsi="Calibri" w:cs="Times New Roman"/>
                <w:color w:val="000000"/>
                <w:lang w:eastAsia="it-IT"/>
              </w:rPr>
              <w:t>5%</w:t>
            </w:r>
          </w:p>
        </w:tc>
        <w:tc>
          <w:tcPr>
            <w:tcW w:w="1029" w:type="dxa"/>
            <w:tcBorders>
              <w:top w:val="nil"/>
              <w:left w:val="nil"/>
              <w:bottom w:val="single" w:sz="4" w:space="0" w:color="auto"/>
              <w:right w:val="nil"/>
            </w:tcBorders>
            <w:shd w:val="clear" w:color="auto" w:fill="auto"/>
            <w:noWrap/>
            <w:vAlign w:val="bottom"/>
            <w:hideMark/>
          </w:tcPr>
          <w:p w:rsidR="002B14DE" w:rsidRPr="0033347C" w:rsidRDefault="002B14DE" w:rsidP="002B14DE">
            <w:pPr>
              <w:spacing w:after="0" w:line="240" w:lineRule="auto"/>
              <w:jc w:val="right"/>
              <w:rPr>
                <w:rFonts w:ascii="Calibri" w:eastAsia="Times New Roman" w:hAnsi="Calibri" w:cs="Times New Roman"/>
                <w:color w:val="000000"/>
                <w:lang w:eastAsia="it-IT"/>
              </w:rPr>
            </w:pPr>
            <w:r w:rsidRPr="0033347C">
              <w:rPr>
                <w:rFonts w:ascii="Calibri" w:eastAsia="Times New Roman" w:hAnsi="Calibri" w:cs="Times New Roman"/>
                <w:color w:val="000000"/>
                <w:lang w:eastAsia="it-IT"/>
              </w:rPr>
              <w:t>4%</w:t>
            </w:r>
          </w:p>
        </w:tc>
        <w:tc>
          <w:tcPr>
            <w:tcW w:w="672" w:type="dxa"/>
            <w:tcBorders>
              <w:top w:val="nil"/>
              <w:left w:val="nil"/>
              <w:bottom w:val="single" w:sz="4" w:space="0" w:color="auto"/>
              <w:right w:val="nil"/>
            </w:tcBorders>
            <w:shd w:val="clear" w:color="auto" w:fill="auto"/>
            <w:noWrap/>
            <w:vAlign w:val="bottom"/>
            <w:hideMark/>
          </w:tcPr>
          <w:p w:rsidR="002B14DE" w:rsidRPr="0033347C" w:rsidRDefault="002B14DE" w:rsidP="002B14DE">
            <w:pPr>
              <w:spacing w:after="0" w:line="240" w:lineRule="auto"/>
              <w:jc w:val="right"/>
              <w:rPr>
                <w:rFonts w:ascii="Calibri" w:eastAsia="Times New Roman" w:hAnsi="Calibri" w:cs="Times New Roman"/>
                <w:color w:val="000000"/>
                <w:lang w:eastAsia="it-IT"/>
              </w:rPr>
            </w:pPr>
            <w:r w:rsidRPr="0033347C">
              <w:rPr>
                <w:rFonts w:ascii="Calibri" w:eastAsia="Times New Roman" w:hAnsi="Calibri" w:cs="Times New Roman"/>
                <w:color w:val="000000"/>
                <w:lang w:eastAsia="it-IT"/>
              </w:rPr>
              <w:t>1%</w:t>
            </w:r>
          </w:p>
        </w:tc>
        <w:tc>
          <w:tcPr>
            <w:tcW w:w="992" w:type="dxa"/>
            <w:tcBorders>
              <w:top w:val="nil"/>
              <w:left w:val="nil"/>
              <w:bottom w:val="single" w:sz="4" w:space="0" w:color="auto"/>
              <w:right w:val="nil"/>
            </w:tcBorders>
            <w:shd w:val="clear" w:color="auto" w:fill="auto"/>
            <w:noWrap/>
            <w:vAlign w:val="bottom"/>
            <w:hideMark/>
          </w:tcPr>
          <w:p w:rsidR="002B14DE" w:rsidRPr="0033347C" w:rsidRDefault="002B14DE" w:rsidP="002B14DE">
            <w:pPr>
              <w:spacing w:after="0" w:line="240" w:lineRule="auto"/>
              <w:jc w:val="right"/>
              <w:rPr>
                <w:rFonts w:ascii="Calibri" w:eastAsia="Times New Roman" w:hAnsi="Calibri" w:cs="Times New Roman"/>
                <w:color w:val="000000"/>
                <w:lang w:eastAsia="it-IT"/>
              </w:rPr>
            </w:pPr>
            <w:r w:rsidRPr="0033347C">
              <w:rPr>
                <w:rFonts w:ascii="Calibri" w:eastAsia="Times New Roman" w:hAnsi="Calibri" w:cs="Times New Roman"/>
                <w:color w:val="000000"/>
                <w:lang w:eastAsia="it-IT"/>
              </w:rPr>
              <w:t>2%</w:t>
            </w:r>
          </w:p>
        </w:tc>
        <w:tc>
          <w:tcPr>
            <w:tcW w:w="932" w:type="dxa"/>
            <w:tcBorders>
              <w:top w:val="nil"/>
              <w:left w:val="nil"/>
              <w:bottom w:val="single" w:sz="4" w:space="0" w:color="auto"/>
              <w:right w:val="nil"/>
            </w:tcBorders>
            <w:shd w:val="clear" w:color="auto" w:fill="auto"/>
            <w:noWrap/>
            <w:vAlign w:val="bottom"/>
            <w:hideMark/>
          </w:tcPr>
          <w:p w:rsidR="002B14DE" w:rsidRPr="0033347C" w:rsidRDefault="002B14DE" w:rsidP="002B14DE">
            <w:pPr>
              <w:spacing w:after="0" w:line="240" w:lineRule="auto"/>
              <w:jc w:val="right"/>
              <w:rPr>
                <w:rFonts w:ascii="Calibri" w:eastAsia="Times New Roman" w:hAnsi="Calibri" w:cs="Times New Roman"/>
                <w:color w:val="000000"/>
                <w:lang w:eastAsia="it-IT"/>
              </w:rPr>
            </w:pPr>
            <w:r w:rsidRPr="0033347C">
              <w:rPr>
                <w:rFonts w:ascii="Calibri" w:eastAsia="Times New Roman" w:hAnsi="Calibri" w:cs="Times New Roman"/>
                <w:color w:val="000000"/>
                <w:lang w:eastAsia="it-IT"/>
              </w:rPr>
              <w:t>1%</w:t>
            </w:r>
          </w:p>
        </w:tc>
        <w:tc>
          <w:tcPr>
            <w:tcW w:w="911" w:type="dxa"/>
            <w:tcBorders>
              <w:top w:val="nil"/>
              <w:left w:val="nil"/>
              <w:bottom w:val="single" w:sz="4" w:space="0" w:color="auto"/>
              <w:right w:val="nil"/>
            </w:tcBorders>
            <w:shd w:val="clear" w:color="auto" w:fill="auto"/>
            <w:noWrap/>
            <w:vAlign w:val="bottom"/>
            <w:hideMark/>
          </w:tcPr>
          <w:p w:rsidR="002B14DE" w:rsidRPr="0033347C" w:rsidRDefault="002B14DE" w:rsidP="002B14DE">
            <w:pPr>
              <w:spacing w:after="0" w:line="240" w:lineRule="auto"/>
              <w:jc w:val="right"/>
              <w:rPr>
                <w:rFonts w:ascii="Calibri" w:eastAsia="Times New Roman" w:hAnsi="Calibri" w:cs="Times New Roman"/>
                <w:color w:val="000000"/>
                <w:lang w:eastAsia="it-IT"/>
              </w:rPr>
            </w:pPr>
            <w:r w:rsidRPr="0033347C">
              <w:rPr>
                <w:rFonts w:ascii="Calibri" w:eastAsia="Times New Roman" w:hAnsi="Calibri" w:cs="Times New Roman"/>
                <w:color w:val="000000"/>
                <w:lang w:eastAsia="it-IT"/>
              </w:rPr>
              <w:t>1%</w:t>
            </w:r>
          </w:p>
        </w:tc>
        <w:tc>
          <w:tcPr>
            <w:tcW w:w="992" w:type="dxa"/>
            <w:tcBorders>
              <w:top w:val="nil"/>
              <w:left w:val="nil"/>
              <w:bottom w:val="single" w:sz="4" w:space="0" w:color="auto"/>
              <w:right w:val="nil"/>
            </w:tcBorders>
            <w:shd w:val="clear" w:color="auto" w:fill="auto"/>
            <w:noWrap/>
            <w:vAlign w:val="bottom"/>
            <w:hideMark/>
          </w:tcPr>
          <w:p w:rsidR="002B14DE" w:rsidRPr="0033347C" w:rsidRDefault="002B14DE" w:rsidP="002B14DE">
            <w:pPr>
              <w:spacing w:after="0" w:line="240" w:lineRule="auto"/>
              <w:jc w:val="right"/>
              <w:rPr>
                <w:rFonts w:ascii="Calibri" w:eastAsia="Times New Roman" w:hAnsi="Calibri" w:cs="Times New Roman"/>
                <w:color w:val="000000"/>
                <w:lang w:eastAsia="it-IT"/>
              </w:rPr>
            </w:pPr>
            <w:r w:rsidRPr="0033347C">
              <w:rPr>
                <w:rFonts w:ascii="Calibri" w:eastAsia="Times New Roman" w:hAnsi="Calibri" w:cs="Times New Roman"/>
                <w:color w:val="000000"/>
                <w:lang w:eastAsia="it-IT"/>
              </w:rPr>
              <w:t>2%</w:t>
            </w:r>
          </w:p>
        </w:tc>
        <w:tc>
          <w:tcPr>
            <w:tcW w:w="851" w:type="dxa"/>
            <w:tcBorders>
              <w:top w:val="nil"/>
              <w:left w:val="nil"/>
              <w:bottom w:val="single" w:sz="4" w:space="0" w:color="auto"/>
              <w:right w:val="nil"/>
            </w:tcBorders>
            <w:shd w:val="clear" w:color="auto" w:fill="auto"/>
            <w:noWrap/>
            <w:vAlign w:val="bottom"/>
            <w:hideMark/>
          </w:tcPr>
          <w:p w:rsidR="002B14DE" w:rsidRPr="0033347C" w:rsidRDefault="002B14DE" w:rsidP="002B14DE">
            <w:pPr>
              <w:spacing w:after="0" w:line="240" w:lineRule="auto"/>
              <w:jc w:val="right"/>
              <w:rPr>
                <w:rFonts w:ascii="Calibri" w:eastAsia="Times New Roman" w:hAnsi="Calibri" w:cs="Times New Roman"/>
                <w:color w:val="000000"/>
                <w:lang w:eastAsia="it-IT"/>
              </w:rPr>
            </w:pPr>
            <w:r w:rsidRPr="0033347C">
              <w:rPr>
                <w:rFonts w:ascii="Calibri" w:eastAsia="Times New Roman" w:hAnsi="Calibri" w:cs="Times New Roman"/>
                <w:color w:val="000000"/>
                <w:lang w:eastAsia="it-IT"/>
              </w:rPr>
              <w:t>15%</w:t>
            </w:r>
          </w:p>
        </w:tc>
      </w:tr>
      <w:tr w:rsidR="002B14DE" w:rsidRPr="0033347C" w:rsidTr="002B14DE">
        <w:trPr>
          <w:trHeight w:val="300"/>
        </w:trPr>
        <w:tc>
          <w:tcPr>
            <w:tcW w:w="2694" w:type="dxa"/>
            <w:tcBorders>
              <w:top w:val="single" w:sz="4" w:space="0" w:color="auto"/>
              <w:left w:val="nil"/>
              <w:bottom w:val="single" w:sz="4" w:space="0" w:color="auto"/>
              <w:right w:val="nil"/>
            </w:tcBorders>
            <w:shd w:val="clear" w:color="000000" w:fill="FFFFFF"/>
            <w:noWrap/>
            <w:vAlign w:val="bottom"/>
          </w:tcPr>
          <w:p w:rsidR="002B14DE" w:rsidRPr="0033347C" w:rsidRDefault="002B14DE" w:rsidP="002B14DE">
            <w:pPr>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Totale complessivo</w:t>
            </w:r>
          </w:p>
        </w:tc>
        <w:tc>
          <w:tcPr>
            <w:tcW w:w="992" w:type="dxa"/>
            <w:tcBorders>
              <w:top w:val="nil"/>
              <w:left w:val="nil"/>
              <w:bottom w:val="nil"/>
              <w:right w:val="nil"/>
            </w:tcBorders>
            <w:shd w:val="clear" w:color="auto" w:fill="auto"/>
            <w:noWrap/>
            <w:vAlign w:val="bottom"/>
          </w:tcPr>
          <w:p w:rsidR="002B14DE" w:rsidRDefault="002B14DE" w:rsidP="002B14DE">
            <w:pPr>
              <w:jc w:val="right"/>
              <w:rPr>
                <w:rFonts w:ascii="Calibri" w:hAnsi="Calibri"/>
                <w:color w:val="000000"/>
              </w:rPr>
            </w:pPr>
            <w:r>
              <w:rPr>
                <w:rFonts w:ascii="Calibri" w:hAnsi="Calibri"/>
                <w:color w:val="000000"/>
              </w:rPr>
              <w:t>5%</w:t>
            </w:r>
          </w:p>
        </w:tc>
        <w:tc>
          <w:tcPr>
            <w:tcW w:w="1029" w:type="dxa"/>
            <w:tcBorders>
              <w:top w:val="nil"/>
              <w:left w:val="nil"/>
              <w:bottom w:val="nil"/>
              <w:right w:val="nil"/>
            </w:tcBorders>
            <w:shd w:val="clear" w:color="auto" w:fill="auto"/>
            <w:noWrap/>
            <w:vAlign w:val="bottom"/>
          </w:tcPr>
          <w:p w:rsidR="002B14DE" w:rsidRDefault="002B14DE" w:rsidP="002B14DE">
            <w:pPr>
              <w:jc w:val="right"/>
              <w:rPr>
                <w:rFonts w:ascii="Calibri" w:hAnsi="Calibri"/>
                <w:color w:val="000000"/>
              </w:rPr>
            </w:pPr>
            <w:r>
              <w:rPr>
                <w:rFonts w:ascii="Calibri" w:hAnsi="Calibri"/>
                <w:color w:val="000000"/>
              </w:rPr>
              <w:t>4%</w:t>
            </w:r>
          </w:p>
        </w:tc>
        <w:tc>
          <w:tcPr>
            <w:tcW w:w="672" w:type="dxa"/>
            <w:tcBorders>
              <w:top w:val="nil"/>
              <w:left w:val="nil"/>
              <w:bottom w:val="nil"/>
              <w:right w:val="nil"/>
            </w:tcBorders>
            <w:shd w:val="clear" w:color="auto" w:fill="auto"/>
            <w:noWrap/>
            <w:vAlign w:val="bottom"/>
          </w:tcPr>
          <w:p w:rsidR="002B14DE" w:rsidRDefault="002B14DE" w:rsidP="002B14DE">
            <w:pPr>
              <w:jc w:val="right"/>
              <w:rPr>
                <w:rFonts w:ascii="Calibri" w:hAnsi="Calibri"/>
                <w:color w:val="000000"/>
              </w:rPr>
            </w:pPr>
            <w:r>
              <w:rPr>
                <w:rFonts w:ascii="Calibri" w:hAnsi="Calibri"/>
                <w:color w:val="000000"/>
              </w:rPr>
              <w:t>1%</w:t>
            </w:r>
          </w:p>
        </w:tc>
        <w:tc>
          <w:tcPr>
            <w:tcW w:w="992" w:type="dxa"/>
            <w:tcBorders>
              <w:top w:val="nil"/>
              <w:left w:val="nil"/>
              <w:bottom w:val="nil"/>
              <w:right w:val="nil"/>
            </w:tcBorders>
            <w:shd w:val="clear" w:color="auto" w:fill="auto"/>
            <w:noWrap/>
            <w:vAlign w:val="bottom"/>
          </w:tcPr>
          <w:p w:rsidR="002B14DE" w:rsidRDefault="002B14DE" w:rsidP="002B14DE">
            <w:pPr>
              <w:jc w:val="right"/>
              <w:rPr>
                <w:rFonts w:ascii="Calibri" w:hAnsi="Calibri"/>
                <w:color w:val="000000"/>
              </w:rPr>
            </w:pPr>
            <w:r>
              <w:rPr>
                <w:rFonts w:ascii="Calibri" w:hAnsi="Calibri"/>
                <w:color w:val="000000"/>
              </w:rPr>
              <w:t>2%</w:t>
            </w:r>
          </w:p>
        </w:tc>
        <w:tc>
          <w:tcPr>
            <w:tcW w:w="932" w:type="dxa"/>
            <w:tcBorders>
              <w:top w:val="nil"/>
              <w:left w:val="nil"/>
              <w:bottom w:val="nil"/>
              <w:right w:val="nil"/>
            </w:tcBorders>
            <w:shd w:val="clear" w:color="auto" w:fill="auto"/>
            <w:noWrap/>
            <w:vAlign w:val="bottom"/>
          </w:tcPr>
          <w:p w:rsidR="002B14DE" w:rsidRDefault="002B14DE" w:rsidP="002B14DE">
            <w:pPr>
              <w:jc w:val="right"/>
              <w:rPr>
                <w:rFonts w:ascii="Calibri" w:hAnsi="Calibri"/>
                <w:color w:val="000000"/>
              </w:rPr>
            </w:pPr>
            <w:r>
              <w:rPr>
                <w:rFonts w:ascii="Calibri" w:hAnsi="Calibri"/>
                <w:color w:val="000000"/>
              </w:rPr>
              <w:t>1%</w:t>
            </w:r>
          </w:p>
        </w:tc>
        <w:tc>
          <w:tcPr>
            <w:tcW w:w="911" w:type="dxa"/>
            <w:tcBorders>
              <w:top w:val="nil"/>
              <w:left w:val="nil"/>
              <w:bottom w:val="nil"/>
              <w:right w:val="nil"/>
            </w:tcBorders>
            <w:shd w:val="clear" w:color="auto" w:fill="auto"/>
            <w:noWrap/>
            <w:vAlign w:val="bottom"/>
          </w:tcPr>
          <w:p w:rsidR="002B14DE" w:rsidRDefault="002B14DE" w:rsidP="002B14DE">
            <w:pPr>
              <w:jc w:val="right"/>
              <w:rPr>
                <w:rFonts w:ascii="Calibri" w:hAnsi="Calibri"/>
                <w:color w:val="000000"/>
              </w:rPr>
            </w:pPr>
            <w:r>
              <w:rPr>
                <w:rFonts w:ascii="Calibri" w:hAnsi="Calibri"/>
                <w:color w:val="000000"/>
              </w:rPr>
              <w:t>1%</w:t>
            </w:r>
          </w:p>
        </w:tc>
        <w:tc>
          <w:tcPr>
            <w:tcW w:w="992" w:type="dxa"/>
            <w:tcBorders>
              <w:top w:val="nil"/>
              <w:left w:val="nil"/>
              <w:bottom w:val="nil"/>
              <w:right w:val="nil"/>
            </w:tcBorders>
            <w:shd w:val="clear" w:color="auto" w:fill="auto"/>
            <w:noWrap/>
            <w:vAlign w:val="bottom"/>
          </w:tcPr>
          <w:p w:rsidR="002B14DE" w:rsidRDefault="002B14DE" w:rsidP="002B14DE">
            <w:pPr>
              <w:jc w:val="right"/>
              <w:rPr>
                <w:rFonts w:ascii="Calibri" w:hAnsi="Calibri"/>
                <w:color w:val="000000"/>
              </w:rPr>
            </w:pPr>
            <w:r>
              <w:rPr>
                <w:rFonts w:ascii="Calibri" w:hAnsi="Calibri"/>
                <w:color w:val="000000"/>
              </w:rPr>
              <w:t>2%</w:t>
            </w:r>
          </w:p>
        </w:tc>
        <w:tc>
          <w:tcPr>
            <w:tcW w:w="851" w:type="dxa"/>
            <w:tcBorders>
              <w:top w:val="nil"/>
              <w:left w:val="nil"/>
              <w:bottom w:val="nil"/>
              <w:right w:val="nil"/>
            </w:tcBorders>
            <w:shd w:val="clear" w:color="auto" w:fill="auto"/>
            <w:noWrap/>
            <w:vAlign w:val="bottom"/>
          </w:tcPr>
          <w:p w:rsidR="002B14DE" w:rsidRDefault="002B14DE" w:rsidP="002B14DE">
            <w:pPr>
              <w:jc w:val="right"/>
              <w:rPr>
                <w:rFonts w:ascii="Calibri" w:hAnsi="Calibri"/>
                <w:color w:val="000000"/>
              </w:rPr>
            </w:pPr>
            <w:r>
              <w:rPr>
                <w:rFonts w:ascii="Calibri" w:hAnsi="Calibri"/>
                <w:color w:val="000000"/>
              </w:rPr>
              <w:t>16%</w:t>
            </w:r>
          </w:p>
        </w:tc>
      </w:tr>
      <w:tr w:rsidR="002B14DE" w:rsidRPr="0033347C" w:rsidTr="002B14DE">
        <w:trPr>
          <w:trHeight w:val="300"/>
        </w:trPr>
        <w:tc>
          <w:tcPr>
            <w:tcW w:w="2694" w:type="dxa"/>
            <w:tcBorders>
              <w:top w:val="single" w:sz="4" w:space="0" w:color="auto"/>
              <w:left w:val="nil"/>
              <w:bottom w:val="single" w:sz="4" w:space="0" w:color="auto"/>
              <w:right w:val="nil"/>
            </w:tcBorders>
            <w:shd w:val="clear" w:color="000000" w:fill="FFFFFF"/>
            <w:noWrap/>
            <w:vAlign w:val="bottom"/>
            <w:hideMark/>
          </w:tcPr>
          <w:p w:rsidR="002B14DE" w:rsidRPr="0033347C" w:rsidRDefault="002B14DE" w:rsidP="002B14DE">
            <w:pPr>
              <w:spacing w:after="0" w:line="240" w:lineRule="auto"/>
              <w:rPr>
                <w:rFonts w:ascii="Calibri" w:eastAsia="Times New Roman" w:hAnsi="Calibri" w:cs="Times New Roman"/>
                <w:color w:val="000000"/>
                <w:lang w:eastAsia="it-IT"/>
              </w:rPr>
            </w:pPr>
            <w:r w:rsidRPr="0033347C">
              <w:rPr>
                <w:rFonts w:ascii="Calibri" w:eastAsia="Times New Roman" w:hAnsi="Calibri" w:cs="Times New Roman"/>
                <w:color w:val="000000"/>
                <w:lang w:eastAsia="it-IT"/>
              </w:rPr>
              <w:t>Totale complessivo</w:t>
            </w:r>
            <w:r>
              <w:rPr>
                <w:rFonts w:ascii="Calibri" w:eastAsia="Times New Roman" w:hAnsi="Calibri" w:cs="Times New Roman"/>
                <w:color w:val="000000"/>
                <w:lang w:eastAsia="it-IT"/>
              </w:rPr>
              <w:t xml:space="preserve"> (v.a.)</w:t>
            </w:r>
          </w:p>
        </w:tc>
        <w:tc>
          <w:tcPr>
            <w:tcW w:w="992" w:type="dxa"/>
            <w:tcBorders>
              <w:top w:val="single" w:sz="4" w:space="0" w:color="auto"/>
              <w:left w:val="nil"/>
              <w:bottom w:val="single" w:sz="4" w:space="0" w:color="auto"/>
              <w:right w:val="nil"/>
            </w:tcBorders>
            <w:shd w:val="clear" w:color="auto" w:fill="auto"/>
            <w:noWrap/>
            <w:vAlign w:val="bottom"/>
            <w:hideMark/>
          </w:tcPr>
          <w:p w:rsidR="002B14DE" w:rsidRPr="0033347C" w:rsidRDefault="002B14DE" w:rsidP="002B14DE">
            <w:pPr>
              <w:spacing w:after="0" w:line="240" w:lineRule="auto"/>
              <w:jc w:val="right"/>
              <w:rPr>
                <w:rFonts w:ascii="Calibri" w:eastAsia="Times New Roman" w:hAnsi="Calibri" w:cs="Times New Roman"/>
                <w:color w:val="000000"/>
                <w:lang w:eastAsia="it-IT"/>
              </w:rPr>
            </w:pPr>
            <w:r w:rsidRPr="0033347C">
              <w:rPr>
                <w:rFonts w:ascii="Calibri" w:eastAsia="Times New Roman" w:hAnsi="Calibri" w:cs="Times New Roman"/>
                <w:color w:val="000000"/>
                <w:lang w:eastAsia="it-IT"/>
              </w:rPr>
              <w:t>109</w:t>
            </w:r>
          </w:p>
        </w:tc>
        <w:tc>
          <w:tcPr>
            <w:tcW w:w="1029" w:type="dxa"/>
            <w:tcBorders>
              <w:top w:val="single" w:sz="4" w:space="0" w:color="auto"/>
              <w:left w:val="nil"/>
              <w:bottom w:val="single" w:sz="4" w:space="0" w:color="auto"/>
              <w:right w:val="nil"/>
            </w:tcBorders>
            <w:shd w:val="clear" w:color="auto" w:fill="auto"/>
            <w:noWrap/>
            <w:vAlign w:val="bottom"/>
            <w:hideMark/>
          </w:tcPr>
          <w:p w:rsidR="002B14DE" w:rsidRPr="0033347C" w:rsidRDefault="002B14DE" w:rsidP="002B14DE">
            <w:pPr>
              <w:spacing w:after="0" w:line="240" w:lineRule="auto"/>
              <w:jc w:val="right"/>
              <w:rPr>
                <w:rFonts w:ascii="Calibri" w:eastAsia="Times New Roman" w:hAnsi="Calibri" w:cs="Times New Roman"/>
                <w:color w:val="000000"/>
                <w:lang w:eastAsia="it-IT"/>
              </w:rPr>
            </w:pPr>
            <w:r w:rsidRPr="0033347C">
              <w:rPr>
                <w:rFonts w:ascii="Calibri" w:eastAsia="Times New Roman" w:hAnsi="Calibri" w:cs="Times New Roman"/>
                <w:color w:val="000000"/>
                <w:lang w:eastAsia="it-IT"/>
              </w:rPr>
              <w:t>75</w:t>
            </w:r>
          </w:p>
        </w:tc>
        <w:tc>
          <w:tcPr>
            <w:tcW w:w="672" w:type="dxa"/>
            <w:tcBorders>
              <w:top w:val="single" w:sz="4" w:space="0" w:color="auto"/>
              <w:left w:val="nil"/>
              <w:bottom w:val="single" w:sz="4" w:space="0" w:color="auto"/>
              <w:right w:val="nil"/>
            </w:tcBorders>
            <w:shd w:val="clear" w:color="auto" w:fill="auto"/>
            <w:noWrap/>
            <w:vAlign w:val="bottom"/>
            <w:hideMark/>
          </w:tcPr>
          <w:p w:rsidR="002B14DE" w:rsidRPr="0033347C" w:rsidRDefault="002B14DE" w:rsidP="002B14DE">
            <w:pPr>
              <w:spacing w:after="0" w:line="240" w:lineRule="auto"/>
              <w:jc w:val="right"/>
              <w:rPr>
                <w:rFonts w:ascii="Calibri" w:eastAsia="Times New Roman" w:hAnsi="Calibri" w:cs="Times New Roman"/>
                <w:color w:val="000000"/>
                <w:lang w:eastAsia="it-IT"/>
              </w:rPr>
            </w:pPr>
            <w:r w:rsidRPr="0033347C">
              <w:rPr>
                <w:rFonts w:ascii="Calibri" w:eastAsia="Times New Roman" w:hAnsi="Calibri" w:cs="Times New Roman"/>
                <w:color w:val="000000"/>
                <w:lang w:eastAsia="it-IT"/>
              </w:rPr>
              <w:t>28</w:t>
            </w:r>
          </w:p>
        </w:tc>
        <w:tc>
          <w:tcPr>
            <w:tcW w:w="992" w:type="dxa"/>
            <w:tcBorders>
              <w:top w:val="single" w:sz="4" w:space="0" w:color="auto"/>
              <w:left w:val="nil"/>
              <w:bottom w:val="single" w:sz="4" w:space="0" w:color="auto"/>
              <w:right w:val="nil"/>
            </w:tcBorders>
            <w:shd w:val="clear" w:color="auto" w:fill="auto"/>
            <w:noWrap/>
            <w:vAlign w:val="bottom"/>
            <w:hideMark/>
          </w:tcPr>
          <w:p w:rsidR="002B14DE" w:rsidRPr="0033347C" w:rsidRDefault="002B14DE" w:rsidP="002B14DE">
            <w:pPr>
              <w:spacing w:after="0" w:line="240" w:lineRule="auto"/>
              <w:jc w:val="right"/>
              <w:rPr>
                <w:rFonts w:ascii="Calibri" w:eastAsia="Times New Roman" w:hAnsi="Calibri" w:cs="Times New Roman"/>
                <w:color w:val="000000"/>
                <w:lang w:eastAsia="it-IT"/>
              </w:rPr>
            </w:pPr>
            <w:r w:rsidRPr="0033347C">
              <w:rPr>
                <w:rFonts w:ascii="Calibri" w:eastAsia="Times New Roman" w:hAnsi="Calibri" w:cs="Times New Roman"/>
                <w:color w:val="000000"/>
                <w:lang w:eastAsia="it-IT"/>
              </w:rPr>
              <w:t>33</w:t>
            </w:r>
          </w:p>
        </w:tc>
        <w:tc>
          <w:tcPr>
            <w:tcW w:w="932" w:type="dxa"/>
            <w:tcBorders>
              <w:top w:val="single" w:sz="4" w:space="0" w:color="auto"/>
              <w:left w:val="nil"/>
              <w:bottom w:val="single" w:sz="4" w:space="0" w:color="auto"/>
              <w:right w:val="nil"/>
            </w:tcBorders>
            <w:shd w:val="clear" w:color="auto" w:fill="auto"/>
            <w:noWrap/>
            <w:vAlign w:val="bottom"/>
            <w:hideMark/>
          </w:tcPr>
          <w:p w:rsidR="002B14DE" w:rsidRPr="0033347C" w:rsidRDefault="002B14DE" w:rsidP="002B14DE">
            <w:pPr>
              <w:spacing w:after="0" w:line="240" w:lineRule="auto"/>
              <w:jc w:val="right"/>
              <w:rPr>
                <w:rFonts w:ascii="Calibri" w:eastAsia="Times New Roman" w:hAnsi="Calibri" w:cs="Times New Roman"/>
                <w:color w:val="000000"/>
                <w:lang w:eastAsia="it-IT"/>
              </w:rPr>
            </w:pPr>
            <w:r w:rsidRPr="0033347C">
              <w:rPr>
                <w:rFonts w:ascii="Calibri" w:eastAsia="Times New Roman" w:hAnsi="Calibri" w:cs="Times New Roman"/>
                <w:color w:val="000000"/>
                <w:lang w:eastAsia="it-IT"/>
              </w:rPr>
              <w:t>24</w:t>
            </w:r>
          </w:p>
        </w:tc>
        <w:tc>
          <w:tcPr>
            <w:tcW w:w="911" w:type="dxa"/>
            <w:tcBorders>
              <w:top w:val="single" w:sz="4" w:space="0" w:color="auto"/>
              <w:left w:val="nil"/>
              <w:bottom w:val="single" w:sz="4" w:space="0" w:color="auto"/>
              <w:right w:val="nil"/>
            </w:tcBorders>
            <w:shd w:val="clear" w:color="auto" w:fill="auto"/>
            <w:noWrap/>
            <w:vAlign w:val="bottom"/>
            <w:hideMark/>
          </w:tcPr>
          <w:p w:rsidR="002B14DE" w:rsidRPr="0033347C" w:rsidRDefault="002B14DE" w:rsidP="002B14DE">
            <w:pPr>
              <w:spacing w:after="0" w:line="240" w:lineRule="auto"/>
              <w:jc w:val="right"/>
              <w:rPr>
                <w:rFonts w:ascii="Calibri" w:eastAsia="Times New Roman" w:hAnsi="Calibri" w:cs="Times New Roman"/>
                <w:color w:val="000000"/>
                <w:lang w:eastAsia="it-IT"/>
              </w:rPr>
            </w:pPr>
            <w:r w:rsidRPr="0033347C">
              <w:rPr>
                <w:rFonts w:ascii="Calibri" w:eastAsia="Times New Roman" w:hAnsi="Calibri" w:cs="Times New Roman"/>
                <w:color w:val="000000"/>
                <w:lang w:eastAsia="it-IT"/>
              </w:rPr>
              <w:t>21</w:t>
            </w:r>
          </w:p>
        </w:tc>
        <w:tc>
          <w:tcPr>
            <w:tcW w:w="992" w:type="dxa"/>
            <w:tcBorders>
              <w:top w:val="single" w:sz="4" w:space="0" w:color="auto"/>
              <w:left w:val="nil"/>
              <w:bottom w:val="single" w:sz="4" w:space="0" w:color="auto"/>
              <w:right w:val="nil"/>
            </w:tcBorders>
            <w:shd w:val="clear" w:color="auto" w:fill="auto"/>
            <w:noWrap/>
            <w:vAlign w:val="bottom"/>
            <w:hideMark/>
          </w:tcPr>
          <w:p w:rsidR="002B14DE" w:rsidRPr="0033347C" w:rsidRDefault="002B14DE" w:rsidP="002B14DE">
            <w:pPr>
              <w:spacing w:after="0" w:line="240" w:lineRule="auto"/>
              <w:jc w:val="right"/>
              <w:rPr>
                <w:rFonts w:ascii="Calibri" w:eastAsia="Times New Roman" w:hAnsi="Calibri" w:cs="Times New Roman"/>
                <w:color w:val="000000"/>
                <w:lang w:eastAsia="it-IT"/>
              </w:rPr>
            </w:pPr>
            <w:r w:rsidRPr="0033347C">
              <w:rPr>
                <w:rFonts w:ascii="Calibri" w:eastAsia="Times New Roman" w:hAnsi="Calibri" w:cs="Times New Roman"/>
                <w:color w:val="000000"/>
                <w:lang w:eastAsia="it-IT"/>
              </w:rPr>
              <w:t>44</w:t>
            </w:r>
          </w:p>
        </w:tc>
        <w:tc>
          <w:tcPr>
            <w:tcW w:w="851" w:type="dxa"/>
            <w:tcBorders>
              <w:top w:val="single" w:sz="4" w:space="0" w:color="auto"/>
              <w:left w:val="nil"/>
              <w:bottom w:val="single" w:sz="4" w:space="0" w:color="auto"/>
              <w:right w:val="nil"/>
            </w:tcBorders>
            <w:shd w:val="clear" w:color="auto" w:fill="auto"/>
            <w:noWrap/>
            <w:vAlign w:val="bottom"/>
            <w:hideMark/>
          </w:tcPr>
          <w:p w:rsidR="002B14DE" w:rsidRPr="0033347C" w:rsidRDefault="002B14DE" w:rsidP="002B14DE">
            <w:pPr>
              <w:spacing w:after="0" w:line="240" w:lineRule="auto"/>
              <w:jc w:val="right"/>
              <w:rPr>
                <w:rFonts w:ascii="Calibri" w:eastAsia="Times New Roman" w:hAnsi="Calibri" w:cs="Times New Roman"/>
                <w:color w:val="000000"/>
                <w:lang w:eastAsia="it-IT"/>
              </w:rPr>
            </w:pPr>
            <w:r w:rsidRPr="0033347C">
              <w:rPr>
                <w:rFonts w:ascii="Calibri" w:eastAsia="Times New Roman" w:hAnsi="Calibri" w:cs="Times New Roman"/>
                <w:color w:val="000000"/>
                <w:lang w:eastAsia="it-IT"/>
              </w:rPr>
              <w:t>334</w:t>
            </w:r>
          </w:p>
        </w:tc>
      </w:tr>
    </w:tbl>
    <w:p w:rsidR="002B14DE" w:rsidRDefault="002B14DE" w:rsidP="002B14DE">
      <w:pPr>
        <w:rPr>
          <w:sz w:val="24"/>
          <w:szCs w:val="24"/>
        </w:rPr>
      </w:pPr>
    </w:p>
    <w:p w:rsidR="002B14DE" w:rsidRDefault="002B14DE" w:rsidP="002B14DE">
      <w:pPr>
        <w:jc w:val="both"/>
        <w:rPr>
          <w:sz w:val="24"/>
          <w:szCs w:val="24"/>
        </w:rPr>
      </w:pPr>
      <w:r>
        <w:rPr>
          <w:sz w:val="24"/>
          <w:szCs w:val="24"/>
        </w:rPr>
        <w:t>La composizione per classi di età dei dipendenti dell’artigianato orafo aretino è leggermente più giovane di quella media regionale dell’artigianato, e si basa fondamentalmente sui nati negli anni Settanta (dunque, grosso modo, i quarantenni), che costituiscono il 36% del totale degli addetti, seguiti dai nati negli anni Ottanta (24%) e dai nati negli anni Sessanta (21%). Come si vede dalla tabella che segue, rispetto alla media del settore artigiano sono di più i nati negli anni Settanta (36% invece di 29%) e Novanta (13% invece di 12%) a scapito di quelli nati negli anni Ottanta (24% invece di 26%), Sessanta (21% invece di 24%) e Cinquanta (4% invece di 8%).</w:t>
      </w:r>
    </w:p>
    <w:p w:rsidR="002B14DE" w:rsidRPr="0010314C" w:rsidRDefault="00CD214C" w:rsidP="002B14DE">
      <w:pPr>
        <w:rPr>
          <w:i/>
          <w:sz w:val="24"/>
          <w:szCs w:val="24"/>
        </w:rPr>
      </w:pPr>
      <w:proofErr w:type="spellStart"/>
      <w:r>
        <w:rPr>
          <w:i/>
          <w:sz w:val="24"/>
          <w:szCs w:val="24"/>
        </w:rPr>
        <w:t>Tab</w:t>
      </w:r>
      <w:proofErr w:type="spellEnd"/>
      <w:r>
        <w:rPr>
          <w:i/>
          <w:sz w:val="24"/>
          <w:szCs w:val="24"/>
        </w:rPr>
        <w:t xml:space="preserve">. 2.5 </w:t>
      </w:r>
      <w:r w:rsidR="002B14DE" w:rsidRPr="0010314C">
        <w:rPr>
          <w:i/>
          <w:sz w:val="24"/>
          <w:szCs w:val="24"/>
        </w:rPr>
        <w:t>Addetti per decade di nascita</w:t>
      </w:r>
    </w:p>
    <w:tbl>
      <w:tblPr>
        <w:tblW w:w="9393" w:type="dxa"/>
        <w:tblCellMar>
          <w:left w:w="70" w:type="dxa"/>
          <w:right w:w="70" w:type="dxa"/>
        </w:tblCellMar>
        <w:tblLook w:val="04A0" w:firstRow="1" w:lastRow="0" w:firstColumn="1" w:lastColumn="0" w:noHBand="0" w:noVBand="1"/>
      </w:tblPr>
      <w:tblGrid>
        <w:gridCol w:w="3633"/>
        <w:gridCol w:w="960"/>
        <w:gridCol w:w="960"/>
        <w:gridCol w:w="960"/>
        <w:gridCol w:w="960"/>
        <w:gridCol w:w="960"/>
        <w:gridCol w:w="960"/>
      </w:tblGrid>
      <w:tr w:rsidR="002B14DE" w:rsidRPr="00F23F2A" w:rsidTr="002B14DE">
        <w:trPr>
          <w:trHeight w:val="300"/>
        </w:trPr>
        <w:tc>
          <w:tcPr>
            <w:tcW w:w="3633" w:type="dxa"/>
            <w:tcBorders>
              <w:top w:val="single" w:sz="4" w:space="0" w:color="auto"/>
              <w:left w:val="nil"/>
              <w:bottom w:val="single" w:sz="4" w:space="0" w:color="auto"/>
              <w:right w:val="nil"/>
            </w:tcBorders>
            <w:shd w:val="clear" w:color="auto" w:fill="auto"/>
            <w:noWrap/>
            <w:vAlign w:val="bottom"/>
            <w:hideMark/>
          </w:tcPr>
          <w:p w:rsidR="002B14DE" w:rsidRPr="00F23F2A" w:rsidRDefault="002B14DE" w:rsidP="002B14DE">
            <w:pPr>
              <w:spacing w:after="0" w:line="240" w:lineRule="auto"/>
              <w:rPr>
                <w:rFonts w:ascii="Times New Roman" w:eastAsia="Times New Roman" w:hAnsi="Times New Roman" w:cs="Times New Roman"/>
                <w:sz w:val="24"/>
                <w:szCs w:val="24"/>
                <w:lang w:eastAsia="it-IT"/>
              </w:rPr>
            </w:pPr>
          </w:p>
        </w:tc>
        <w:tc>
          <w:tcPr>
            <w:tcW w:w="960" w:type="dxa"/>
            <w:tcBorders>
              <w:top w:val="single" w:sz="4" w:space="0" w:color="auto"/>
              <w:left w:val="nil"/>
              <w:bottom w:val="single" w:sz="4" w:space="0" w:color="auto"/>
              <w:right w:val="nil"/>
            </w:tcBorders>
            <w:shd w:val="clear" w:color="auto" w:fill="auto"/>
            <w:noWrap/>
            <w:vAlign w:val="bottom"/>
            <w:hideMark/>
          </w:tcPr>
          <w:p w:rsidR="002B14DE" w:rsidRPr="00F23F2A" w:rsidRDefault="002B14DE" w:rsidP="002B14DE">
            <w:pPr>
              <w:spacing w:after="0" w:line="240" w:lineRule="auto"/>
              <w:rPr>
                <w:rFonts w:ascii="Calibri" w:eastAsia="Times New Roman" w:hAnsi="Calibri" w:cs="Times New Roman"/>
                <w:color w:val="000000"/>
                <w:lang w:eastAsia="it-IT"/>
              </w:rPr>
            </w:pPr>
            <w:proofErr w:type="gramStart"/>
            <w:r w:rsidRPr="00F23F2A">
              <w:rPr>
                <w:rFonts w:ascii="Calibri" w:eastAsia="Times New Roman" w:hAnsi="Calibri" w:cs="Times New Roman"/>
                <w:color w:val="000000"/>
                <w:lang w:eastAsia="it-IT"/>
              </w:rPr>
              <w:t>anni</w:t>
            </w:r>
            <w:proofErr w:type="gramEnd"/>
            <w:r w:rsidRPr="00F23F2A">
              <w:rPr>
                <w:rFonts w:ascii="Calibri" w:eastAsia="Times New Roman" w:hAnsi="Calibri" w:cs="Times New Roman"/>
                <w:color w:val="000000"/>
                <w:lang w:eastAsia="it-IT"/>
              </w:rPr>
              <w:t xml:space="preserve"> 90</w:t>
            </w:r>
          </w:p>
        </w:tc>
        <w:tc>
          <w:tcPr>
            <w:tcW w:w="960" w:type="dxa"/>
            <w:tcBorders>
              <w:top w:val="single" w:sz="4" w:space="0" w:color="auto"/>
              <w:left w:val="nil"/>
              <w:bottom w:val="single" w:sz="4" w:space="0" w:color="auto"/>
              <w:right w:val="nil"/>
            </w:tcBorders>
            <w:shd w:val="clear" w:color="auto" w:fill="auto"/>
            <w:noWrap/>
            <w:vAlign w:val="bottom"/>
            <w:hideMark/>
          </w:tcPr>
          <w:p w:rsidR="002B14DE" w:rsidRPr="00F23F2A" w:rsidRDefault="002B14DE" w:rsidP="002B14DE">
            <w:pPr>
              <w:spacing w:after="0" w:line="240" w:lineRule="auto"/>
              <w:rPr>
                <w:rFonts w:ascii="Calibri" w:eastAsia="Times New Roman" w:hAnsi="Calibri" w:cs="Times New Roman"/>
                <w:color w:val="000000"/>
                <w:lang w:eastAsia="it-IT"/>
              </w:rPr>
            </w:pPr>
            <w:proofErr w:type="gramStart"/>
            <w:r w:rsidRPr="00F23F2A">
              <w:rPr>
                <w:rFonts w:ascii="Calibri" w:eastAsia="Times New Roman" w:hAnsi="Calibri" w:cs="Times New Roman"/>
                <w:color w:val="000000"/>
                <w:lang w:eastAsia="it-IT"/>
              </w:rPr>
              <w:t>anni</w:t>
            </w:r>
            <w:proofErr w:type="gramEnd"/>
            <w:r w:rsidRPr="00F23F2A">
              <w:rPr>
                <w:rFonts w:ascii="Calibri" w:eastAsia="Times New Roman" w:hAnsi="Calibri" w:cs="Times New Roman"/>
                <w:color w:val="000000"/>
                <w:lang w:eastAsia="it-IT"/>
              </w:rPr>
              <w:t xml:space="preserve"> 80</w:t>
            </w:r>
          </w:p>
        </w:tc>
        <w:tc>
          <w:tcPr>
            <w:tcW w:w="960" w:type="dxa"/>
            <w:tcBorders>
              <w:top w:val="single" w:sz="4" w:space="0" w:color="auto"/>
              <w:left w:val="nil"/>
              <w:bottom w:val="single" w:sz="4" w:space="0" w:color="auto"/>
              <w:right w:val="nil"/>
            </w:tcBorders>
            <w:shd w:val="clear" w:color="auto" w:fill="auto"/>
            <w:noWrap/>
            <w:vAlign w:val="bottom"/>
            <w:hideMark/>
          </w:tcPr>
          <w:p w:rsidR="002B14DE" w:rsidRPr="00F23F2A" w:rsidRDefault="002B14DE" w:rsidP="002B14DE">
            <w:pPr>
              <w:spacing w:after="0" w:line="240" w:lineRule="auto"/>
              <w:rPr>
                <w:rFonts w:ascii="Calibri" w:eastAsia="Times New Roman" w:hAnsi="Calibri" w:cs="Times New Roman"/>
                <w:color w:val="000000"/>
                <w:lang w:eastAsia="it-IT"/>
              </w:rPr>
            </w:pPr>
            <w:proofErr w:type="gramStart"/>
            <w:r w:rsidRPr="00F23F2A">
              <w:rPr>
                <w:rFonts w:ascii="Calibri" w:eastAsia="Times New Roman" w:hAnsi="Calibri" w:cs="Times New Roman"/>
                <w:color w:val="000000"/>
                <w:lang w:eastAsia="it-IT"/>
              </w:rPr>
              <w:t>anni</w:t>
            </w:r>
            <w:proofErr w:type="gramEnd"/>
            <w:r w:rsidRPr="00F23F2A">
              <w:rPr>
                <w:rFonts w:ascii="Calibri" w:eastAsia="Times New Roman" w:hAnsi="Calibri" w:cs="Times New Roman"/>
                <w:color w:val="000000"/>
                <w:lang w:eastAsia="it-IT"/>
              </w:rPr>
              <w:t xml:space="preserve"> 70</w:t>
            </w:r>
          </w:p>
        </w:tc>
        <w:tc>
          <w:tcPr>
            <w:tcW w:w="960" w:type="dxa"/>
            <w:tcBorders>
              <w:top w:val="single" w:sz="4" w:space="0" w:color="auto"/>
              <w:left w:val="nil"/>
              <w:bottom w:val="single" w:sz="4" w:space="0" w:color="auto"/>
              <w:right w:val="nil"/>
            </w:tcBorders>
            <w:shd w:val="clear" w:color="auto" w:fill="auto"/>
            <w:noWrap/>
            <w:vAlign w:val="bottom"/>
            <w:hideMark/>
          </w:tcPr>
          <w:p w:rsidR="002B14DE" w:rsidRPr="00F23F2A" w:rsidRDefault="002B14DE" w:rsidP="002B14DE">
            <w:pPr>
              <w:spacing w:after="0" w:line="240" w:lineRule="auto"/>
              <w:rPr>
                <w:rFonts w:ascii="Calibri" w:eastAsia="Times New Roman" w:hAnsi="Calibri" w:cs="Times New Roman"/>
                <w:color w:val="000000"/>
                <w:lang w:eastAsia="it-IT"/>
              </w:rPr>
            </w:pPr>
            <w:proofErr w:type="gramStart"/>
            <w:r w:rsidRPr="00F23F2A">
              <w:rPr>
                <w:rFonts w:ascii="Calibri" w:eastAsia="Times New Roman" w:hAnsi="Calibri" w:cs="Times New Roman"/>
                <w:color w:val="000000"/>
                <w:lang w:eastAsia="it-IT"/>
              </w:rPr>
              <w:t>anni</w:t>
            </w:r>
            <w:proofErr w:type="gramEnd"/>
            <w:r w:rsidRPr="00F23F2A">
              <w:rPr>
                <w:rFonts w:ascii="Calibri" w:eastAsia="Times New Roman" w:hAnsi="Calibri" w:cs="Times New Roman"/>
                <w:color w:val="000000"/>
                <w:lang w:eastAsia="it-IT"/>
              </w:rPr>
              <w:t xml:space="preserve"> 60</w:t>
            </w:r>
          </w:p>
        </w:tc>
        <w:tc>
          <w:tcPr>
            <w:tcW w:w="960" w:type="dxa"/>
            <w:tcBorders>
              <w:top w:val="single" w:sz="4" w:space="0" w:color="auto"/>
              <w:left w:val="nil"/>
              <w:bottom w:val="single" w:sz="4" w:space="0" w:color="auto"/>
              <w:right w:val="nil"/>
            </w:tcBorders>
            <w:shd w:val="clear" w:color="auto" w:fill="auto"/>
            <w:noWrap/>
            <w:vAlign w:val="bottom"/>
            <w:hideMark/>
          </w:tcPr>
          <w:p w:rsidR="002B14DE" w:rsidRPr="00F23F2A" w:rsidRDefault="002B14DE" w:rsidP="002B14DE">
            <w:pPr>
              <w:spacing w:after="0" w:line="240" w:lineRule="auto"/>
              <w:rPr>
                <w:rFonts w:ascii="Calibri" w:eastAsia="Times New Roman" w:hAnsi="Calibri" w:cs="Times New Roman"/>
                <w:color w:val="000000"/>
                <w:lang w:eastAsia="it-IT"/>
              </w:rPr>
            </w:pPr>
            <w:proofErr w:type="gramStart"/>
            <w:r w:rsidRPr="00F23F2A">
              <w:rPr>
                <w:rFonts w:ascii="Calibri" w:eastAsia="Times New Roman" w:hAnsi="Calibri" w:cs="Times New Roman"/>
                <w:color w:val="000000"/>
                <w:lang w:eastAsia="it-IT"/>
              </w:rPr>
              <w:t>anni</w:t>
            </w:r>
            <w:proofErr w:type="gramEnd"/>
            <w:r w:rsidRPr="00F23F2A">
              <w:rPr>
                <w:rFonts w:ascii="Calibri" w:eastAsia="Times New Roman" w:hAnsi="Calibri" w:cs="Times New Roman"/>
                <w:color w:val="000000"/>
                <w:lang w:eastAsia="it-IT"/>
              </w:rPr>
              <w:t xml:space="preserve"> 50</w:t>
            </w:r>
          </w:p>
        </w:tc>
        <w:tc>
          <w:tcPr>
            <w:tcW w:w="960" w:type="dxa"/>
            <w:tcBorders>
              <w:top w:val="single" w:sz="4" w:space="0" w:color="auto"/>
              <w:left w:val="nil"/>
              <w:bottom w:val="single" w:sz="4" w:space="0" w:color="auto"/>
              <w:right w:val="nil"/>
            </w:tcBorders>
            <w:shd w:val="clear" w:color="auto" w:fill="auto"/>
            <w:noWrap/>
            <w:vAlign w:val="bottom"/>
            <w:hideMark/>
          </w:tcPr>
          <w:p w:rsidR="002B14DE" w:rsidRPr="00F23F2A" w:rsidRDefault="002B14DE" w:rsidP="002B14DE">
            <w:pPr>
              <w:spacing w:after="0" w:line="240" w:lineRule="auto"/>
              <w:rPr>
                <w:rFonts w:ascii="Calibri" w:eastAsia="Times New Roman" w:hAnsi="Calibri" w:cs="Times New Roman"/>
                <w:color w:val="000000"/>
                <w:lang w:eastAsia="it-IT"/>
              </w:rPr>
            </w:pPr>
            <w:proofErr w:type="gramStart"/>
            <w:r w:rsidRPr="00F23F2A">
              <w:rPr>
                <w:rFonts w:ascii="Calibri" w:eastAsia="Times New Roman" w:hAnsi="Calibri" w:cs="Times New Roman"/>
                <w:color w:val="000000"/>
                <w:lang w:eastAsia="it-IT"/>
              </w:rPr>
              <w:t>anni</w:t>
            </w:r>
            <w:proofErr w:type="gramEnd"/>
            <w:r w:rsidRPr="00F23F2A">
              <w:rPr>
                <w:rFonts w:ascii="Calibri" w:eastAsia="Times New Roman" w:hAnsi="Calibri" w:cs="Times New Roman"/>
                <w:color w:val="000000"/>
                <w:lang w:eastAsia="it-IT"/>
              </w:rPr>
              <w:t xml:space="preserve"> 40 e 30</w:t>
            </w:r>
          </w:p>
        </w:tc>
      </w:tr>
      <w:tr w:rsidR="002B14DE" w:rsidRPr="00F23F2A" w:rsidTr="002B14DE">
        <w:trPr>
          <w:trHeight w:val="300"/>
        </w:trPr>
        <w:tc>
          <w:tcPr>
            <w:tcW w:w="3633" w:type="dxa"/>
            <w:tcBorders>
              <w:top w:val="single" w:sz="4" w:space="0" w:color="auto"/>
              <w:left w:val="nil"/>
              <w:bottom w:val="nil"/>
              <w:right w:val="nil"/>
            </w:tcBorders>
            <w:shd w:val="clear" w:color="000000" w:fill="FFFFFF"/>
            <w:noWrap/>
            <w:vAlign w:val="bottom"/>
            <w:hideMark/>
          </w:tcPr>
          <w:p w:rsidR="002B14DE" w:rsidRPr="00F23F2A" w:rsidRDefault="002B14DE" w:rsidP="002B14DE">
            <w:pPr>
              <w:spacing w:after="0" w:line="240" w:lineRule="auto"/>
              <w:rPr>
                <w:rFonts w:ascii="Calibri" w:eastAsia="Times New Roman" w:hAnsi="Calibri" w:cs="Times New Roman"/>
                <w:color w:val="000000"/>
                <w:lang w:eastAsia="it-IT"/>
              </w:rPr>
            </w:pPr>
            <w:r w:rsidRPr="00F23F2A">
              <w:rPr>
                <w:rFonts w:ascii="Calibri" w:eastAsia="Times New Roman" w:hAnsi="Calibri" w:cs="Times New Roman"/>
                <w:color w:val="000000"/>
                <w:lang w:eastAsia="it-IT"/>
              </w:rPr>
              <w:t>1. produzione e trattamento metalli</w:t>
            </w:r>
          </w:p>
        </w:tc>
        <w:tc>
          <w:tcPr>
            <w:tcW w:w="960" w:type="dxa"/>
            <w:tcBorders>
              <w:top w:val="single" w:sz="4" w:space="0" w:color="auto"/>
              <w:left w:val="nil"/>
              <w:bottom w:val="nil"/>
              <w:right w:val="nil"/>
            </w:tcBorders>
            <w:shd w:val="clear" w:color="auto" w:fill="auto"/>
            <w:noWrap/>
            <w:vAlign w:val="bottom"/>
            <w:hideMark/>
          </w:tcPr>
          <w:p w:rsidR="002B14DE" w:rsidRPr="00F23F2A" w:rsidRDefault="002B14DE" w:rsidP="002B14DE">
            <w:pPr>
              <w:spacing w:after="0" w:line="240" w:lineRule="auto"/>
              <w:jc w:val="right"/>
              <w:rPr>
                <w:rFonts w:ascii="Calibri" w:eastAsia="Times New Roman" w:hAnsi="Calibri" w:cs="Times New Roman"/>
                <w:color w:val="000000"/>
                <w:lang w:eastAsia="it-IT"/>
              </w:rPr>
            </w:pPr>
            <w:r w:rsidRPr="00F23F2A">
              <w:rPr>
                <w:rFonts w:ascii="Calibri" w:eastAsia="Times New Roman" w:hAnsi="Calibri" w:cs="Times New Roman"/>
                <w:color w:val="000000"/>
                <w:lang w:eastAsia="it-IT"/>
              </w:rPr>
              <w:t>16%</w:t>
            </w:r>
          </w:p>
        </w:tc>
        <w:tc>
          <w:tcPr>
            <w:tcW w:w="960" w:type="dxa"/>
            <w:tcBorders>
              <w:top w:val="single" w:sz="4" w:space="0" w:color="auto"/>
              <w:left w:val="nil"/>
              <w:bottom w:val="nil"/>
              <w:right w:val="nil"/>
            </w:tcBorders>
            <w:shd w:val="clear" w:color="auto" w:fill="auto"/>
            <w:noWrap/>
            <w:vAlign w:val="bottom"/>
            <w:hideMark/>
          </w:tcPr>
          <w:p w:rsidR="002B14DE" w:rsidRPr="00F23F2A" w:rsidRDefault="002B14DE" w:rsidP="002B14DE">
            <w:pPr>
              <w:spacing w:after="0" w:line="240" w:lineRule="auto"/>
              <w:jc w:val="right"/>
              <w:rPr>
                <w:rFonts w:ascii="Calibri" w:eastAsia="Times New Roman" w:hAnsi="Calibri" w:cs="Times New Roman"/>
                <w:color w:val="000000"/>
                <w:lang w:eastAsia="it-IT"/>
              </w:rPr>
            </w:pPr>
            <w:r w:rsidRPr="00F23F2A">
              <w:rPr>
                <w:rFonts w:ascii="Calibri" w:eastAsia="Times New Roman" w:hAnsi="Calibri" w:cs="Times New Roman"/>
                <w:color w:val="000000"/>
                <w:lang w:eastAsia="it-IT"/>
              </w:rPr>
              <w:t>35%</w:t>
            </w:r>
          </w:p>
        </w:tc>
        <w:tc>
          <w:tcPr>
            <w:tcW w:w="960" w:type="dxa"/>
            <w:tcBorders>
              <w:top w:val="single" w:sz="4" w:space="0" w:color="auto"/>
              <w:left w:val="nil"/>
              <w:bottom w:val="nil"/>
              <w:right w:val="nil"/>
            </w:tcBorders>
            <w:shd w:val="clear" w:color="auto" w:fill="auto"/>
            <w:noWrap/>
            <w:vAlign w:val="bottom"/>
            <w:hideMark/>
          </w:tcPr>
          <w:p w:rsidR="002B14DE" w:rsidRPr="00F23F2A" w:rsidRDefault="002B14DE" w:rsidP="002B14DE">
            <w:pPr>
              <w:spacing w:after="0" w:line="240" w:lineRule="auto"/>
              <w:jc w:val="right"/>
              <w:rPr>
                <w:rFonts w:ascii="Calibri" w:eastAsia="Times New Roman" w:hAnsi="Calibri" w:cs="Times New Roman"/>
                <w:color w:val="000000"/>
                <w:lang w:eastAsia="it-IT"/>
              </w:rPr>
            </w:pPr>
            <w:r w:rsidRPr="00F23F2A">
              <w:rPr>
                <w:rFonts w:ascii="Calibri" w:eastAsia="Times New Roman" w:hAnsi="Calibri" w:cs="Times New Roman"/>
                <w:color w:val="000000"/>
                <w:lang w:eastAsia="it-IT"/>
              </w:rPr>
              <w:t>31%</w:t>
            </w:r>
          </w:p>
        </w:tc>
        <w:tc>
          <w:tcPr>
            <w:tcW w:w="960" w:type="dxa"/>
            <w:tcBorders>
              <w:top w:val="single" w:sz="4" w:space="0" w:color="auto"/>
              <w:left w:val="nil"/>
              <w:bottom w:val="nil"/>
              <w:right w:val="nil"/>
            </w:tcBorders>
            <w:shd w:val="clear" w:color="auto" w:fill="auto"/>
            <w:noWrap/>
            <w:vAlign w:val="bottom"/>
            <w:hideMark/>
          </w:tcPr>
          <w:p w:rsidR="002B14DE" w:rsidRPr="00F23F2A" w:rsidRDefault="002B14DE" w:rsidP="002B14DE">
            <w:pPr>
              <w:spacing w:after="0" w:line="240" w:lineRule="auto"/>
              <w:jc w:val="right"/>
              <w:rPr>
                <w:rFonts w:ascii="Calibri" w:eastAsia="Times New Roman" w:hAnsi="Calibri" w:cs="Times New Roman"/>
                <w:color w:val="000000"/>
                <w:lang w:eastAsia="it-IT"/>
              </w:rPr>
            </w:pPr>
            <w:r w:rsidRPr="00F23F2A">
              <w:rPr>
                <w:rFonts w:ascii="Calibri" w:eastAsia="Times New Roman" w:hAnsi="Calibri" w:cs="Times New Roman"/>
                <w:color w:val="000000"/>
                <w:lang w:eastAsia="it-IT"/>
              </w:rPr>
              <w:t>15%</w:t>
            </w:r>
          </w:p>
        </w:tc>
        <w:tc>
          <w:tcPr>
            <w:tcW w:w="960" w:type="dxa"/>
            <w:tcBorders>
              <w:top w:val="single" w:sz="4" w:space="0" w:color="auto"/>
              <w:left w:val="nil"/>
              <w:bottom w:val="nil"/>
              <w:right w:val="nil"/>
            </w:tcBorders>
            <w:shd w:val="clear" w:color="auto" w:fill="auto"/>
            <w:noWrap/>
            <w:vAlign w:val="bottom"/>
            <w:hideMark/>
          </w:tcPr>
          <w:p w:rsidR="002B14DE" w:rsidRPr="00F23F2A" w:rsidRDefault="002B14DE" w:rsidP="002B14DE">
            <w:pPr>
              <w:spacing w:after="0" w:line="240" w:lineRule="auto"/>
              <w:jc w:val="right"/>
              <w:rPr>
                <w:rFonts w:ascii="Calibri" w:eastAsia="Times New Roman" w:hAnsi="Calibri" w:cs="Times New Roman"/>
                <w:color w:val="000000"/>
                <w:lang w:eastAsia="it-IT"/>
              </w:rPr>
            </w:pPr>
            <w:r w:rsidRPr="00F23F2A">
              <w:rPr>
                <w:rFonts w:ascii="Calibri" w:eastAsia="Times New Roman" w:hAnsi="Calibri" w:cs="Times New Roman"/>
                <w:color w:val="000000"/>
                <w:lang w:eastAsia="it-IT"/>
              </w:rPr>
              <w:t>2%</w:t>
            </w:r>
          </w:p>
        </w:tc>
        <w:tc>
          <w:tcPr>
            <w:tcW w:w="960" w:type="dxa"/>
            <w:tcBorders>
              <w:top w:val="single" w:sz="4" w:space="0" w:color="auto"/>
              <w:left w:val="nil"/>
              <w:bottom w:val="nil"/>
              <w:right w:val="nil"/>
            </w:tcBorders>
            <w:shd w:val="clear" w:color="auto" w:fill="auto"/>
            <w:noWrap/>
            <w:vAlign w:val="bottom"/>
            <w:hideMark/>
          </w:tcPr>
          <w:p w:rsidR="002B14DE" w:rsidRPr="00F23F2A" w:rsidRDefault="002B14DE" w:rsidP="002B14DE">
            <w:pPr>
              <w:spacing w:after="0" w:line="240" w:lineRule="auto"/>
              <w:jc w:val="right"/>
              <w:rPr>
                <w:rFonts w:ascii="Calibri" w:eastAsia="Times New Roman" w:hAnsi="Calibri" w:cs="Times New Roman"/>
                <w:color w:val="000000"/>
                <w:lang w:eastAsia="it-IT"/>
              </w:rPr>
            </w:pPr>
            <w:r w:rsidRPr="00F23F2A">
              <w:rPr>
                <w:rFonts w:ascii="Calibri" w:eastAsia="Times New Roman" w:hAnsi="Calibri" w:cs="Times New Roman"/>
                <w:color w:val="000000"/>
                <w:lang w:eastAsia="it-IT"/>
              </w:rPr>
              <w:t>1%</w:t>
            </w:r>
          </w:p>
        </w:tc>
      </w:tr>
      <w:tr w:rsidR="002B14DE" w:rsidRPr="00F23F2A" w:rsidTr="002B14DE">
        <w:trPr>
          <w:trHeight w:val="300"/>
        </w:trPr>
        <w:tc>
          <w:tcPr>
            <w:tcW w:w="3633" w:type="dxa"/>
            <w:tcBorders>
              <w:top w:val="nil"/>
              <w:left w:val="nil"/>
              <w:bottom w:val="nil"/>
              <w:right w:val="nil"/>
            </w:tcBorders>
            <w:shd w:val="clear" w:color="000000" w:fill="FFFFFF"/>
            <w:noWrap/>
            <w:vAlign w:val="bottom"/>
            <w:hideMark/>
          </w:tcPr>
          <w:p w:rsidR="002B14DE" w:rsidRPr="00F23F2A" w:rsidRDefault="002B14DE" w:rsidP="002B14DE">
            <w:pPr>
              <w:spacing w:after="0" w:line="240" w:lineRule="auto"/>
              <w:rPr>
                <w:rFonts w:ascii="Calibri" w:eastAsia="Times New Roman" w:hAnsi="Calibri" w:cs="Times New Roman"/>
                <w:color w:val="000000"/>
                <w:lang w:eastAsia="it-IT"/>
              </w:rPr>
            </w:pPr>
            <w:r w:rsidRPr="00F23F2A">
              <w:rPr>
                <w:rFonts w:ascii="Calibri" w:eastAsia="Times New Roman" w:hAnsi="Calibri" w:cs="Times New Roman"/>
                <w:color w:val="000000"/>
                <w:lang w:eastAsia="it-IT"/>
              </w:rPr>
              <w:t>2. macchine e stampi per industria orafa</w:t>
            </w:r>
          </w:p>
        </w:tc>
        <w:tc>
          <w:tcPr>
            <w:tcW w:w="960" w:type="dxa"/>
            <w:tcBorders>
              <w:top w:val="nil"/>
              <w:left w:val="nil"/>
              <w:bottom w:val="nil"/>
              <w:right w:val="nil"/>
            </w:tcBorders>
            <w:shd w:val="clear" w:color="auto" w:fill="auto"/>
            <w:noWrap/>
            <w:vAlign w:val="bottom"/>
            <w:hideMark/>
          </w:tcPr>
          <w:p w:rsidR="002B14DE" w:rsidRPr="00F23F2A" w:rsidRDefault="002B14DE" w:rsidP="002B14DE">
            <w:pPr>
              <w:spacing w:after="0" w:line="240" w:lineRule="auto"/>
              <w:jc w:val="right"/>
              <w:rPr>
                <w:rFonts w:ascii="Calibri" w:eastAsia="Times New Roman" w:hAnsi="Calibri" w:cs="Times New Roman"/>
                <w:color w:val="000000"/>
                <w:lang w:eastAsia="it-IT"/>
              </w:rPr>
            </w:pPr>
            <w:r w:rsidRPr="00F23F2A">
              <w:rPr>
                <w:rFonts w:ascii="Calibri" w:eastAsia="Times New Roman" w:hAnsi="Calibri" w:cs="Times New Roman"/>
                <w:color w:val="000000"/>
                <w:lang w:eastAsia="it-IT"/>
              </w:rPr>
              <w:t>17%</w:t>
            </w:r>
          </w:p>
        </w:tc>
        <w:tc>
          <w:tcPr>
            <w:tcW w:w="960" w:type="dxa"/>
            <w:tcBorders>
              <w:top w:val="nil"/>
              <w:left w:val="nil"/>
              <w:bottom w:val="nil"/>
              <w:right w:val="nil"/>
            </w:tcBorders>
            <w:shd w:val="clear" w:color="auto" w:fill="auto"/>
            <w:noWrap/>
            <w:vAlign w:val="bottom"/>
            <w:hideMark/>
          </w:tcPr>
          <w:p w:rsidR="002B14DE" w:rsidRPr="00F23F2A" w:rsidRDefault="002B14DE" w:rsidP="002B14DE">
            <w:pPr>
              <w:spacing w:after="0" w:line="240" w:lineRule="auto"/>
              <w:jc w:val="right"/>
              <w:rPr>
                <w:rFonts w:ascii="Calibri" w:eastAsia="Times New Roman" w:hAnsi="Calibri" w:cs="Times New Roman"/>
                <w:color w:val="000000"/>
                <w:lang w:eastAsia="it-IT"/>
              </w:rPr>
            </w:pPr>
            <w:r w:rsidRPr="00F23F2A">
              <w:rPr>
                <w:rFonts w:ascii="Calibri" w:eastAsia="Times New Roman" w:hAnsi="Calibri" w:cs="Times New Roman"/>
                <w:color w:val="000000"/>
                <w:lang w:eastAsia="it-IT"/>
              </w:rPr>
              <w:t>21%</w:t>
            </w:r>
          </w:p>
        </w:tc>
        <w:tc>
          <w:tcPr>
            <w:tcW w:w="960" w:type="dxa"/>
            <w:tcBorders>
              <w:top w:val="nil"/>
              <w:left w:val="nil"/>
              <w:bottom w:val="nil"/>
              <w:right w:val="nil"/>
            </w:tcBorders>
            <w:shd w:val="clear" w:color="auto" w:fill="auto"/>
            <w:noWrap/>
            <w:vAlign w:val="bottom"/>
            <w:hideMark/>
          </w:tcPr>
          <w:p w:rsidR="002B14DE" w:rsidRPr="00F23F2A" w:rsidRDefault="002B14DE" w:rsidP="002B14DE">
            <w:pPr>
              <w:spacing w:after="0" w:line="240" w:lineRule="auto"/>
              <w:jc w:val="right"/>
              <w:rPr>
                <w:rFonts w:ascii="Calibri" w:eastAsia="Times New Roman" w:hAnsi="Calibri" w:cs="Times New Roman"/>
                <w:color w:val="000000"/>
                <w:lang w:eastAsia="it-IT"/>
              </w:rPr>
            </w:pPr>
            <w:r w:rsidRPr="00F23F2A">
              <w:rPr>
                <w:rFonts w:ascii="Calibri" w:eastAsia="Times New Roman" w:hAnsi="Calibri" w:cs="Times New Roman"/>
                <w:color w:val="000000"/>
                <w:lang w:eastAsia="it-IT"/>
              </w:rPr>
              <w:t>31%</w:t>
            </w:r>
          </w:p>
        </w:tc>
        <w:tc>
          <w:tcPr>
            <w:tcW w:w="960" w:type="dxa"/>
            <w:tcBorders>
              <w:top w:val="nil"/>
              <w:left w:val="nil"/>
              <w:bottom w:val="nil"/>
              <w:right w:val="nil"/>
            </w:tcBorders>
            <w:shd w:val="clear" w:color="auto" w:fill="auto"/>
            <w:noWrap/>
            <w:vAlign w:val="bottom"/>
            <w:hideMark/>
          </w:tcPr>
          <w:p w:rsidR="002B14DE" w:rsidRPr="00F23F2A" w:rsidRDefault="002B14DE" w:rsidP="002B14DE">
            <w:pPr>
              <w:spacing w:after="0" w:line="240" w:lineRule="auto"/>
              <w:jc w:val="right"/>
              <w:rPr>
                <w:rFonts w:ascii="Calibri" w:eastAsia="Times New Roman" w:hAnsi="Calibri" w:cs="Times New Roman"/>
                <w:color w:val="000000"/>
                <w:lang w:eastAsia="it-IT"/>
              </w:rPr>
            </w:pPr>
            <w:r w:rsidRPr="00F23F2A">
              <w:rPr>
                <w:rFonts w:ascii="Calibri" w:eastAsia="Times New Roman" w:hAnsi="Calibri" w:cs="Times New Roman"/>
                <w:color w:val="000000"/>
                <w:lang w:eastAsia="it-IT"/>
              </w:rPr>
              <w:t>23%</w:t>
            </w:r>
          </w:p>
        </w:tc>
        <w:tc>
          <w:tcPr>
            <w:tcW w:w="960" w:type="dxa"/>
            <w:tcBorders>
              <w:top w:val="nil"/>
              <w:left w:val="nil"/>
              <w:bottom w:val="nil"/>
              <w:right w:val="nil"/>
            </w:tcBorders>
            <w:shd w:val="clear" w:color="auto" w:fill="auto"/>
            <w:noWrap/>
            <w:vAlign w:val="bottom"/>
            <w:hideMark/>
          </w:tcPr>
          <w:p w:rsidR="002B14DE" w:rsidRPr="00F23F2A" w:rsidRDefault="002B14DE" w:rsidP="002B14DE">
            <w:pPr>
              <w:spacing w:after="0" w:line="240" w:lineRule="auto"/>
              <w:jc w:val="right"/>
              <w:rPr>
                <w:rFonts w:ascii="Calibri" w:eastAsia="Times New Roman" w:hAnsi="Calibri" w:cs="Times New Roman"/>
                <w:color w:val="000000"/>
                <w:lang w:eastAsia="it-IT"/>
              </w:rPr>
            </w:pPr>
            <w:r w:rsidRPr="00F23F2A">
              <w:rPr>
                <w:rFonts w:ascii="Calibri" w:eastAsia="Times New Roman" w:hAnsi="Calibri" w:cs="Times New Roman"/>
                <w:color w:val="000000"/>
                <w:lang w:eastAsia="it-IT"/>
              </w:rPr>
              <w:t>5%</w:t>
            </w:r>
          </w:p>
        </w:tc>
        <w:tc>
          <w:tcPr>
            <w:tcW w:w="960" w:type="dxa"/>
            <w:tcBorders>
              <w:top w:val="nil"/>
              <w:left w:val="nil"/>
              <w:bottom w:val="nil"/>
              <w:right w:val="nil"/>
            </w:tcBorders>
            <w:shd w:val="clear" w:color="auto" w:fill="auto"/>
            <w:noWrap/>
            <w:vAlign w:val="bottom"/>
            <w:hideMark/>
          </w:tcPr>
          <w:p w:rsidR="002B14DE" w:rsidRPr="00F23F2A" w:rsidRDefault="002B14DE" w:rsidP="002B14DE">
            <w:pPr>
              <w:spacing w:after="0" w:line="240" w:lineRule="auto"/>
              <w:jc w:val="right"/>
              <w:rPr>
                <w:rFonts w:ascii="Calibri" w:eastAsia="Times New Roman" w:hAnsi="Calibri" w:cs="Times New Roman"/>
                <w:color w:val="000000"/>
                <w:lang w:eastAsia="it-IT"/>
              </w:rPr>
            </w:pPr>
            <w:r w:rsidRPr="00F23F2A">
              <w:rPr>
                <w:rFonts w:ascii="Calibri" w:eastAsia="Times New Roman" w:hAnsi="Calibri" w:cs="Times New Roman"/>
                <w:color w:val="000000"/>
                <w:lang w:eastAsia="it-IT"/>
              </w:rPr>
              <w:t>2%</w:t>
            </w:r>
          </w:p>
        </w:tc>
      </w:tr>
      <w:tr w:rsidR="002B14DE" w:rsidRPr="00F23F2A" w:rsidTr="002B14DE">
        <w:trPr>
          <w:trHeight w:val="300"/>
        </w:trPr>
        <w:tc>
          <w:tcPr>
            <w:tcW w:w="3633" w:type="dxa"/>
            <w:tcBorders>
              <w:top w:val="nil"/>
              <w:left w:val="nil"/>
              <w:bottom w:val="nil"/>
              <w:right w:val="nil"/>
            </w:tcBorders>
            <w:shd w:val="clear" w:color="000000" w:fill="FFFFFF"/>
            <w:noWrap/>
            <w:vAlign w:val="bottom"/>
            <w:hideMark/>
          </w:tcPr>
          <w:p w:rsidR="002B14DE" w:rsidRPr="00F23F2A" w:rsidRDefault="002B14DE" w:rsidP="002B14DE">
            <w:pPr>
              <w:spacing w:after="0" w:line="240" w:lineRule="auto"/>
              <w:rPr>
                <w:rFonts w:ascii="Calibri" w:eastAsia="Times New Roman" w:hAnsi="Calibri" w:cs="Times New Roman"/>
                <w:color w:val="000000"/>
                <w:lang w:eastAsia="it-IT"/>
              </w:rPr>
            </w:pPr>
            <w:r w:rsidRPr="00F23F2A">
              <w:rPr>
                <w:rFonts w:ascii="Calibri" w:eastAsia="Times New Roman" w:hAnsi="Calibri" w:cs="Times New Roman"/>
                <w:color w:val="000000"/>
                <w:lang w:eastAsia="it-IT"/>
              </w:rPr>
              <w:t>3. bigiotteria, orologi e altro</w:t>
            </w:r>
          </w:p>
        </w:tc>
        <w:tc>
          <w:tcPr>
            <w:tcW w:w="960" w:type="dxa"/>
            <w:tcBorders>
              <w:top w:val="nil"/>
              <w:left w:val="nil"/>
              <w:bottom w:val="nil"/>
              <w:right w:val="nil"/>
            </w:tcBorders>
            <w:shd w:val="clear" w:color="auto" w:fill="auto"/>
            <w:noWrap/>
            <w:vAlign w:val="bottom"/>
            <w:hideMark/>
          </w:tcPr>
          <w:p w:rsidR="002B14DE" w:rsidRPr="00F23F2A" w:rsidRDefault="002B14DE" w:rsidP="002B14DE">
            <w:pPr>
              <w:spacing w:after="0" w:line="240" w:lineRule="auto"/>
              <w:jc w:val="right"/>
              <w:rPr>
                <w:rFonts w:ascii="Calibri" w:eastAsia="Times New Roman" w:hAnsi="Calibri" w:cs="Times New Roman"/>
                <w:color w:val="000000"/>
                <w:lang w:eastAsia="it-IT"/>
              </w:rPr>
            </w:pPr>
            <w:r w:rsidRPr="00F23F2A">
              <w:rPr>
                <w:rFonts w:ascii="Calibri" w:eastAsia="Times New Roman" w:hAnsi="Calibri" w:cs="Times New Roman"/>
                <w:color w:val="000000"/>
                <w:lang w:eastAsia="it-IT"/>
              </w:rPr>
              <w:t>18%</w:t>
            </w:r>
          </w:p>
        </w:tc>
        <w:tc>
          <w:tcPr>
            <w:tcW w:w="960" w:type="dxa"/>
            <w:tcBorders>
              <w:top w:val="nil"/>
              <w:left w:val="nil"/>
              <w:bottom w:val="nil"/>
              <w:right w:val="nil"/>
            </w:tcBorders>
            <w:shd w:val="clear" w:color="auto" w:fill="auto"/>
            <w:noWrap/>
            <w:vAlign w:val="bottom"/>
            <w:hideMark/>
          </w:tcPr>
          <w:p w:rsidR="002B14DE" w:rsidRPr="00F23F2A" w:rsidRDefault="002B14DE" w:rsidP="002B14DE">
            <w:pPr>
              <w:spacing w:after="0" w:line="240" w:lineRule="auto"/>
              <w:jc w:val="right"/>
              <w:rPr>
                <w:rFonts w:ascii="Calibri" w:eastAsia="Times New Roman" w:hAnsi="Calibri" w:cs="Times New Roman"/>
                <w:color w:val="000000"/>
                <w:lang w:eastAsia="it-IT"/>
              </w:rPr>
            </w:pPr>
            <w:r w:rsidRPr="00F23F2A">
              <w:rPr>
                <w:rFonts w:ascii="Calibri" w:eastAsia="Times New Roman" w:hAnsi="Calibri" w:cs="Times New Roman"/>
                <w:color w:val="000000"/>
                <w:lang w:eastAsia="it-IT"/>
              </w:rPr>
              <w:t>15%</w:t>
            </w:r>
          </w:p>
        </w:tc>
        <w:tc>
          <w:tcPr>
            <w:tcW w:w="960" w:type="dxa"/>
            <w:tcBorders>
              <w:top w:val="nil"/>
              <w:left w:val="nil"/>
              <w:bottom w:val="nil"/>
              <w:right w:val="nil"/>
            </w:tcBorders>
            <w:shd w:val="clear" w:color="auto" w:fill="auto"/>
            <w:noWrap/>
            <w:vAlign w:val="bottom"/>
            <w:hideMark/>
          </w:tcPr>
          <w:p w:rsidR="002B14DE" w:rsidRPr="00F23F2A" w:rsidRDefault="002B14DE" w:rsidP="002B14DE">
            <w:pPr>
              <w:spacing w:after="0" w:line="240" w:lineRule="auto"/>
              <w:jc w:val="right"/>
              <w:rPr>
                <w:rFonts w:ascii="Calibri" w:eastAsia="Times New Roman" w:hAnsi="Calibri" w:cs="Times New Roman"/>
                <w:color w:val="000000"/>
                <w:lang w:eastAsia="it-IT"/>
              </w:rPr>
            </w:pPr>
            <w:r w:rsidRPr="00F23F2A">
              <w:rPr>
                <w:rFonts w:ascii="Calibri" w:eastAsia="Times New Roman" w:hAnsi="Calibri" w:cs="Times New Roman"/>
                <w:color w:val="000000"/>
                <w:lang w:eastAsia="it-IT"/>
              </w:rPr>
              <w:t>37%</w:t>
            </w:r>
          </w:p>
        </w:tc>
        <w:tc>
          <w:tcPr>
            <w:tcW w:w="960" w:type="dxa"/>
            <w:tcBorders>
              <w:top w:val="nil"/>
              <w:left w:val="nil"/>
              <w:bottom w:val="nil"/>
              <w:right w:val="nil"/>
            </w:tcBorders>
            <w:shd w:val="clear" w:color="auto" w:fill="auto"/>
            <w:noWrap/>
            <w:vAlign w:val="bottom"/>
            <w:hideMark/>
          </w:tcPr>
          <w:p w:rsidR="002B14DE" w:rsidRPr="00F23F2A" w:rsidRDefault="002B14DE" w:rsidP="002B14DE">
            <w:pPr>
              <w:spacing w:after="0" w:line="240" w:lineRule="auto"/>
              <w:jc w:val="right"/>
              <w:rPr>
                <w:rFonts w:ascii="Calibri" w:eastAsia="Times New Roman" w:hAnsi="Calibri" w:cs="Times New Roman"/>
                <w:color w:val="000000"/>
                <w:lang w:eastAsia="it-IT"/>
              </w:rPr>
            </w:pPr>
            <w:r w:rsidRPr="00F23F2A">
              <w:rPr>
                <w:rFonts w:ascii="Calibri" w:eastAsia="Times New Roman" w:hAnsi="Calibri" w:cs="Times New Roman"/>
                <w:color w:val="000000"/>
                <w:lang w:eastAsia="it-IT"/>
              </w:rPr>
              <w:t>22%</w:t>
            </w:r>
          </w:p>
        </w:tc>
        <w:tc>
          <w:tcPr>
            <w:tcW w:w="960" w:type="dxa"/>
            <w:tcBorders>
              <w:top w:val="nil"/>
              <w:left w:val="nil"/>
              <w:bottom w:val="nil"/>
              <w:right w:val="nil"/>
            </w:tcBorders>
            <w:shd w:val="clear" w:color="auto" w:fill="auto"/>
            <w:noWrap/>
            <w:vAlign w:val="bottom"/>
            <w:hideMark/>
          </w:tcPr>
          <w:p w:rsidR="002B14DE" w:rsidRPr="00F23F2A" w:rsidRDefault="002B14DE" w:rsidP="002B14DE">
            <w:pPr>
              <w:spacing w:after="0" w:line="240" w:lineRule="auto"/>
              <w:jc w:val="right"/>
              <w:rPr>
                <w:rFonts w:ascii="Calibri" w:eastAsia="Times New Roman" w:hAnsi="Calibri" w:cs="Times New Roman"/>
                <w:color w:val="000000"/>
                <w:lang w:eastAsia="it-IT"/>
              </w:rPr>
            </w:pPr>
            <w:r w:rsidRPr="00F23F2A">
              <w:rPr>
                <w:rFonts w:ascii="Calibri" w:eastAsia="Times New Roman" w:hAnsi="Calibri" w:cs="Times New Roman"/>
                <w:color w:val="000000"/>
                <w:lang w:eastAsia="it-IT"/>
              </w:rPr>
              <w:t>6%</w:t>
            </w:r>
          </w:p>
        </w:tc>
        <w:tc>
          <w:tcPr>
            <w:tcW w:w="960" w:type="dxa"/>
            <w:tcBorders>
              <w:top w:val="nil"/>
              <w:left w:val="nil"/>
              <w:bottom w:val="nil"/>
              <w:right w:val="nil"/>
            </w:tcBorders>
            <w:shd w:val="clear" w:color="auto" w:fill="auto"/>
            <w:noWrap/>
            <w:vAlign w:val="bottom"/>
            <w:hideMark/>
          </w:tcPr>
          <w:p w:rsidR="002B14DE" w:rsidRPr="00F23F2A" w:rsidRDefault="002B14DE" w:rsidP="002B14DE">
            <w:pPr>
              <w:spacing w:after="0" w:line="240" w:lineRule="auto"/>
              <w:jc w:val="right"/>
              <w:rPr>
                <w:rFonts w:ascii="Calibri" w:eastAsia="Times New Roman" w:hAnsi="Calibri" w:cs="Times New Roman"/>
                <w:color w:val="000000"/>
                <w:lang w:eastAsia="it-IT"/>
              </w:rPr>
            </w:pPr>
            <w:r w:rsidRPr="00F23F2A">
              <w:rPr>
                <w:rFonts w:ascii="Calibri" w:eastAsia="Times New Roman" w:hAnsi="Calibri" w:cs="Times New Roman"/>
                <w:color w:val="000000"/>
                <w:lang w:eastAsia="it-IT"/>
              </w:rPr>
              <w:t>2%</w:t>
            </w:r>
          </w:p>
        </w:tc>
      </w:tr>
      <w:tr w:rsidR="002B14DE" w:rsidRPr="00F23F2A" w:rsidTr="002B14DE">
        <w:trPr>
          <w:trHeight w:val="300"/>
        </w:trPr>
        <w:tc>
          <w:tcPr>
            <w:tcW w:w="3633" w:type="dxa"/>
            <w:tcBorders>
              <w:top w:val="nil"/>
              <w:left w:val="nil"/>
              <w:bottom w:val="single" w:sz="4" w:space="0" w:color="auto"/>
              <w:right w:val="nil"/>
            </w:tcBorders>
            <w:shd w:val="clear" w:color="000000" w:fill="FFFFFF"/>
            <w:noWrap/>
            <w:vAlign w:val="bottom"/>
            <w:hideMark/>
          </w:tcPr>
          <w:p w:rsidR="002B14DE" w:rsidRPr="00F23F2A" w:rsidRDefault="002B14DE" w:rsidP="002B14DE">
            <w:pPr>
              <w:spacing w:after="0" w:line="240" w:lineRule="auto"/>
              <w:rPr>
                <w:rFonts w:ascii="Calibri" w:eastAsia="Times New Roman" w:hAnsi="Calibri" w:cs="Times New Roman"/>
                <w:color w:val="000000"/>
                <w:lang w:eastAsia="it-IT"/>
              </w:rPr>
            </w:pPr>
            <w:r w:rsidRPr="00F23F2A">
              <w:rPr>
                <w:rFonts w:ascii="Calibri" w:eastAsia="Times New Roman" w:hAnsi="Calibri" w:cs="Times New Roman"/>
                <w:color w:val="000000"/>
                <w:lang w:eastAsia="it-IT"/>
              </w:rPr>
              <w:t>4. oreficeria</w:t>
            </w:r>
          </w:p>
        </w:tc>
        <w:tc>
          <w:tcPr>
            <w:tcW w:w="960" w:type="dxa"/>
            <w:tcBorders>
              <w:top w:val="nil"/>
              <w:left w:val="nil"/>
              <w:bottom w:val="single" w:sz="4" w:space="0" w:color="auto"/>
              <w:right w:val="nil"/>
            </w:tcBorders>
            <w:shd w:val="clear" w:color="auto" w:fill="auto"/>
            <w:noWrap/>
            <w:vAlign w:val="bottom"/>
            <w:hideMark/>
          </w:tcPr>
          <w:p w:rsidR="002B14DE" w:rsidRPr="00F23F2A" w:rsidRDefault="002B14DE" w:rsidP="002B14DE">
            <w:pPr>
              <w:spacing w:after="0" w:line="240" w:lineRule="auto"/>
              <w:jc w:val="right"/>
              <w:rPr>
                <w:rFonts w:ascii="Calibri" w:eastAsia="Times New Roman" w:hAnsi="Calibri" w:cs="Times New Roman"/>
                <w:color w:val="000000"/>
                <w:lang w:eastAsia="it-IT"/>
              </w:rPr>
            </w:pPr>
            <w:r w:rsidRPr="00F23F2A">
              <w:rPr>
                <w:rFonts w:ascii="Calibri" w:eastAsia="Times New Roman" w:hAnsi="Calibri" w:cs="Times New Roman"/>
                <w:color w:val="000000"/>
                <w:lang w:eastAsia="it-IT"/>
              </w:rPr>
              <w:t>12%</w:t>
            </w:r>
          </w:p>
        </w:tc>
        <w:tc>
          <w:tcPr>
            <w:tcW w:w="960" w:type="dxa"/>
            <w:tcBorders>
              <w:top w:val="nil"/>
              <w:left w:val="nil"/>
              <w:bottom w:val="single" w:sz="4" w:space="0" w:color="auto"/>
              <w:right w:val="nil"/>
            </w:tcBorders>
            <w:shd w:val="clear" w:color="auto" w:fill="auto"/>
            <w:noWrap/>
            <w:vAlign w:val="bottom"/>
            <w:hideMark/>
          </w:tcPr>
          <w:p w:rsidR="002B14DE" w:rsidRPr="00F23F2A" w:rsidRDefault="002B14DE" w:rsidP="002B14DE">
            <w:pPr>
              <w:spacing w:after="0" w:line="240" w:lineRule="auto"/>
              <w:jc w:val="right"/>
              <w:rPr>
                <w:rFonts w:ascii="Calibri" w:eastAsia="Times New Roman" w:hAnsi="Calibri" w:cs="Times New Roman"/>
                <w:color w:val="000000"/>
                <w:lang w:eastAsia="it-IT"/>
              </w:rPr>
            </w:pPr>
            <w:r w:rsidRPr="00F23F2A">
              <w:rPr>
                <w:rFonts w:ascii="Calibri" w:eastAsia="Times New Roman" w:hAnsi="Calibri" w:cs="Times New Roman"/>
                <w:color w:val="000000"/>
                <w:lang w:eastAsia="it-IT"/>
              </w:rPr>
              <w:t>24%</w:t>
            </w:r>
          </w:p>
        </w:tc>
        <w:tc>
          <w:tcPr>
            <w:tcW w:w="960" w:type="dxa"/>
            <w:tcBorders>
              <w:top w:val="nil"/>
              <w:left w:val="nil"/>
              <w:bottom w:val="single" w:sz="4" w:space="0" w:color="auto"/>
              <w:right w:val="nil"/>
            </w:tcBorders>
            <w:shd w:val="clear" w:color="auto" w:fill="auto"/>
            <w:noWrap/>
            <w:vAlign w:val="bottom"/>
            <w:hideMark/>
          </w:tcPr>
          <w:p w:rsidR="002B14DE" w:rsidRPr="00F23F2A" w:rsidRDefault="002B14DE" w:rsidP="002B14DE">
            <w:pPr>
              <w:spacing w:after="0" w:line="240" w:lineRule="auto"/>
              <w:jc w:val="right"/>
              <w:rPr>
                <w:rFonts w:ascii="Calibri" w:eastAsia="Times New Roman" w:hAnsi="Calibri" w:cs="Times New Roman"/>
                <w:color w:val="000000"/>
                <w:lang w:eastAsia="it-IT"/>
              </w:rPr>
            </w:pPr>
            <w:r w:rsidRPr="00F23F2A">
              <w:rPr>
                <w:rFonts w:ascii="Calibri" w:eastAsia="Times New Roman" w:hAnsi="Calibri" w:cs="Times New Roman"/>
                <w:color w:val="000000"/>
                <w:lang w:eastAsia="it-IT"/>
              </w:rPr>
              <w:t>37%</w:t>
            </w:r>
          </w:p>
        </w:tc>
        <w:tc>
          <w:tcPr>
            <w:tcW w:w="960" w:type="dxa"/>
            <w:tcBorders>
              <w:top w:val="nil"/>
              <w:left w:val="nil"/>
              <w:bottom w:val="single" w:sz="4" w:space="0" w:color="auto"/>
              <w:right w:val="nil"/>
            </w:tcBorders>
            <w:shd w:val="clear" w:color="auto" w:fill="auto"/>
            <w:noWrap/>
            <w:vAlign w:val="bottom"/>
            <w:hideMark/>
          </w:tcPr>
          <w:p w:rsidR="002B14DE" w:rsidRPr="00F23F2A" w:rsidRDefault="002B14DE" w:rsidP="002B14DE">
            <w:pPr>
              <w:spacing w:after="0" w:line="240" w:lineRule="auto"/>
              <w:jc w:val="right"/>
              <w:rPr>
                <w:rFonts w:ascii="Calibri" w:eastAsia="Times New Roman" w:hAnsi="Calibri" w:cs="Times New Roman"/>
                <w:color w:val="000000"/>
                <w:lang w:eastAsia="it-IT"/>
              </w:rPr>
            </w:pPr>
            <w:r w:rsidRPr="00F23F2A">
              <w:rPr>
                <w:rFonts w:ascii="Calibri" w:eastAsia="Times New Roman" w:hAnsi="Calibri" w:cs="Times New Roman"/>
                <w:color w:val="000000"/>
                <w:lang w:eastAsia="it-IT"/>
              </w:rPr>
              <w:t>22%</w:t>
            </w:r>
          </w:p>
        </w:tc>
        <w:tc>
          <w:tcPr>
            <w:tcW w:w="960" w:type="dxa"/>
            <w:tcBorders>
              <w:top w:val="nil"/>
              <w:left w:val="nil"/>
              <w:bottom w:val="single" w:sz="4" w:space="0" w:color="auto"/>
              <w:right w:val="nil"/>
            </w:tcBorders>
            <w:shd w:val="clear" w:color="auto" w:fill="auto"/>
            <w:noWrap/>
            <w:vAlign w:val="bottom"/>
            <w:hideMark/>
          </w:tcPr>
          <w:p w:rsidR="002B14DE" w:rsidRPr="00F23F2A" w:rsidRDefault="002B14DE" w:rsidP="002B14DE">
            <w:pPr>
              <w:spacing w:after="0" w:line="240" w:lineRule="auto"/>
              <w:jc w:val="right"/>
              <w:rPr>
                <w:rFonts w:ascii="Calibri" w:eastAsia="Times New Roman" w:hAnsi="Calibri" w:cs="Times New Roman"/>
                <w:color w:val="000000"/>
                <w:lang w:eastAsia="it-IT"/>
              </w:rPr>
            </w:pPr>
            <w:r w:rsidRPr="00F23F2A">
              <w:rPr>
                <w:rFonts w:ascii="Calibri" w:eastAsia="Times New Roman" w:hAnsi="Calibri" w:cs="Times New Roman"/>
                <w:color w:val="000000"/>
                <w:lang w:eastAsia="it-IT"/>
              </w:rPr>
              <w:t>4%</w:t>
            </w:r>
          </w:p>
        </w:tc>
        <w:tc>
          <w:tcPr>
            <w:tcW w:w="960" w:type="dxa"/>
            <w:tcBorders>
              <w:top w:val="nil"/>
              <w:left w:val="nil"/>
              <w:bottom w:val="single" w:sz="4" w:space="0" w:color="auto"/>
              <w:right w:val="nil"/>
            </w:tcBorders>
            <w:shd w:val="clear" w:color="auto" w:fill="auto"/>
            <w:noWrap/>
            <w:vAlign w:val="bottom"/>
            <w:hideMark/>
          </w:tcPr>
          <w:p w:rsidR="002B14DE" w:rsidRPr="00F23F2A" w:rsidRDefault="002B14DE" w:rsidP="002B14DE">
            <w:pPr>
              <w:spacing w:after="0" w:line="240" w:lineRule="auto"/>
              <w:jc w:val="right"/>
              <w:rPr>
                <w:rFonts w:ascii="Calibri" w:eastAsia="Times New Roman" w:hAnsi="Calibri" w:cs="Times New Roman"/>
                <w:color w:val="000000"/>
                <w:lang w:eastAsia="it-IT"/>
              </w:rPr>
            </w:pPr>
            <w:r w:rsidRPr="00F23F2A">
              <w:rPr>
                <w:rFonts w:ascii="Calibri" w:eastAsia="Times New Roman" w:hAnsi="Calibri" w:cs="Times New Roman"/>
                <w:color w:val="000000"/>
                <w:lang w:eastAsia="it-IT"/>
              </w:rPr>
              <w:t>0%</w:t>
            </w:r>
          </w:p>
        </w:tc>
      </w:tr>
      <w:tr w:rsidR="002B14DE" w:rsidRPr="00F23F2A" w:rsidTr="002B14DE">
        <w:trPr>
          <w:trHeight w:val="300"/>
        </w:trPr>
        <w:tc>
          <w:tcPr>
            <w:tcW w:w="3633" w:type="dxa"/>
            <w:tcBorders>
              <w:top w:val="single" w:sz="4" w:space="0" w:color="auto"/>
              <w:left w:val="nil"/>
              <w:bottom w:val="single" w:sz="4" w:space="0" w:color="auto"/>
              <w:right w:val="nil"/>
            </w:tcBorders>
            <w:shd w:val="clear" w:color="000000" w:fill="FFFFFF"/>
            <w:noWrap/>
            <w:vAlign w:val="bottom"/>
            <w:hideMark/>
          </w:tcPr>
          <w:p w:rsidR="002B14DE" w:rsidRPr="00F23F2A" w:rsidRDefault="002B14DE" w:rsidP="002B14DE">
            <w:pPr>
              <w:spacing w:after="0" w:line="240" w:lineRule="auto"/>
              <w:rPr>
                <w:rFonts w:ascii="Calibri" w:eastAsia="Times New Roman" w:hAnsi="Calibri" w:cs="Times New Roman"/>
                <w:color w:val="000000"/>
                <w:lang w:eastAsia="it-IT"/>
              </w:rPr>
            </w:pPr>
            <w:r w:rsidRPr="00F23F2A">
              <w:rPr>
                <w:rFonts w:ascii="Calibri" w:eastAsia="Times New Roman" w:hAnsi="Calibri" w:cs="Times New Roman"/>
                <w:color w:val="000000"/>
                <w:lang w:eastAsia="it-IT"/>
              </w:rPr>
              <w:t>Totale complessivo</w:t>
            </w:r>
            <w:r>
              <w:rPr>
                <w:rFonts w:ascii="Calibri" w:eastAsia="Times New Roman" w:hAnsi="Calibri" w:cs="Times New Roman"/>
                <w:color w:val="000000"/>
                <w:lang w:eastAsia="it-IT"/>
              </w:rPr>
              <w:t xml:space="preserve"> orafo AR</w:t>
            </w:r>
          </w:p>
        </w:tc>
        <w:tc>
          <w:tcPr>
            <w:tcW w:w="960" w:type="dxa"/>
            <w:tcBorders>
              <w:top w:val="single" w:sz="4" w:space="0" w:color="auto"/>
              <w:left w:val="nil"/>
              <w:bottom w:val="single" w:sz="4" w:space="0" w:color="auto"/>
              <w:right w:val="nil"/>
            </w:tcBorders>
            <w:shd w:val="clear" w:color="auto" w:fill="auto"/>
            <w:noWrap/>
            <w:vAlign w:val="bottom"/>
            <w:hideMark/>
          </w:tcPr>
          <w:p w:rsidR="002B14DE" w:rsidRPr="00F23F2A" w:rsidRDefault="002B14DE" w:rsidP="002B14DE">
            <w:pPr>
              <w:spacing w:after="0" w:line="240" w:lineRule="auto"/>
              <w:jc w:val="right"/>
              <w:rPr>
                <w:rFonts w:ascii="Calibri" w:eastAsia="Times New Roman" w:hAnsi="Calibri" w:cs="Times New Roman"/>
                <w:color w:val="000000"/>
                <w:lang w:eastAsia="it-IT"/>
              </w:rPr>
            </w:pPr>
            <w:r w:rsidRPr="00F23F2A">
              <w:rPr>
                <w:rFonts w:ascii="Calibri" w:eastAsia="Times New Roman" w:hAnsi="Calibri" w:cs="Times New Roman"/>
                <w:color w:val="000000"/>
                <w:lang w:eastAsia="it-IT"/>
              </w:rPr>
              <w:t>13%</w:t>
            </w:r>
          </w:p>
        </w:tc>
        <w:tc>
          <w:tcPr>
            <w:tcW w:w="960" w:type="dxa"/>
            <w:tcBorders>
              <w:top w:val="single" w:sz="4" w:space="0" w:color="auto"/>
              <w:left w:val="nil"/>
              <w:bottom w:val="single" w:sz="4" w:space="0" w:color="auto"/>
              <w:right w:val="nil"/>
            </w:tcBorders>
            <w:shd w:val="clear" w:color="auto" w:fill="auto"/>
            <w:noWrap/>
            <w:vAlign w:val="bottom"/>
            <w:hideMark/>
          </w:tcPr>
          <w:p w:rsidR="002B14DE" w:rsidRPr="00F23F2A" w:rsidRDefault="002B14DE" w:rsidP="002B14DE">
            <w:pPr>
              <w:spacing w:after="0" w:line="240" w:lineRule="auto"/>
              <w:jc w:val="right"/>
              <w:rPr>
                <w:rFonts w:ascii="Calibri" w:eastAsia="Times New Roman" w:hAnsi="Calibri" w:cs="Times New Roman"/>
                <w:color w:val="000000"/>
                <w:lang w:eastAsia="it-IT"/>
              </w:rPr>
            </w:pPr>
            <w:r w:rsidRPr="00F23F2A">
              <w:rPr>
                <w:rFonts w:ascii="Calibri" w:eastAsia="Times New Roman" w:hAnsi="Calibri" w:cs="Times New Roman"/>
                <w:color w:val="000000"/>
                <w:lang w:eastAsia="it-IT"/>
              </w:rPr>
              <w:t>24%</w:t>
            </w:r>
          </w:p>
        </w:tc>
        <w:tc>
          <w:tcPr>
            <w:tcW w:w="960" w:type="dxa"/>
            <w:tcBorders>
              <w:top w:val="single" w:sz="4" w:space="0" w:color="auto"/>
              <w:left w:val="nil"/>
              <w:bottom w:val="single" w:sz="4" w:space="0" w:color="auto"/>
              <w:right w:val="nil"/>
            </w:tcBorders>
            <w:shd w:val="clear" w:color="auto" w:fill="auto"/>
            <w:noWrap/>
            <w:vAlign w:val="bottom"/>
            <w:hideMark/>
          </w:tcPr>
          <w:p w:rsidR="002B14DE" w:rsidRPr="00F23F2A" w:rsidRDefault="002B14DE" w:rsidP="002B14DE">
            <w:pPr>
              <w:spacing w:after="0" w:line="240" w:lineRule="auto"/>
              <w:jc w:val="right"/>
              <w:rPr>
                <w:rFonts w:ascii="Calibri" w:eastAsia="Times New Roman" w:hAnsi="Calibri" w:cs="Times New Roman"/>
                <w:color w:val="000000"/>
                <w:lang w:eastAsia="it-IT"/>
              </w:rPr>
            </w:pPr>
            <w:r w:rsidRPr="00F23F2A">
              <w:rPr>
                <w:rFonts w:ascii="Calibri" w:eastAsia="Times New Roman" w:hAnsi="Calibri" w:cs="Times New Roman"/>
                <w:color w:val="000000"/>
                <w:lang w:eastAsia="it-IT"/>
              </w:rPr>
              <w:t>36%</w:t>
            </w:r>
          </w:p>
        </w:tc>
        <w:tc>
          <w:tcPr>
            <w:tcW w:w="960" w:type="dxa"/>
            <w:tcBorders>
              <w:top w:val="single" w:sz="4" w:space="0" w:color="auto"/>
              <w:left w:val="nil"/>
              <w:bottom w:val="single" w:sz="4" w:space="0" w:color="auto"/>
              <w:right w:val="nil"/>
            </w:tcBorders>
            <w:shd w:val="clear" w:color="auto" w:fill="auto"/>
            <w:noWrap/>
            <w:vAlign w:val="bottom"/>
            <w:hideMark/>
          </w:tcPr>
          <w:p w:rsidR="002B14DE" w:rsidRPr="00F23F2A" w:rsidRDefault="002B14DE" w:rsidP="002B14DE">
            <w:pPr>
              <w:spacing w:after="0" w:line="240" w:lineRule="auto"/>
              <w:jc w:val="right"/>
              <w:rPr>
                <w:rFonts w:ascii="Calibri" w:eastAsia="Times New Roman" w:hAnsi="Calibri" w:cs="Times New Roman"/>
                <w:color w:val="000000"/>
                <w:lang w:eastAsia="it-IT"/>
              </w:rPr>
            </w:pPr>
            <w:r w:rsidRPr="00F23F2A">
              <w:rPr>
                <w:rFonts w:ascii="Calibri" w:eastAsia="Times New Roman" w:hAnsi="Calibri" w:cs="Times New Roman"/>
                <w:color w:val="000000"/>
                <w:lang w:eastAsia="it-IT"/>
              </w:rPr>
              <w:t>21%</w:t>
            </w:r>
          </w:p>
        </w:tc>
        <w:tc>
          <w:tcPr>
            <w:tcW w:w="960" w:type="dxa"/>
            <w:tcBorders>
              <w:top w:val="single" w:sz="4" w:space="0" w:color="auto"/>
              <w:left w:val="nil"/>
              <w:bottom w:val="single" w:sz="4" w:space="0" w:color="auto"/>
              <w:right w:val="nil"/>
            </w:tcBorders>
            <w:shd w:val="clear" w:color="auto" w:fill="auto"/>
            <w:noWrap/>
            <w:vAlign w:val="bottom"/>
            <w:hideMark/>
          </w:tcPr>
          <w:p w:rsidR="002B14DE" w:rsidRPr="00F23F2A" w:rsidRDefault="002B14DE" w:rsidP="002B14DE">
            <w:pPr>
              <w:spacing w:after="0" w:line="240" w:lineRule="auto"/>
              <w:jc w:val="right"/>
              <w:rPr>
                <w:rFonts w:ascii="Calibri" w:eastAsia="Times New Roman" w:hAnsi="Calibri" w:cs="Times New Roman"/>
                <w:color w:val="000000"/>
                <w:lang w:eastAsia="it-IT"/>
              </w:rPr>
            </w:pPr>
            <w:r w:rsidRPr="00F23F2A">
              <w:rPr>
                <w:rFonts w:ascii="Calibri" w:eastAsia="Times New Roman" w:hAnsi="Calibri" w:cs="Times New Roman"/>
                <w:color w:val="000000"/>
                <w:lang w:eastAsia="it-IT"/>
              </w:rPr>
              <w:t>4%</w:t>
            </w:r>
          </w:p>
        </w:tc>
        <w:tc>
          <w:tcPr>
            <w:tcW w:w="960" w:type="dxa"/>
            <w:tcBorders>
              <w:top w:val="single" w:sz="4" w:space="0" w:color="auto"/>
              <w:left w:val="nil"/>
              <w:bottom w:val="single" w:sz="4" w:space="0" w:color="auto"/>
              <w:right w:val="nil"/>
            </w:tcBorders>
            <w:shd w:val="clear" w:color="auto" w:fill="auto"/>
            <w:noWrap/>
            <w:vAlign w:val="bottom"/>
            <w:hideMark/>
          </w:tcPr>
          <w:p w:rsidR="002B14DE" w:rsidRPr="00F23F2A" w:rsidRDefault="002B14DE" w:rsidP="002B14DE">
            <w:pPr>
              <w:spacing w:after="0" w:line="240" w:lineRule="auto"/>
              <w:jc w:val="right"/>
              <w:rPr>
                <w:rFonts w:ascii="Calibri" w:eastAsia="Times New Roman" w:hAnsi="Calibri" w:cs="Times New Roman"/>
                <w:color w:val="000000"/>
                <w:lang w:eastAsia="it-IT"/>
              </w:rPr>
            </w:pPr>
            <w:r w:rsidRPr="00F23F2A">
              <w:rPr>
                <w:rFonts w:ascii="Calibri" w:eastAsia="Times New Roman" w:hAnsi="Calibri" w:cs="Times New Roman"/>
                <w:color w:val="000000"/>
                <w:lang w:eastAsia="it-IT"/>
              </w:rPr>
              <w:t>1%</w:t>
            </w:r>
          </w:p>
        </w:tc>
      </w:tr>
      <w:tr w:rsidR="002B14DE" w:rsidRPr="00F23F2A" w:rsidTr="002B14DE">
        <w:trPr>
          <w:trHeight w:val="300"/>
        </w:trPr>
        <w:tc>
          <w:tcPr>
            <w:tcW w:w="3633" w:type="dxa"/>
            <w:tcBorders>
              <w:top w:val="single" w:sz="4" w:space="0" w:color="auto"/>
              <w:left w:val="nil"/>
              <w:bottom w:val="single" w:sz="4" w:space="0" w:color="auto"/>
              <w:right w:val="nil"/>
            </w:tcBorders>
            <w:shd w:val="clear" w:color="000000" w:fill="FFFFFF"/>
            <w:noWrap/>
            <w:vAlign w:val="bottom"/>
          </w:tcPr>
          <w:p w:rsidR="002B14DE" w:rsidRPr="00F23F2A" w:rsidRDefault="002B14DE" w:rsidP="002B14DE">
            <w:pPr>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 xml:space="preserve">Totale complessivo </w:t>
            </w:r>
            <w:proofErr w:type="spellStart"/>
            <w:r>
              <w:rPr>
                <w:rFonts w:ascii="Calibri" w:eastAsia="Times New Roman" w:hAnsi="Calibri" w:cs="Times New Roman"/>
                <w:color w:val="000000"/>
                <w:lang w:eastAsia="it-IT"/>
              </w:rPr>
              <w:t>artigian.Toscana</w:t>
            </w:r>
            <w:proofErr w:type="spellEnd"/>
          </w:p>
        </w:tc>
        <w:tc>
          <w:tcPr>
            <w:tcW w:w="960" w:type="dxa"/>
            <w:tcBorders>
              <w:top w:val="single" w:sz="4" w:space="0" w:color="auto"/>
              <w:left w:val="nil"/>
              <w:bottom w:val="single" w:sz="4" w:space="0" w:color="auto"/>
              <w:right w:val="nil"/>
            </w:tcBorders>
            <w:shd w:val="clear" w:color="auto" w:fill="auto"/>
            <w:noWrap/>
            <w:vAlign w:val="bottom"/>
          </w:tcPr>
          <w:p w:rsidR="002B14DE" w:rsidRPr="00F23F2A" w:rsidRDefault="002B14DE" w:rsidP="002B14DE">
            <w:pPr>
              <w:spacing w:after="0" w:line="240" w:lineRule="auto"/>
              <w:jc w:val="right"/>
              <w:rPr>
                <w:rFonts w:ascii="Calibri" w:eastAsia="Times New Roman" w:hAnsi="Calibri" w:cs="Times New Roman"/>
                <w:color w:val="000000"/>
                <w:lang w:eastAsia="it-IT"/>
              </w:rPr>
            </w:pPr>
            <w:r>
              <w:rPr>
                <w:rFonts w:ascii="Calibri" w:eastAsia="Times New Roman" w:hAnsi="Calibri" w:cs="Times New Roman"/>
                <w:color w:val="000000"/>
                <w:lang w:eastAsia="it-IT"/>
              </w:rPr>
              <w:t>12%</w:t>
            </w:r>
          </w:p>
        </w:tc>
        <w:tc>
          <w:tcPr>
            <w:tcW w:w="960" w:type="dxa"/>
            <w:tcBorders>
              <w:top w:val="single" w:sz="4" w:space="0" w:color="auto"/>
              <w:left w:val="nil"/>
              <w:bottom w:val="single" w:sz="4" w:space="0" w:color="auto"/>
              <w:right w:val="nil"/>
            </w:tcBorders>
            <w:shd w:val="clear" w:color="auto" w:fill="auto"/>
            <w:noWrap/>
            <w:vAlign w:val="bottom"/>
          </w:tcPr>
          <w:p w:rsidR="002B14DE" w:rsidRPr="00F23F2A" w:rsidRDefault="002B14DE" w:rsidP="002B14DE">
            <w:pPr>
              <w:spacing w:after="0" w:line="240" w:lineRule="auto"/>
              <w:jc w:val="right"/>
              <w:rPr>
                <w:rFonts w:ascii="Calibri" w:eastAsia="Times New Roman" w:hAnsi="Calibri" w:cs="Times New Roman"/>
                <w:color w:val="000000"/>
                <w:lang w:eastAsia="it-IT"/>
              </w:rPr>
            </w:pPr>
            <w:r>
              <w:rPr>
                <w:rFonts w:ascii="Calibri" w:eastAsia="Times New Roman" w:hAnsi="Calibri" w:cs="Times New Roman"/>
                <w:color w:val="000000"/>
                <w:lang w:eastAsia="it-IT"/>
              </w:rPr>
              <w:t>26%</w:t>
            </w:r>
          </w:p>
        </w:tc>
        <w:tc>
          <w:tcPr>
            <w:tcW w:w="960" w:type="dxa"/>
            <w:tcBorders>
              <w:top w:val="single" w:sz="4" w:space="0" w:color="auto"/>
              <w:left w:val="nil"/>
              <w:bottom w:val="single" w:sz="4" w:space="0" w:color="auto"/>
              <w:right w:val="nil"/>
            </w:tcBorders>
            <w:shd w:val="clear" w:color="auto" w:fill="auto"/>
            <w:noWrap/>
            <w:vAlign w:val="bottom"/>
          </w:tcPr>
          <w:p w:rsidR="002B14DE" w:rsidRPr="00F23F2A" w:rsidRDefault="002B14DE" w:rsidP="002B14DE">
            <w:pPr>
              <w:spacing w:after="0" w:line="240" w:lineRule="auto"/>
              <w:jc w:val="right"/>
              <w:rPr>
                <w:rFonts w:ascii="Calibri" w:eastAsia="Times New Roman" w:hAnsi="Calibri" w:cs="Times New Roman"/>
                <w:color w:val="000000"/>
                <w:lang w:eastAsia="it-IT"/>
              </w:rPr>
            </w:pPr>
            <w:r>
              <w:rPr>
                <w:rFonts w:ascii="Calibri" w:eastAsia="Times New Roman" w:hAnsi="Calibri" w:cs="Times New Roman"/>
                <w:color w:val="000000"/>
                <w:lang w:eastAsia="it-IT"/>
              </w:rPr>
              <w:t>29%</w:t>
            </w:r>
          </w:p>
        </w:tc>
        <w:tc>
          <w:tcPr>
            <w:tcW w:w="960" w:type="dxa"/>
            <w:tcBorders>
              <w:top w:val="single" w:sz="4" w:space="0" w:color="auto"/>
              <w:left w:val="nil"/>
              <w:bottom w:val="single" w:sz="4" w:space="0" w:color="auto"/>
              <w:right w:val="nil"/>
            </w:tcBorders>
            <w:shd w:val="clear" w:color="auto" w:fill="auto"/>
            <w:noWrap/>
            <w:vAlign w:val="bottom"/>
          </w:tcPr>
          <w:p w:rsidR="002B14DE" w:rsidRPr="00F23F2A" w:rsidRDefault="002B14DE" w:rsidP="002B14DE">
            <w:pPr>
              <w:spacing w:after="0" w:line="240" w:lineRule="auto"/>
              <w:jc w:val="right"/>
              <w:rPr>
                <w:rFonts w:ascii="Calibri" w:eastAsia="Times New Roman" w:hAnsi="Calibri" w:cs="Times New Roman"/>
                <w:color w:val="000000"/>
                <w:lang w:eastAsia="it-IT"/>
              </w:rPr>
            </w:pPr>
            <w:r>
              <w:rPr>
                <w:rFonts w:ascii="Calibri" w:eastAsia="Times New Roman" w:hAnsi="Calibri" w:cs="Times New Roman"/>
                <w:color w:val="000000"/>
                <w:lang w:eastAsia="it-IT"/>
              </w:rPr>
              <w:t>24%</w:t>
            </w:r>
          </w:p>
        </w:tc>
        <w:tc>
          <w:tcPr>
            <w:tcW w:w="960" w:type="dxa"/>
            <w:tcBorders>
              <w:top w:val="single" w:sz="4" w:space="0" w:color="auto"/>
              <w:left w:val="nil"/>
              <w:bottom w:val="single" w:sz="4" w:space="0" w:color="auto"/>
              <w:right w:val="nil"/>
            </w:tcBorders>
            <w:shd w:val="clear" w:color="auto" w:fill="auto"/>
            <w:noWrap/>
            <w:vAlign w:val="bottom"/>
          </w:tcPr>
          <w:p w:rsidR="002B14DE" w:rsidRPr="00F23F2A" w:rsidRDefault="002B14DE" w:rsidP="002B14DE">
            <w:pPr>
              <w:spacing w:after="0" w:line="240" w:lineRule="auto"/>
              <w:jc w:val="right"/>
              <w:rPr>
                <w:rFonts w:ascii="Calibri" w:eastAsia="Times New Roman" w:hAnsi="Calibri" w:cs="Times New Roman"/>
                <w:color w:val="000000"/>
                <w:lang w:eastAsia="it-IT"/>
              </w:rPr>
            </w:pPr>
            <w:r>
              <w:rPr>
                <w:rFonts w:ascii="Calibri" w:eastAsia="Times New Roman" w:hAnsi="Calibri" w:cs="Times New Roman"/>
                <w:color w:val="000000"/>
                <w:lang w:eastAsia="it-IT"/>
              </w:rPr>
              <w:t>8%</w:t>
            </w:r>
          </w:p>
        </w:tc>
        <w:tc>
          <w:tcPr>
            <w:tcW w:w="960" w:type="dxa"/>
            <w:tcBorders>
              <w:top w:val="single" w:sz="4" w:space="0" w:color="auto"/>
              <w:left w:val="nil"/>
              <w:bottom w:val="single" w:sz="4" w:space="0" w:color="auto"/>
              <w:right w:val="nil"/>
            </w:tcBorders>
            <w:shd w:val="clear" w:color="auto" w:fill="auto"/>
            <w:noWrap/>
            <w:vAlign w:val="bottom"/>
          </w:tcPr>
          <w:p w:rsidR="002B14DE" w:rsidRPr="00F23F2A" w:rsidRDefault="002B14DE" w:rsidP="002B14DE">
            <w:pPr>
              <w:spacing w:after="0" w:line="240" w:lineRule="auto"/>
              <w:jc w:val="right"/>
              <w:rPr>
                <w:rFonts w:ascii="Calibri" w:eastAsia="Times New Roman" w:hAnsi="Calibri" w:cs="Times New Roman"/>
                <w:color w:val="000000"/>
                <w:lang w:eastAsia="it-IT"/>
              </w:rPr>
            </w:pPr>
            <w:r>
              <w:rPr>
                <w:rFonts w:ascii="Calibri" w:eastAsia="Times New Roman" w:hAnsi="Calibri" w:cs="Times New Roman"/>
                <w:color w:val="000000"/>
                <w:lang w:eastAsia="it-IT"/>
              </w:rPr>
              <w:t>1%</w:t>
            </w:r>
          </w:p>
        </w:tc>
      </w:tr>
    </w:tbl>
    <w:p w:rsidR="002B14DE" w:rsidRDefault="002B14DE" w:rsidP="002B14DE">
      <w:pPr>
        <w:rPr>
          <w:sz w:val="24"/>
          <w:szCs w:val="24"/>
        </w:rPr>
      </w:pPr>
    </w:p>
    <w:p w:rsidR="002B14DE" w:rsidRDefault="002B14DE" w:rsidP="002B14DE">
      <w:pPr>
        <w:jc w:val="both"/>
        <w:rPr>
          <w:sz w:val="24"/>
          <w:szCs w:val="24"/>
        </w:rPr>
      </w:pPr>
      <w:r>
        <w:rPr>
          <w:sz w:val="24"/>
          <w:szCs w:val="24"/>
        </w:rPr>
        <w:t xml:space="preserve">Per quanto riguarda le differenze nella distribuzione per età degli addetti dipendenti nei vari settori, possiamo osservare </w:t>
      </w:r>
      <w:r w:rsidR="00BF48AB">
        <w:rPr>
          <w:sz w:val="24"/>
          <w:szCs w:val="24"/>
        </w:rPr>
        <w:t>nel grafico successivo</w:t>
      </w:r>
      <w:r w:rsidR="00BF48AB">
        <w:rPr>
          <w:rStyle w:val="Rimandonotaapidipagina"/>
          <w:sz w:val="24"/>
          <w:szCs w:val="24"/>
        </w:rPr>
        <w:footnoteReference w:id="7"/>
      </w:r>
      <w:r w:rsidR="00BF48AB">
        <w:rPr>
          <w:sz w:val="24"/>
          <w:szCs w:val="24"/>
        </w:rPr>
        <w:t xml:space="preserve"> </w:t>
      </w:r>
      <w:r>
        <w:rPr>
          <w:sz w:val="24"/>
          <w:szCs w:val="24"/>
        </w:rPr>
        <w:t>come siano mediamente più giovani gli addetti alle lavorazioni superficiali dei metalli preziosi, rispetto ai lavoratori che producono direttamente gioielli.</w:t>
      </w:r>
    </w:p>
    <w:p w:rsidR="002B14DE" w:rsidRDefault="002B14DE" w:rsidP="002B14DE">
      <w:pPr>
        <w:rPr>
          <w:sz w:val="24"/>
          <w:szCs w:val="24"/>
        </w:rPr>
      </w:pPr>
    </w:p>
    <w:p w:rsidR="002B14DE" w:rsidRDefault="009228CF" w:rsidP="002B14DE">
      <w:pPr>
        <w:rPr>
          <w:sz w:val="24"/>
          <w:szCs w:val="24"/>
        </w:rPr>
      </w:pPr>
      <w:r w:rsidRPr="009228CF">
        <w:rPr>
          <w:noProof/>
          <w:lang w:eastAsia="it-IT"/>
        </w:rPr>
        <w:drawing>
          <wp:inline distT="0" distB="0" distL="0" distR="0">
            <wp:extent cx="4343400" cy="2609652"/>
            <wp:effectExtent l="0" t="0" r="0" b="63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51515" cy="2614528"/>
                    </a:xfrm>
                    <a:prstGeom prst="rect">
                      <a:avLst/>
                    </a:prstGeom>
                    <a:noFill/>
                    <a:ln>
                      <a:noFill/>
                    </a:ln>
                  </pic:spPr>
                </pic:pic>
              </a:graphicData>
            </a:graphic>
          </wp:inline>
        </w:drawing>
      </w:r>
    </w:p>
    <w:p w:rsidR="002B14DE" w:rsidRDefault="002B14DE" w:rsidP="002B14DE">
      <w:pPr>
        <w:rPr>
          <w:sz w:val="24"/>
          <w:szCs w:val="24"/>
        </w:rPr>
      </w:pPr>
      <w:r>
        <w:rPr>
          <w:sz w:val="24"/>
          <w:szCs w:val="24"/>
        </w:rPr>
        <w:t>Naturalmente i lavoratori immigrati sono mediamente più giovani di quelli italiani, come si può vedere dal seguente grafico, che riporta la distribuzione percentuale per anno di nascita degli uni e degli altri (in forma di medie mobili a tre termini).</w:t>
      </w:r>
    </w:p>
    <w:p w:rsidR="00BF48AB" w:rsidRDefault="00BF48AB" w:rsidP="002B14DE">
      <w:pPr>
        <w:rPr>
          <w:sz w:val="24"/>
          <w:szCs w:val="24"/>
        </w:rPr>
      </w:pPr>
    </w:p>
    <w:p w:rsidR="002B14DE" w:rsidRDefault="002B14DE" w:rsidP="002B14DE">
      <w:pPr>
        <w:rPr>
          <w:sz w:val="24"/>
          <w:szCs w:val="24"/>
        </w:rPr>
      </w:pPr>
      <w:r>
        <w:rPr>
          <w:noProof/>
          <w:lang w:eastAsia="it-IT"/>
        </w:rPr>
        <w:drawing>
          <wp:inline distT="0" distB="0" distL="0" distR="0" wp14:anchorId="2FCA021A" wp14:editId="73BF7AA1">
            <wp:extent cx="4286250" cy="2533650"/>
            <wp:effectExtent l="0" t="0" r="0" b="0"/>
            <wp:docPr id="2" name="Gra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B14DE" w:rsidRDefault="002B14DE" w:rsidP="002B14DE">
      <w:pPr>
        <w:rPr>
          <w:sz w:val="24"/>
          <w:szCs w:val="24"/>
        </w:rPr>
      </w:pPr>
    </w:p>
    <w:p w:rsidR="002B14DE" w:rsidRDefault="002B14DE" w:rsidP="002B14DE">
      <w:pPr>
        <w:jc w:val="both"/>
        <w:rPr>
          <w:sz w:val="24"/>
          <w:szCs w:val="24"/>
        </w:rPr>
      </w:pPr>
      <w:r>
        <w:rPr>
          <w:sz w:val="24"/>
          <w:szCs w:val="24"/>
        </w:rPr>
        <w:t xml:space="preserve">E’ possibile, ma solo in alcuni casi, individuare le “imprese etniche”, proprietà di imprenditori stranieri, presumibilmente immigrati (attraverso lo stato di nascita oppure attraverso il nominativo del proprietario se indicato). Si tratta, nel nostro caso, di almeno 22 imprese, con proprietario bengalese (9 imprese con 39 addetti, tutti bengalesi), pakistano (9 imprese con 52 dipendenti, di cui 48 pakistani, 3 bengalesi e un italiano), indiano (2 imprese con 7 dipendenti, tutti indiani), romeno (2 imprese con 10 dipendenti, di cui 3 romeni, 3 pakistani, 2 bengalesi, un italiano e un albanese). Si nota dunque che la maggior parte dei pakistani (48 su 75) e molti bengalesi (39 su 109) lavorano in imprese interne alla collettività nazionale di appartenenza. Non è possibile individuare un vero e proprio “distretto etnico” come si è affermato in altri casi (cinesi a Prato), ma certamente esistono almeno alcune pre-condizioni di un suo sviluppo, probabilmente supportate da una motivazione verso il mettersi in proprio degli immigrati dal subcontinente indiano. Tutte le attività “etniche” sono nel settore orafo propriamente detto, salvo una nel trattamento superficiale dei preziosi (bengalese) e tre nella bigiotteria (due romeni e un bengalese).  </w:t>
      </w:r>
    </w:p>
    <w:p w:rsidR="002B14DE" w:rsidRDefault="002B14DE" w:rsidP="002B14DE">
      <w:pPr>
        <w:jc w:val="both"/>
        <w:rPr>
          <w:sz w:val="24"/>
          <w:szCs w:val="24"/>
        </w:rPr>
      </w:pPr>
      <w:r>
        <w:rPr>
          <w:sz w:val="24"/>
          <w:szCs w:val="24"/>
        </w:rPr>
        <w:t xml:space="preserve">La composizione di genere è relativamente equilibrata, le donne costituiscono il 46,7% degli addetti, dunque l percentuale degli occupati maschi è del 53,3%. </w:t>
      </w:r>
    </w:p>
    <w:p w:rsidR="002B14DE" w:rsidRDefault="002B14DE" w:rsidP="002B14DE">
      <w:pPr>
        <w:rPr>
          <w:sz w:val="24"/>
          <w:szCs w:val="24"/>
        </w:rPr>
      </w:pPr>
    </w:p>
    <w:p w:rsidR="00BF48AB" w:rsidRPr="00BF48AB" w:rsidRDefault="00CD214C" w:rsidP="002B14DE">
      <w:pPr>
        <w:rPr>
          <w:i/>
          <w:sz w:val="24"/>
          <w:szCs w:val="24"/>
        </w:rPr>
      </w:pPr>
      <w:proofErr w:type="spellStart"/>
      <w:r>
        <w:rPr>
          <w:i/>
          <w:sz w:val="24"/>
          <w:szCs w:val="24"/>
        </w:rPr>
        <w:t>Tab</w:t>
      </w:r>
      <w:proofErr w:type="spellEnd"/>
      <w:r>
        <w:rPr>
          <w:i/>
          <w:sz w:val="24"/>
          <w:szCs w:val="24"/>
        </w:rPr>
        <w:t xml:space="preserve">. 2.6 </w:t>
      </w:r>
      <w:r w:rsidR="00BF48AB" w:rsidRPr="00BF48AB">
        <w:rPr>
          <w:i/>
          <w:sz w:val="24"/>
          <w:szCs w:val="24"/>
        </w:rPr>
        <w:t>Dipendenti dell’artigianato per genere e struttura oraria del contratto</w:t>
      </w:r>
    </w:p>
    <w:tbl>
      <w:tblPr>
        <w:tblW w:w="5460" w:type="dxa"/>
        <w:tblCellMar>
          <w:left w:w="70" w:type="dxa"/>
          <w:right w:w="70" w:type="dxa"/>
        </w:tblCellMar>
        <w:tblLook w:val="04A0" w:firstRow="1" w:lastRow="0" w:firstColumn="1" w:lastColumn="0" w:noHBand="0" w:noVBand="1"/>
      </w:tblPr>
      <w:tblGrid>
        <w:gridCol w:w="2220"/>
        <w:gridCol w:w="587"/>
        <w:gridCol w:w="800"/>
        <w:gridCol w:w="1920"/>
      </w:tblGrid>
      <w:tr w:rsidR="002B14DE" w:rsidRPr="0072496C" w:rsidTr="002B14DE">
        <w:trPr>
          <w:trHeight w:val="300"/>
        </w:trPr>
        <w:tc>
          <w:tcPr>
            <w:tcW w:w="2220" w:type="dxa"/>
            <w:tcBorders>
              <w:top w:val="single" w:sz="4" w:space="0" w:color="auto"/>
              <w:left w:val="nil"/>
              <w:bottom w:val="single" w:sz="4" w:space="0" w:color="auto"/>
              <w:right w:val="nil"/>
            </w:tcBorders>
            <w:shd w:val="clear" w:color="auto" w:fill="auto"/>
            <w:noWrap/>
            <w:vAlign w:val="bottom"/>
            <w:hideMark/>
          </w:tcPr>
          <w:p w:rsidR="002B14DE" w:rsidRPr="0072496C" w:rsidRDefault="002B14DE" w:rsidP="002B14DE">
            <w:pPr>
              <w:spacing w:after="0" w:line="240" w:lineRule="auto"/>
              <w:rPr>
                <w:rFonts w:ascii="Times New Roman" w:eastAsia="Times New Roman" w:hAnsi="Times New Roman" w:cs="Times New Roman"/>
                <w:sz w:val="24"/>
                <w:szCs w:val="24"/>
                <w:lang w:eastAsia="it-IT"/>
              </w:rPr>
            </w:pPr>
          </w:p>
        </w:tc>
        <w:tc>
          <w:tcPr>
            <w:tcW w:w="520" w:type="dxa"/>
            <w:tcBorders>
              <w:top w:val="single" w:sz="4" w:space="0" w:color="auto"/>
              <w:left w:val="nil"/>
              <w:bottom w:val="single" w:sz="4" w:space="0" w:color="auto"/>
              <w:right w:val="nil"/>
            </w:tcBorders>
            <w:shd w:val="clear" w:color="auto" w:fill="auto"/>
            <w:noWrap/>
            <w:vAlign w:val="bottom"/>
            <w:hideMark/>
          </w:tcPr>
          <w:p w:rsidR="002B14DE" w:rsidRPr="0072496C" w:rsidRDefault="002B14DE" w:rsidP="002B14DE">
            <w:pPr>
              <w:spacing w:after="0" w:line="240" w:lineRule="auto"/>
              <w:rPr>
                <w:rFonts w:ascii="Calibri" w:eastAsia="Times New Roman" w:hAnsi="Calibri" w:cs="Times New Roman"/>
                <w:color w:val="000000"/>
                <w:lang w:eastAsia="it-IT"/>
              </w:rPr>
            </w:pPr>
            <w:proofErr w:type="gramStart"/>
            <w:r w:rsidRPr="0072496C">
              <w:rPr>
                <w:rFonts w:ascii="Calibri" w:eastAsia="Times New Roman" w:hAnsi="Calibri" w:cs="Times New Roman"/>
                <w:color w:val="000000"/>
                <w:lang w:eastAsia="it-IT"/>
              </w:rPr>
              <w:t>u</w:t>
            </w:r>
            <w:proofErr w:type="gramEnd"/>
          </w:p>
        </w:tc>
        <w:tc>
          <w:tcPr>
            <w:tcW w:w="800" w:type="dxa"/>
            <w:tcBorders>
              <w:top w:val="single" w:sz="4" w:space="0" w:color="auto"/>
              <w:left w:val="nil"/>
              <w:bottom w:val="single" w:sz="4" w:space="0" w:color="auto"/>
              <w:right w:val="nil"/>
            </w:tcBorders>
            <w:shd w:val="clear" w:color="auto" w:fill="auto"/>
            <w:noWrap/>
            <w:vAlign w:val="bottom"/>
            <w:hideMark/>
          </w:tcPr>
          <w:p w:rsidR="002B14DE" w:rsidRPr="0072496C" w:rsidRDefault="002B14DE" w:rsidP="002B14DE">
            <w:pPr>
              <w:spacing w:after="0" w:line="240" w:lineRule="auto"/>
              <w:rPr>
                <w:rFonts w:ascii="Calibri" w:eastAsia="Times New Roman" w:hAnsi="Calibri" w:cs="Times New Roman"/>
                <w:color w:val="000000"/>
                <w:lang w:eastAsia="it-IT"/>
              </w:rPr>
            </w:pPr>
            <w:proofErr w:type="gramStart"/>
            <w:r w:rsidRPr="0072496C">
              <w:rPr>
                <w:rFonts w:ascii="Calibri" w:eastAsia="Times New Roman" w:hAnsi="Calibri" w:cs="Times New Roman"/>
                <w:color w:val="000000"/>
                <w:lang w:eastAsia="it-IT"/>
              </w:rPr>
              <w:t>d</w:t>
            </w:r>
            <w:proofErr w:type="gramEnd"/>
          </w:p>
        </w:tc>
        <w:tc>
          <w:tcPr>
            <w:tcW w:w="1920" w:type="dxa"/>
            <w:tcBorders>
              <w:top w:val="single" w:sz="4" w:space="0" w:color="auto"/>
              <w:left w:val="nil"/>
              <w:bottom w:val="single" w:sz="4" w:space="0" w:color="auto"/>
              <w:right w:val="nil"/>
            </w:tcBorders>
            <w:shd w:val="clear" w:color="auto" w:fill="auto"/>
            <w:noWrap/>
            <w:vAlign w:val="bottom"/>
            <w:hideMark/>
          </w:tcPr>
          <w:p w:rsidR="002B14DE" w:rsidRPr="0072496C" w:rsidRDefault="002B14DE" w:rsidP="002B14DE">
            <w:pPr>
              <w:spacing w:after="0" w:line="240" w:lineRule="auto"/>
              <w:rPr>
                <w:rFonts w:ascii="Calibri" w:eastAsia="Times New Roman" w:hAnsi="Calibri" w:cs="Times New Roman"/>
                <w:color w:val="000000"/>
                <w:lang w:eastAsia="it-IT"/>
              </w:rPr>
            </w:pPr>
            <w:proofErr w:type="gramStart"/>
            <w:r w:rsidRPr="0072496C">
              <w:rPr>
                <w:rFonts w:ascii="Calibri" w:eastAsia="Times New Roman" w:hAnsi="Calibri" w:cs="Times New Roman"/>
                <w:color w:val="000000"/>
                <w:lang w:eastAsia="it-IT"/>
              </w:rPr>
              <w:t>totale</w:t>
            </w:r>
            <w:proofErr w:type="gramEnd"/>
          </w:p>
        </w:tc>
      </w:tr>
      <w:tr w:rsidR="002B14DE" w:rsidRPr="0072496C" w:rsidTr="002B14DE">
        <w:trPr>
          <w:trHeight w:val="300"/>
        </w:trPr>
        <w:tc>
          <w:tcPr>
            <w:tcW w:w="2220" w:type="dxa"/>
            <w:tcBorders>
              <w:top w:val="single" w:sz="4" w:space="0" w:color="auto"/>
              <w:left w:val="nil"/>
              <w:bottom w:val="nil"/>
              <w:right w:val="nil"/>
            </w:tcBorders>
            <w:shd w:val="clear" w:color="auto" w:fill="auto"/>
            <w:noWrap/>
            <w:vAlign w:val="bottom"/>
            <w:hideMark/>
          </w:tcPr>
          <w:p w:rsidR="002B14DE" w:rsidRPr="0072496C" w:rsidRDefault="002B14DE" w:rsidP="002B14DE">
            <w:pPr>
              <w:spacing w:after="0" w:line="240" w:lineRule="auto"/>
              <w:rPr>
                <w:rFonts w:ascii="Calibri" w:eastAsia="Times New Roman" w:hAnsi="Calibri" w:cs="Times New Roman"/>
                <w:color w:val="000000"/>
                <w:lang w:eastAsia="it-IT"/>
              </w:rPr>
            </w:pPr>
            <w:proofErr w:type="gramStart"/>
            <w:r w:rsidRPr="0072496C">
              <w:rPr>
                <w:rFonts w:ascii="Calibri" w:eastAsia="Times New Roman" w:hAnsi="Calibri" w:cs="Times New Roman"/>
                <w:color w:val="000000"/>
                <w:lang w:eastAsia="it-IT"/>
              </w:rPr>
              <w:t>full</w:t>
            </w:r>
            <w:proofErr w:type="gramEnd"/>
            <w:r w:rsidRPr="0072496C">
              <w:rPr>
                <w:rFonts w:ascii="Calibri" w:eastAsia="Times New Roman" w:hAnsi="Calibri" w:cs="Times New Roman"/>
                <w:color w:val="000000"/>
                <w:lang w:eastAsia="it-IT"/>
              </w:rPr>
              <w:t xml:space="preserve"> time</w:t>
            </w:r>
          </w:p>
        </w:tc>
        <w:tc>
          <w:tcPr>
            <w:tcW w:w="520" w:type="dxa"/>
            <w:tcBorders>
              <w:top w:val="single" w:sz="4" w:space="0" w:color="auto"/>
              <w:left w:val="nil"/>
              <w:bottom w:val="nil"/>
              <w:right w:val="nil"/>
            </w:tcBorders>
            <w:shd w:val="clear" w:color="auto" w:fill="auto"/>
            <w:noWrap/>
            <w:vAlign w:val="bottom"/>
            <w:hideMark/>
          </w:tcPr>
          <w:p w:rsidR="002B14DE" w:rsidRPr="0072496C" w:rsidRDefault="002B14DE" w:rsidP="002B14DE">
            <w:pPr>
              <w:spacing w:after="0" w:line="240" w:lineRule="auto"/>
              <w:jc w:val="right"/>
              <w:rPr>
                <w:rFonts w:ascii="Calibri" w:eastAsia="Times New Roman" w:hAnsi="Calibri" w:cs="Times New Roman"/>
                <w:color w:val="000000"/>
                <w:lang w:eastAsia="it-IT"/>
              </w:rPr>
            </w:pPr>
            <w:r w:rsidRPr="0072496C">
              <w:rPr>
                <w:rFonts w:ascii="Calibri" w:eastAsia="Times New Roman" w:hAnsi="Calibri" w:cs="Times New Roman"/>
                <w:color w:val="000000"/>
                <w:lang w:eastAsia="it-IT"/>
              </w:rPr>
              <w:t>962</w:t>
            </w:r>
          </w:p>
        </w:tc>
        <w:tc>
          <w:tcPr>
            <w:tcW w:w="800" w:type="dxa"/>
            <w:tcBorders>
              <w:top w:val="single" w:sz="4" w:space="0" w:color="auto"/>
              <w:left w:val="nil"/>
              <w:bottom w:val="nil"/>
              <w:right w:val="nil"/>
            </w:tcBorders>
            <w:shd w:val="clear" w:color="auto" w:fill="auto"/>
            <w:noWrap/>
            <w:vAlign w:val="bottom"/>
            <w:hideMark/>
          </w:tcPr>
          <w:p w:rsidR="002B14DE" w:rsidRPr="0072496C" w:rsidRDefault="002B14DE" w:rsidP="002B14DE">
            <w:pPr>
              <w:spacing w:after="0" w:line="240" w:lineRule="auto"/>
              <w:jc w:val="right"/>
              <w:rPr>
                <w:rFonts w:ascii="Calibri" w:eastAsia="Times New Roman" w:hAnsi="Calibri" w:cs="Times New Roman"/>
                <w:color w:val="000000"/>
                <w:lang w:eastAsia="it-IT"/>
              </w:rPr>
            </w:pPr>
            <w:r w:rsidRPr="0072496C">
              <w:rPr>
                <w:rFonts w:ascii="Calibri" w:eastAsia="Times New Roman" w:hAnsi="Calibri" w:cs="Times New Roman"/>
                <w:color w:val="000000"/>
                <w:lang w:eastAsia="it-IT"/>
              </w:rPr>
              <w:t>689</w:t>
            </w:r>
          </w:p>
        </w:tc>
        <w:tc>
          <w:tcPr>
            <w:tcW w:w="1920" w:type="dxa"/>
            <w:tcBorders>
              <w:top w:val="single" w:sz="4" w:space="0" w:color="auto"/>
              <w:left w:val="nil"/>
              <w:bottom w:val="nil"/>
              <w:right w:val="nil"/>
            </w:tcBorders>
            <w:shd w:val="clear" w:color="auto" w:fill="auto"/>
            <w:noWrap/>
            <w:vAlign w:val="bottom"/>
            <w:hideMark/>
          </w:tcPr>
          <w:p w:rsidR="002B14DE" w:rsidRPr="0072496C" w:rsidRDefault="002B14DE" w:rsidP="002B14DE">
            <w:pPr>
              <w:spacing w:after="0" w:line="240" w:lineRule="auto"/>
              <w:jc w:val="right"/>
              <w:rPr>
                <w:rFonts w:ascii="Calibri" w:eastAsia="Times New Roman" w:hAnsi="Calibri" w:cs="Times New Roman"/>
                <w:color w:val="000000"/>
                <w:lang w:eastAsia="it-IT"/>
              </w:rPr>
            </w:pPr>
            <w:r w:rsidRPr="0072496C">
              <w:rPr>
                <w:rFonts w:ascii="Calibri" w:eastAsia="Times New Roman" w:hAnsi="Calibri" w:cs="Times New Roman"/>
                <w:color w:val="000000"/>
                <w:lang w:eastAsia="it-IT"/>
              </w:rPr>
              <w:t>1651</w:t>
            </w:r>
          </w:p>
        </w:tc>
      </w:tr>
      <w:tr w:rsidR="002B14DE" w:rsidRPr="0072496C" w:rsidTr="002B14DE">
        <w:trPr>
          <w:trHeight w:val="300"/>
        </w:trPr>
        <w:tc>
          <w:tcPr>
            <w:tcW w:w="2220" w:type="dxa"/>
            <w:tcBorders>
              <w:top w:val="nil"/>
              <w:left w:val="nil"/>
              <w:bottom w:val="nil"/>
              <w:right w:val="nil"/>
            </w:tcBorders>
            <w:shd w:val="clear" w:color="auto" w:fill="auto"/>
            <w:noWrap/>
            <w:vAlign w:val="bottom"/>
            <w:hideMark/>
          </w:tcPr>
          <w:p w:rsidR="002B14DE" w:rsidRPr="0072496C" w:rsidRDefault="002B14DE" w:rsidP="002B14DE">
            <w:pPr>
              <w:spacing w:after="0" w:line="240" w:lineRule="auto"/>
              <w:rPr>
                <w:rFonts w:ascii="Calibri" w:eastAsia="Times New Roman" w:hAnsi="Calibri" w:cs="Times New Roman"/>
                <w:color w:val="000000"/>
                <w:lang w:eastAsia="it-IT"/>
              </w:rPr>
            </w:pPr>
            <w:proofErr w:type="gramStart"/>
            <w:r w:rsidRPr="0072496C">
              <w:rPr>
                <w:rFonts w:ascii="Calibri" w:eastAsia="Times New Roman" w:hAnsi="Calibri" w:cs="Times New Roman"/>
                <w:color w:val="000000"/>
                <w:lang w:eastAsia="it-IT"/>
              </w:rPr>
              <w:t>part</w:t>
            </w:r>
            <w:proofErr w:type="gramEnd"/>
            <w:r w:rsidRPr="0072496C">
              <w:rPr>
                <w:rFonts w:ascii="Calibri" w:eastAsia="Times New Roman" w:hAnsi="Calibri" w:cs="Times New Roman"/>
                <w:color w:val="000000"/>
                <w:lang w:eastAsia="it-IT"/>
              </w:rPr>
              <w:t xml:space="preserve"> time</w:t>
            </w:r>
          </w:p>
        </w:tc>
        <w:tc>
          <w:tcPr>
            <w:tcW w:w="520" w:type="dxa"/>
            <w:tcBorders>
              <w:top w:val="nil"/>
              <w:left w:val="nil"/>
              <w:bottom w:val="nil"/>
              <w:right w:val="nil"/>
            </w:tcBorders>
            <w:shd w:val="clear" w:color="auto" w:fill="auto"/>
            <w:noWrap/>
            <w:vAlign w:val="bottom"/>
            <w:hideMark/>
          </w:tcPr>
          <w:p w:rsidR="002B14DE" w:rsidRPr="0072496C" w:rsidRDefault="002B14DE" w:rsidP="002B14DE">
            <w:pPr>
              <w:spacing w:after="0" w:line="240" w:lineRule="auto"/>
              <w:jc w:val="right"/>
              <w:rPr>
                <w:rFonts w:ascii="Calibri" w:eastAsia="Times New Roman" w:hAnsi="Calibri" w:cs="Times New Roman"/>
                <w:color w:val="000000"/>
                <w:lang w:eastAsia="it-IT"/>
              </w:rPr>
            </w:pPr>
            <w:r w:rsidRPr="0072496C">
              <w:rPr>
                <w:rFonts w:ascii="Calibri" w:eastAsia="Times New Roman" w:hAnsi="Calibri" w:cs="Times New Roman"/>
                <w:color w:val="000000"/>
                <w:lang w:eastAsia="it-IT"/>
              </w:rPr>
              <w:t>115</w:t>
            </w:r>
          </w:p>
        </w:tc>
        <w:tc>
          <w:tcPr>
            <w:tcW w:w="800" w:type="dxa"/>
            <w:tcBorders>
              <w:top w:val="nil"/>
              <w:left w:val="nil"/>
              <w:bottom w:val="nil"/>
              <w:right w:val="nil"/>
            </w:tcBorders>
            <w:shd w:val="clear" w:color="auto" w:fill="auto"/>
            <w:noWrap/>
            <w:vAlign w:val="bottom"/>
            <w:hideMark/>
          </w:tcPr>
          <w:p w:rsidR="002B14DE" w:rsidRPr="0072496C" w:rsidRDefault="002B14DE" w:rsidP="002B14DE">
            <w:pPr>
              <w:spacing w:after="0" w:line="240" w:lineRule="auto"/>
              <w:jc w:val="right"/>
              <w:rPr>
                <w:rFonts w:ascii="Calibri" w:eastAsia="Times New Roman" w:hAnsi="Calibri" w:cs="Times New Roman"/>
                <w:color w:val="000000"/>
                <w:lang w:eastAsia="it-IT"/>
              </w:rPr>
            </w:pPr>
            <w:r w:rsidRPr="0072496C">
              <w:rPr>
                <w:rFonts w:ascii="Calibri" w:eastAsia="Times New Roman" w:hAnsi="Calibri" w:cs="Times New Roman"/>
                <w:color w:val="000000"/>
                <w:lang w:eastAsia="it-IT"/>
              </w:rPr>
              <w:t>240</w:t>
            </w:r>
          </w:p>
        </w:tc>
        <w:tc>
          <w:tcPr>
            <w:tcW w:w="1920" w:type="dxa"/>
            <w:tcBorders>
              <w:top w:val="nil"/>
              <w:left w:val="nil"/>
              <w:bottom w:val="nil"/>
              <w:right w:val="nil"/>
            </w:tcBorders>
            <w:shd w:val="clear" w:color="auto" w:fill="auto"/>
            <w:noWrap/>
            <w:vAlign w:val="bottom"/>
            <w:hideMark/>
          </w:tcPr>
          <w:p w:rsidR="002B14DE" w:rsidRPr="0072496C" w:rsidRDefault="002B14DE" w:rsidP="002B14DE">
            <w:pPr>
              <w:spacing w:after="0" w:line="240" w:lineRule="auto"/>
              <w:jc w:val="right"/>
              <w:rPr>
                <w:rFonts w:ascii="Calibri" w:eastAsia="Times New Roman" w:hAnsi="Calibri" w:cs="Times New Roman"/>
                <w:color w:val="000000"/>
                <w:lang w:eastAsia="it-IT"/>
              </w:rPr>
            </w:pPr>
            <w:r w:rsidRPr="0072496C">
              <w:rPr>
                <w:rFonts w:ascii="Calibri" w:eastAsia="Times New Roman" w:hAnsi="Calibri" w:cs="Times New Roman"/>
                <w:color w:val="000000"/>
                <w:lang w:eastAsia="it-IT"/>
              </w:rPr>
              <w:t>355</w:t>
            </w:r>
          </w:p>
        </w:tc>
      </w:tr>
      <w:tr w:rsidR="002B14DE" w:rsidRPr="0072496C" w:rsidTr="002B14DE">
        <w:trPr>
          <w:trHeight w:val="300"/>
        </w:trPr>
        <w:tc>
          <w:tcPr>
            <w:tcW w:w="2220" w:type="dxa"/>
            <w:tcBorders>
              <w:top w:val="nil"/>
              <w:left w:val="nil"/>
              <w:bottom w:val="single" w:sz="4" w:space="0" w:color="auto"/>
              <w:right w:val="nil"/>
            </w:tcBorders>
            <w:shd w:val="clear" w:color="auto" w:fill="auto"/>
            <w:noWrap/>
            <w:vAlign w:val="bottom"/>
            <w:hideMark/>
          </w:tcPr>
          <w:p w:rsidR="002B14DE" w:rsidRPr="0072496C" w:rsidRDefault="00CD214C" w:rsidP="002B14DE">
            <w:pPr>
              <w:spacing w:after="0" w:line="240" w:lineRule="auto"/>
              <w:rPr>
                <w:rFonts w:ascii="Calibri" w:eastAsia="Times New Roman" w:hAnsi="Calibri" w:cs="Times New Roman"/>
                <w:color w:val="000000"/>
                <w:lang w:eastAsia="it-IT"/>
              </w:rPr>
            </w:pPr>
            <w:r w:rsidRPr="0072496C">
              <w:rPr>
                <w:rFonts w:ascii="Calibri" w:eastAsia="Times New Roman" w:hAnsi="Calibri" w:cs="Times New Roman"/>
                <w:color w:val="000000"/>
                <w:lang w:eastAsia="it-IT"/>
              </w:rPr>
              <w:t>A</w:t>
            </w:r>
            <w:r w:rsidR="002B14DE" w:rsidRPr="0072496C">
              <w:rPr>
                <w:rFonts w:ascii="Calibri" w:eastAsia="Times New Roman" w:hAnsi="Calibri" w:cs="Times New Roman"/>
                <w:color w:val="000000"/>
                <w:lang w:eastAsia="it-IT"/>
              </w:rPr>
              <w:t>ltro</w:t>
            </w:r>
          </w:p>
        </w:tc>
        <w:tc>
          <w:tcPr>
            <w:tcW w:w="520" w:type="dxa"/>
            <w:tcBorders>
              <w:top w:val="nil"/>
              <w:left w:val="nil"/>
              <w:bottom w:val="single" w:sz="4" w:space="0" w:color="auto"/>
              <w:right w:val="nil"/>
            </w:tcBorders>
            <w:shd w:val="clear" w:color="auto" w:fill="auto"/>
            <w:noWrap/>
            <w:vAlign w:val="bottom"/>
            <w:hideMark/>
          </w:tcPr>
          <w:p w:rsidR="002B14DE" w:rsidRPr="0072496C" w:rsidRDefault="002B14DE" w:rsidP="002B14DE">
            <w:pPr>
              <w:spacing w:after="0" w:line="240" w:lineRule="auto"/>
              <w:jc w:val="right"/>
              <w:rPr>
                <w:rFonts w:ascii="Calibri" w:eastAsia="Times New Roman" w:hAnsi="Calibri" w:cs="Times New Roman"/>
                <w:color w:val="000000"/>
                <w:lang w:eastAsia="it-IT"/>
              </w:rPr>
            </w:pPr>
            <w:r w:rsidRPr="0072496C">
              <w:rPr>
                <w:rFonts w:ascii="Calibri" w:eastAsia="Times New Roman" w:hAnsi="Calibri" w:cs="Times New Roman"/>
                <w:color w:val="000000"/>
                <w:lang w:eastAsia="it-IT"/>
              </w:rPr>
              <w:t>4</w:t>
            </w:r>
          </w:p>
        </w:tc>
        <w:tc>
          <w:tcPr>
            <w:tcW w:w="800" w:type="dxa"/>
            <w:tcBorders>
              <w:top w:val="nil"/>
              <w:left w:val="nil"/>
              <w:bottom w:val="single" w:sz="4" w:space="0" w:color="auto"/>
              <w:right w:val="nil"/>
            </w:tcBorders>
            <w:shd w:val="clear" w:color="auto" w:fill="auto"/>
            <w:noWrap/>
            <w:vAlign w:val="bottom"/>
            <w:hideMark/>
          </w:tcPr>
          <w:p w:rsidR="002B14DE" w:rsidRPr="0072496C" w:rsidRDefault="002B14DE" w:rsidP="002B14DE">
            <w:pPr>
              <w:spacing w:after="0" w:line="240" w:lineRule="auto"/>
              <w:jc w:val="right"/>
              <w:rPr>
                <w:rFonts w:ascii="Calibri" w:eastAsia="Times New Roman" w:hAnsi="Calibri" w:cs="Times New Roman"/>
                <w:color w:val="000000"/>
                <w:lang w:eastAsia="it-IT"/>
              </w:rPr>
            </w:pPr>
            <w:r w:rsidRPr="0072496C">
              <w:rPr>
                <w:rFonts w:ascii="Calibri" w:eastAsia="Times New Roman" w:hAnsi="Calibri" w:cs="Times New Roman"/>
                <w:color w:val="000000"/>
                <w:lang w:eastAsia="it-IT"/>
              </w:rPr>
              <w:t>18</w:t>
            </w:r>
          </w:p>
        </w:tc>
        <w:tc>
          <w:tcPr>
            <w:tcW w:w="1920" w:type="dxa"/>
            <w:tcBorders>
              <w:top w:val="nil"/>
              <w:left w:val="nil"/>
              <w:bottom w:val="single" w:sz="4" w:space="0" w:color="auto"/>
              <w:right w:val="nil"/>
            </w:tcBorders>
            <w:shd w:val="clear" w:color="auto" w:fill="auto"/>
            <w:noWrap/>
            <w:vAlign w:val="bottom"/>
            <w:hideMark/>
          </w:tcPr>
          <w:p w:rsidR="002B14DE" w:rsidRPr="0072496C" w:rsidRDefault="002B14DE" w:rsidP="002B14DE">
            <w:pPr>
              <w:spacing w:after="0" w:line="240" w:lineRule="auto"/>
              <w:jc w:val="right"/>
              <w:rPr>
                <w:rFonts w:ascii="Calibri" w:eastAsia="Times New Roman" w:hAnsi="Calibri" w:cs="Times New Roman"/>
                <w:color w:val="000000"/>
                <w:lang w:eastAsia="it-IT"/>
              </w:rPr>
            </w:pPr>
            <w:r w:rsidRPr="0072496C">
              <w:rPr>
                <w:rFonts w:ascii="Calibri" w:eastAsia="Times New Roman" w:hAnsi="Calibri" w:cs="Times New Roman"/>
                <w:color w:val="000000"/>
                <w:lang w:eastAsia="it-IT"/>
              </w:rPr>
              <w:t>22</w:t>
            </w:r>
          </w:p>
        </w:tc>
      </w:tr>
      <w:tr w:rsidR="002B14DE" w:rsidRPr="0072496C" w:rsidTr="002B14DE">
        <w:trPr>
          <w:trHeight w:val="300"/>
        </w:trPr>
        <w:tc>
          <w:tcPr>
            <w:tcW w:w="2220" w:type="dxa"/>
            <w:tcBorders>
              <w:top w:val="single" w:sz="4" w:space="0" w:color="auto"/>
              <w:left w:val="nil"/>
              <w:bottom w:val="single" w:sz="4" w:space="0" w:color="auto"/>
              <w:right w:val="nil"/>
            </w:tcBorders>
            <w:shd w:val="clear" w:color="auto" w:fill="auto"/>
            <w:noWrap/>
            <w:vAlign w:val="bottom"/>
            <w:hideMark/>
          </w:tcPr>
          <w:p w:rsidR="002B14DE" w:rsidRPr="0072496C" w:rsidRDefault="00CD214C" w:rsidP="002B14DE">
            <w:pPr>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T</w:t>
            </w:r>
            <w:r w:rsidR="002B14DE">
              <w:rPr>
                <w:rFonts w:ascii="Calibri" w:eastAsia="Times New Roman" w:hAnsi="Calibri" w:cs="Times New Roman"/>
                <w:color w:val="000000"/>
                <w:lang w:eastAsia="it-IT"/>
              </w:rPr>
              <w:t>otale</w:t>
            </w:r>
          </w:p>
        </w:tc>
        <w:tc>
          <w:tcPr>
            <w:tcW w:w="520" w:type="dxa"/>
            <w:tcBorders>
              <w:top w:val="single" w:sz="4" w:space="0" w:color="auto"/>
              <w:left w:val="nil"/>
              <w:bottom w:val="single" w:sz="4" w:space="0" w:color="auto"/>
              <w:right w:val="nil"/>
            </w:tcBorders>
            <w:shd w:val="clear" w:color="auto" w:fill="auto"/>
            <w:noWrap/>
            <w:vAlign w:val="bottom"/>
            <w:hideMark/>
          </w:tcPr>
          <w:p w:rsidR="002B14DE" w:rsidRPr="0072496C" w:rsidRDefault="002B14DE" w:rsidP="002B14DE">
            <w:pPr>
              <w:spacing w:after="0" w:line="240" w:lineRule="auto"/>
              <w:jc w:val="right"/>
              <w:rPr>
                <w:rFonts w:ascii="Calibri" w:eastAsia="Times New Roman" w:hAnsi="Calibri" w:cs="Times New Roman"/>
                <w:color w:val="000000"/>
                <w:lang w:eastAsia="it-IT"/>
              </w:rPr>
            </w:pPr>
            <w:r w:rsidRPr="0072496C">
              <w:rPr>
                <w:rFonts w:ascii="Calibri" w:eastAsia="Times New Roman" w:hAnsi="Calibri" w:cs="Times New Roman"/>
                <w:color w:val="000000"/>
                <w:lang w:eastAsia="it-IT"/>
              </w:rPr>
              <w:t>1081</w:t>
            </w:r>
          </w:p>
        </w:tc>
        <w:tc>
          <w:tcPr>
            <w:tcW w:w="800" w:type="dxa"/>
            <w:tcBorders>
              <w:top w:val="single" w:sz="4" w:space="0" w:color="auto"/>
              <w:left w:val="nil"/>
              <w:bottom w:val="single" w:sz="4" w:space="0" w:color="auto"/>
              <w:right w:val="nil"/>
            </w:tcBorders>
            <w:shd w:val="clear" w:color="auto" w:fill="auto"/>
            <w:noWrap/>
            <w:vAlign w:val="bottom"/>
            <w:hideMark/>
          </w:tcPr>
          <w:p w:rsidR="002B14DE" w:rsidRPr="0072496C" w:rsidRDefault="002B14DE" w:rsidP="002B14DE">
            <w:pPr>
              <w:spacing w:after="0" w:line="240" w:lineRule="auto"/>
              <w:jc w:val="right"/>
              <w:rPr>
                <w:rFonts w:ascii="Calibri" w:eastAsia="Times New Roman" w:hAnsi="Calibri" w:cs="Times New Roman"/>
                <w:color w:val="000000"/>
                <w:lang w:eastAsia="it-IT"/>
              </w:rPr>
            </w:pPr>
            <w:r w:rsidRPr="0072496C">
              <w:rPr>
                <w:rFonts w:ascii="Calibri" w:eastAsia="Times New Roman" w:hAnsi="Calibri" w:cs="Times New Roman"/>
                <w:color w:val="000000"/>
                <w:lang w:eastAsia="it-IT"/>
              </w:rPr>
              <w:t>947</w:t>
            </w:r>
          </w:p>
        </w:tc>
        <w:tc>
          <w:tcPr>
            <w:tcW w:w="1920" w:type="dxa"/>
            <w:tcBorders>
              <w:top w:val="single" w:sz="4" w:space="0" w:color="auto"/>
              <w:left w:val="nil"/>
              <w:bottom w:val="single" w:sz="4" w:space="0" w:color="auto"/>
              <w:right w:val="nil"/>
            </w:tcBorders>
            <w:shd w:val="clear" w:color="auto" w:fill="auto"/>
            <w:noWrap/>
            <w:vAlign w:val="bottom"/>
            <w:hideMark/>
          </w:tcPr>
          <w:p w:rsidR="002B14DE" w:rsidRPr="0072496C" w:rsidRDefault="002B14DE" w:rsidP="002B14DE">
            <w:pPr>
              <w:spacing w:after="0" w:line="240" w:lineRule="auto"/>
              <w:jc w:val="right"/>
              <w:rPr>
                <w:rFonts w:ascii="Calibri" w:eastAsia="Times New Roman" w:hAnsi="Calibri" w:cs="Times New Roman"/>
                <w:color w:val="000000"/>
                <w:lang w:eastAsia="it-IT"/>
              </w:rPr>
            </w:pPr>
            <w:r w:rsidRPr="0072496C">
              <w:rPr>
                <w:rFonts w:ascii="Calibri" w:eastAsia="Times New Roman" w:hAnsi="Calibri" w:cs="Times New Roman"/>
                <w:color w:val="000000"/>
                <w:lang w:eastAsia="it-IT"/>
              </w:rPr>
              <w:t>2028</w:t>
            </w:r>
          </w:p>
        </w:tc>
      </w:tr>
    </w:tbl>
    <w:p w:rsidR="002B14DE" w:rsidRDefault="002B14DE" w:rsidP="002B14DE">
      <w:pPr>
        <w:rPr>
          <w:sz w:val="24"/>
          <w:szCs w:val="24"/>
        </w:rPr>
      </w:pPr>
    </w:p>
    <w:p w:rsidR="002B14DE" w:rsidRDefault="002B14DE" w:rsidP="002B14DE">
      <w:pPr>
        <w:jc w:val="both"/>
        <w:rPr>
          <w:sz w:val="24"/>
          <w:szCs w:val="24"/>
        </w:rPr>
      </w:pPr>
      <w:r>
        <w:rPr>
          <w:sz w:val="24"/>
          <w:szCs w:val="24"/>
        </w:rPr>
        <w:t xml:space="preserve">L’occupazione nei vari </w:t>
      </w:r>
      <w:proofErr w:type="spellStart"/>
      <w:r>
        <w:rPr>
          <w:sz w:val="24"/>
          <w:szCs w:val="24"/>
        </w:rPr>
        <w:t>sottosettori</w:t>
      </w:r>
      <w:proofErr w:type="spellEnd"/>
      <w:r>
        <w:rPr>
          <w:sz w:val="24"/>
          <w:szCs w:val="24"/>
        </w:rPr>
        <w:t xml:space="preserve"> è prevalentemente maschile (79% nella costruzione macchine, 72% nei trattamenti dei metalli, 66% nella bigiotteria ed altro) salvo che nel settore orafo propriamente detto (49%)</w:t>
      </w:r>
    </w:p>
    <w:p w:rsidR="002B14DE" w:rsidRDefault="002B14DE" w:rsidP="002B14DE">
      <w:pPr>
        <w:rPr>
          <w:sz w:val="24"/>
          <w:szCs w:val="24"/>
        </w:rPr>
      </w:pPr>
    </w:p>
    <w:p w:rsidR="00BF48AB" w:rsidRPr="00BF48AB" w:rsidRDefault="00CD214C" w:rsidP="002B14DE">
      <w:pPr>
        <w:rPr>
          <w:i/>
          <w:sz w:val="24"/>
          <w:szCs w:val="24"/>
        </w:rPr>
      </w:pPr>
      <w:proofErr w:type="spellStart"/>
      <w:r>
        <w:rPr>
          <w:i/>
          <w:sz w:val="24"/>
          <w:szCs w:val="24"/>
        </w:rPr>
        <w:t>Tab</w:t>
      </w:r>
      <w:proofErr w:type="spellEnd"/>
      <w:r>
        <w:rPr>
          <w:i/>
          <w:sz w:val="24"/>
          <w:szCs w:val="24"/>
        </w:rPr>
        <w:t xml:space="preserve">. 2.7 </w:t>
      </w:r>
      <w:r w:rsidR="00BF48AB" w:rsidRPr="00BF48AB">
        <w:rPr>
          <w:i/>
          <w:sz w:val="24"/>
          <w:szCs w:val="24"/>
        </w:rPr>
        <w:t>Quota donne su dipendenti dell’artigianato per settore</w:t>
      </w:r>
    </w:p>
    <w:tbl>
      <w:tblPr>
        <w:tblW w:w="5812" w:type="dxa"/>
        <w:tblCellMar>
          <w:left w:w="70" w:type="dxa"/>
          <w:right w:w="70" w:type="dxa"/>
        </w:tblCellMar>
        <w:tblLook w:val="04A0" w:firstRow="1" w:lastRow="0" w:firstColumn="1" w:lastColumn="0" w:noHBand="0" w:noVBand="1"/>
      </w:tblPr>
      <w:tblGrid>
        <w:gridCol w:w="4536"/>
        <w:gridCol w:w="1276"/>
      </w:tblGrid>
      <w:tr w:rsidR="002B14DE" w:rsidRPr="00711CA6" w:rsidTr="002B14DE">
        <w:trPr>
          <w:trHeight w:val="300"/>
        </w:trPr>
        <w:tc>
          <w:tcPr>
            <w:tcW w:w="4536" w:type="dxa"/>
            <w:tcBorders>
              <w:top w:val="single" w:sz="4" w:space="0" w:color="auto"/>
              <w:left w:val="nil"/>
              <w:bottom w:val="single" w:sz="4" w:space="0" w:color="auto"/>
              <w:right w:val="nil"/>
            </w:tcBorders>
            <w:vAlign w:val="bottom"/>
          </w:tcPr>
          <w:p w:rsidR="002B14DE" w:rsidRPr="00F23F2A" w:rsidRDefault="00CD214C" w:rsidP="002B14DE">
            <w:pPr>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S</w:t>
            </w:r>
            <w:r w:rsidR="002B14DE">
              <w:rPr>
                <w:rFonts w:ascii="Calibri" w:eastAsia="Times New Roman" w:hAnsi="Calibri" w:cs="Times New Roman"/>
                <w:color w:val="000000"/>
                <w:lang w:eastAsia="it-IT"/>
              </w:rPr>
              <w:t>ettore</w:t>
            </w:r>
          </w:p>
        </w:tc>
        <w:tc>
          <w:tcPr>
            <w:tcW w:w="1276" w:type="dxa"/>
            <w:tcBorders>
              <w:top w:val="single" w:sz="4" w:space="0" w:color="auto"/>
              <w:left w:val="nil"/>
              <w:bottom w:val="single" w:sz="4" w:space="0" w:color="auto"/>
              <w:right w:val="nil"/>
            </w:tcBorders>
            <w:shd w:val="clear" w:color="auto" w:fill="auto"/>
            <w:noWrap/>
            <w:vAlign w:val="bottom"/>
          </w:tcPr>
          <w:p w:rsidR="002B14DE" w:rsidRPr="00711CA6" w:rsidRDefault="002B14DE" w:rsidP="00BF48AB">
            <w:pPr>
              <w:spacing w:after="0" w:line="240" w:lineRule="auto"/>
              <w:jc w:val="right"/>
              <w:rPr>
                <w:rFonts w:ascii="Calibri" w:eastAsia="Times New Roman" w:hAnsi="Calibri" w:cs="Times New Roman"/>
                <w:color w:val="000000"/>
                <w:lang w:eastAsia="it-IT"/>
              </w:rPr>
            </w:pPr>
            <w:r>
              <w:rPr>
                <w:rFonts w:ascii="Calibri" w:eastAsia="Times New Roman" w:hAnsi="Calibri" w:cs="Times New Roman"/>
                <w:color w:val="000000"/>
                <w:lang w:eastAsia="it-IT"/>
              </w:rPr>
              <w:t xml:space="preserve">% </w:t>
            </w:r>
            <w:r w:rsidR="00BF48AB">
              <w:rPr>
                <w:rFonts w:ascii="Calibri" w:eastAsia="Times New Roman" w:hAnsi="Calibri" w:cs="Times New Roman"/>
                <w:color w:val="000000"/>
                <w:lang w:eastAsia="it-IT"/>
              </w:rPr>
              <w:t>donne</w:t>
            </w:r>
          </w:p>
        </w:tc>
      </w:tr>
      <w:tr w:rsidR="002B14DE" w:rsidRPr="00711CA6" w:rsidTr="002B14DE">
        <w:trPr>
          <w:trHeight w:val="300"/>
        </w:trPr>
        <w:tc>
          <w:tcPr>
            <w:tcW w:w="4536" w:type="dxa"/>
            <w:tcBorders>
              <w:top w:val="single" w:sz="4" w:space="0" w:color="auto"/>
              <w:left w:val="nil"/>
              <w:bottom w:val="nil"/>
              <w:right w:val="nil"/>
            </w:tcBorders>
            <w:vAlign w:val="bottom"/>
          </w:tcPr>
          <w:p w:rsidR="002B14DE" w:rsidRPr="00F23F2A" w:rsidRDefault="002B14DE" w:rsidP="002B14DE">
            <w:pPr>
              <w:spacing w:after="0" w:line="240" w:lineRule="auto"/>
              <w:rPr>
                <w:rFonts w:ascii="Calibri" w:eastAsia="Times New Roman" w:hAnsi="Calibri" w:cs="Times New Roman"/>
                <w:color w:val="000000"/>
                <w:lang w:eastAsia="it-IT"/>
              </w:rPr>
            </w:pPr>
            <w:r w:rsidRPr="00F23F2A">
              <w:rPr>
                <w:rFonts w:ascii="Calibri" w:eastAsia="Times New Roman" w:hAnsi="Calibri" w:cs="Times New Roman"/>
                <w:color w:val="000000"/>
                <w:lang w:eastAsia="it-IT"/>
              </w:rPr>
              <w:t>1. produzione e trattamento metalli</w:t>
            </w:r>
          </w:p>
        </w:tc>
        <w:tc>
          <w:tcPr>
            <w:tcW w:w="1276" w:type="dxa"/>
            <w:tcBorders>
              <w:top w:val="single" w:sz="4" w:space="0" w:color="auto"/>
              <w:left w:val="nil"/>
              <w:bottom w:val="nil"/>
              <w:right w:val="nil"/>
            </w:tcBorders>
            <w:shd w:val="clear" w:color="auto" w:fill="auto"/>
            <w:noWrap/>
            <w:vAlign w:val="bottom"/>
            <w:hideMark/>
          </w:tcPr>
          <w:p w:rsidR="002B14DE" w:rsidRPr="00711CA6" w:rsidRDefault="00BF48AB" w:rsidP="002B14DE">
            <w:pPr>
              <w:spacing w:after="0" w:line="240" w:lineRule="auto"/>
              <w:jc w:val="right"/>
              <w:rPr>
                <w:rFonts w:ascii="Calibri" w:eastAsia="Times New Roman" w:hAnsi="Calibri" w:cs="Times New Roman"/>
                <w:color w:val="000000"/>
                <w:lang w:eastAsia="it-IT"/>
              </w:rPr>
            </w:pPr>
            <w:r>
              <w:rPr>
                <w:rFonts w:ascii="Calibri" w:eastAsia="Times New Roman" w:hAnsi="Calibri" w:cs="Times New Roman"/>
                <w:color w:val="000000"/>
                <w:lang w:eastAsia="it-IT"/>
              </w:rPr>
              <w:t>27,9</w:t>
            </w:r>
            <w:r w:rsidR="002B14DE" w:rsidRPr="00711CA6">
              <w:rPr>
                <w:rFonts w:ascii="Calibri" w:eastAsia="Times New Roman" w:hAnsi="Calibri" w:cs="Times New Roman"/>
                <w:color w:val="000000"/>
                <w:lang w:eastAsia="it-IT"/>
              </w:rPr>
              <w:t>%</w:t>
            </w:r>
          </w:p>
        </w:tc>
      </w:tr>
      <w:tr w:rsidR="002B14DE" w:rsidRPr="00711CA6" w:rsidTr="002B14DE">
        <w:trPr>
          <w:trHeight w:val="300"/>
        </w:trPr>
        <w:tc>
          <w:tcPr>
            <w:tcW w:w="4536" w:type="dxa"/>
            <w:tcBorders>
              <w:top w:val="nil"/>
              <w:left w:val="nil"/>
              <w:bottom w:val="nil"/>
              <w:right w:val="nil"/>
            </w:tcBorders>
            <w:vAlign w:val="bottom"/>
          </w:tcPr>
          <w:p w:rsidR="002B14DE" w:rsidRPr="00F23F2A" w:rsidRDefault="002B14DE" w:rsidP="002B14DE">
            <w:pPr>
              <w:spacing w:after="0" w:line="240" w:lineRule="auto"/>
              <w:rPr>
                <w:rFonts w:ascii="Calibri" w:eastAsia="Times New Roman" w:hAnsi="Calibri" w:cs="Times New Roman"/>
                <w:color w:val="000000"/>
                <w:lang w:eastAsia="it-IT"/>
              </w:rPr>
            </w:pPr>
            <w:r w:rsidRPr="00F23F2A">
              <w:rPr>
                <w:rFonts w:ascii="Calibri" w:eastAsia="Times New Roman" w:hAnsi="Calibri" w:cs="Times New Roman"/>
                <w:color w:val="000000"/>
                <w:lang w:eastAsia="it-IT"/>
              </w:rPr>
              <w:t>2. macchine e stampi per industria orafa</w:t>
            </w:r>
          </w:p>
        </w:tc>
        <w:tc>
          <w:tcPr>
            <w:tcW w:w="1276" w:type="dxa"/>
            <w:tcBorders>
              <w:top w:val="nil"/>
              <w:left w:val="nil"/>
              <w:bottom w:val="nil"/>
              <w:right w:val="nil"/>
            </w:tcBorders>
            <w:shd w:val="clear" w:color="auto" w:fill="auto"/>
            <w:noWrap/>
            <w:vAlign w:val="bottom"/>
            <w:hideMark/>
          </w:tcPr>
          <w:p w:rsidR="002B14DE" w:rsidRPr="00711CA6" w:rsidRDefault="00BF48AB" w:rsidP="00BF48AB">
            <w:pPr>
              <w:spacing w:after="0" w:line="240" w:lineRule="auto"/>
              <w:jc w:val="right"/>
              <w:rPr>
                <w:rFonts w:ascii="Calibri" w:eastAsia="Times New Roman" w:hAnsi="Calibri" w:cs="Times New Roman"/>
                <w:color w:val="000000"/>
                <w:lang w:eastAsia="it-IT"/>
              </w:rPr>
            </w:pPr>
            <w:r>
              <w:rPr>
                <w:rFonts w:ascii="Calibri" w:eastAsia="Times New Roman" w:hAnsi="Calibri" w:cs="Times New Roman"/>
                <w:color w:val="000000"/>
                <w:lang w:eastAsia="it-IT"/>
              </w:rPr>
              <w:t>21,2</w:t>
            </w:r>
            <w:r w:rsidR="002B14DE" w:rsidRPr="00711CA6">
              <w:rPr>
                <w:rFonts w:ascii="Calibri" w:eastAsia="Times New Roman" w:hAnsi="Calibri" w:cs="Times New Roman"/>
                <w:color w:val="000000"/>
                <w:lang w:eastAsia="it-IT"/>
              </w:rPr>
              <w:t>%</w:t>
            </w:r>
          </w:p>
        </w:tc>
      </w:tr>
      <w:tr w:rsidR="002B14DE" w:rsidRPr="00711CA6" w:rsidTr="002B14DE">
        <w:trPr>
          <w:trHeight w:val="300"/>
        </w:trPr>
        <w:tc>
          <w:tcPr>
            <w:tcW w:w="4536" w:type="dxa"/>
            <w:tcBorders>
              <w:top w:val="nil"/>
              <w:left w:val="nil"/>
              <w:right w:val="nil"/>
            </w:tcBorders>
            <w:vAlign w:val="bottom"/>
          </w:tcPr>
          <w:p w:rsidR="002B14DE" w:rsidRPr="00F23F2A" w:rsidRDefault="002B14DE" w:rsidP="002B14DE">
            <w:pPr>
              <w:spacing w:after="0" w:line="240" w:lineRule="auto"/>
              <w:rPr>
                <w:rFonts w:ascii="Calibri" w:eastAsia="Times New Roman" w:hAnsi="Calibri" w:cs="Times New Roman"/>
                <w:color w:val="000000"/>
                <w:lang w:eastAsia="it-IT"/>
              </w:rPr>
            </w:pPr>
            <w:r w:rsidRPr="00F23F2A">
              <w:rPr>
                <w:rFonts w:ascii="Calibri" w:eastAsia="Times New Roman" w:hAnsi="Calibri" w:cs="Times New Roman"/>
                <w:color w:val="000000"/>
                <w:lang w:eastAsia="it-IT"/>
              </w:rPr>
              <w:t>3. bigiotteria, orologi e altro</w:t>
            </w:r>
          </w:p>
        </w:tc>
        <w:tc>
          <w:tcPr>
            <w:tcW w:w="1276" w:type="dxa"/>
            <w:tcBorders>
              <w:top w:val="nil"/>
              <w:left w:val="nil"/>
              <w:right w:val="nil"/>
            </w:tcBorders>
            <w:shd w:val="clear" w:color="auto" w:fill="auto"/>
            <w:noWrap/>
            <w:vAlign w:val="bottom"/>
            <w:hideMark/>
          </w:tcPr>
          <w:p w:rsidR="002B14DE" w:rsidRPr="00711CA6" w:rsidRDefault="00BF48AB" w:rsidP="002B14DE">
            <w:pPr>
              <w:spacing w:after="0" w:line="240" w:lineRule="auto"/>
              <w:jc w:val="right"/>
              <w:rPr>
                <w:rFonts w:ascii="Calibri" w:eastAsia="Times New Roman" w:hAnsi="Calibri" w:cs="Times New Roman"/>
                <w:color w:val="000000"/>
                <w:lang w:eastAsia="it-IT"/>
              </w:rPr>
            </w:pPr>
            <w:r>
              <w:rPr>
                <w:rFonts w:ascii="Calibri" w:eastAsia="Times New Roman" w:hAnsi="Calibri" w:cs="Times New Roman"/>
                <w:color w:val="000000"/>
                <w:lang w:eastAsia="it-IT"/>
              </w:rPr>
              <w:t>33,7</w:t>
            </w:r>
            <w:r w:rsidR="002B14DE" w:rsidRPr="00711CA6">
              <w:rPr>
                <w:rFonts w:ascii="Calibri" w:eastAsia="Times New Roman" w:hAnsi="Calibri" w:cs="Times New Roman"/>
                <w:color w:val="000000"/>
                <w:lang w:eastAsia="it-IT"/>
              </w:rPr>
              <w:t>%</w:t>
            </w:r>
          </w:p>
        </w:tc>
      </w:tr>
      <w:tr w:rsidR="002B14DE" w:rsidRPr="00711CA6" w:rsidTr="002B14DE">
        <w:trPr>
          <w:trHeight w:val="300"/>
        </w:trPr>
        <w:tc>
          <w:tcPr>
            <w:tcW w:w="4536" w:type="dxa"/>
            <w:tcBorders>
              <w:top w:val="nil"/>
              <w:left w:val="nil"/>
              <w:bottom w:val="single" w:sz="4" w:space="0" w:color="auto"/>
              <w:right w:val="nil"/>
            </w:tcBorders>
            <w:vAlign w:val="bottom"/>
          </w:tcPr>
          <w:p w:rsidR="002B14DE" w:rsidRPr="00F23F2A" w:rsidRDefault="002B14DE" w:rsidP="002B14DE">
            <w:pPr>
              <w:spacing w:after="0" w:line="240" w:lineRule="auto"/>
              <w:rPr>
                <w:rFonts w:ascii="Calibri" w:eastAsia="Times New Roman" w:hAnsi="Calibri" w:cs="Times New Roman"/>
                <w:color w:val="000000"/>
                <w:lang w:eastAsia="it-IT"/>
              </w:rPr>
            </w:pPr>
            <w:r w:rsidRPr="00F23F2A">
              <w:rPr>
                <w:rFonts w:ascii="Calibri" w:eastAsia="Times New Roman" w:hAnsi="Calibri" w:cs="Times New Roman"/>
                <w:color w:val="000000"/>
                <w:lang w:eastAsia="it-IT"/>
              </w:rPr>
              <w:t>4. oreficeria</w:t>
            </w:r>
          </w:p>
        </w:tc>
        <w:tc>
          <w:tcPr>
            <w:tcW w:w="1276" w:type="dxa"/>
            <w:tcBorders>
              <w:top w:val="nil"/>
              <w:left w:val="nil"/>
              <w:bottom w:val="single" w:sz="4" w:space="0" w:color="auto"/>
              <w:right w:val="nil"/>
            </w:tcBorders>
            <w:shd w:val="clear" w:color="auto" w:fill="auto"/>
            <w:noWrap/>
            <w:vAlign w:val="bottom"/>
            <w:hideMark/>
          </w:tcPr>
          <w:p w:rsidR="002B14DE" w:rsidRPr="00711CA6" w:rsidRDefault="00BF48AB" w:rsidP="002B14DE">
            <w:pPr>
              <w:spacing w:after="0" w:line="240" w:lineRule="auto"/>
              <w:jc w:val="right"/>
              <w:rPr>
                <w:rFonts w:ascii="Calibri" w:eastAsia="Times New Roman" w:hAnsi="Calibri" w:cs="Times New Roman"/>
                <w:color w:val="000000"/>
                <w:lang w:eastAsia="it-IT"/>
              </w:rPr>
            </w:pPr>
            <w:r>
              <w:rPr>
                <w:rFonts w:ascii="Calibri" w:eastAsia="Times New Roman" w:hAnsi="Calibri" w:cs="Times New Roman"/>
                <w:color w:val="000000"/>
                <w:lang w:eastAsia="it-IT"/>
              </w:rPr>
              <w:t>50,8</w:t>
            </w:r>
            <w:r w:rsidR="002B14DE" w:rsidRPr="00711CA6">
              <w:rPr>
                <w:rFonts w:ascii="Calibri" w:eastAsia="Times New Roman" w:hAnsi="Calibri" w:cs="Times New Roman"/>
                <w:color w:val="000000"/>
                <w:lang w:eastAsia="it-IT"/>
              </w:rPr>
              <w:t>%</w:t>
            </w:r>
          </w:p>
        </w:tc>
      </w:tr>
    </w:tbl>
    <w:p w:rsidR="002B14DE" w:rsidRDefault="002B14DE" w:rsidP="002B14DE">
      <w:pPr>
        <w:rPr>
          <w:sz w:val="24"/>
          <w:szCs w:val="24"/>
        </w:rPr>
      </w:pPr>
    </w:p>
    <w:p w:rsidR="002B14DE" w:rsidRDefault="002B14DE" w:rsidP="002B14DE">
      <w:pPr>
        <w:jc w:val="both"/>
        <w:rPr>
          <w:sz w:val="24"/>
          <w:szCs w:val="24"/>
        </w:rPr>
      </w:pPr>
      <w:r>
        <w:rPr>
          <w:sz w:val="24"/>
          <w:szCs w:val="24"/>
        </w:rPr>
        <w:t>In generale la quota di lavoratori con contratto diverso da quello a tempo indeterminato è bassa, abbiamo visto, ma è un po’ superiore per i maschi (6%) rispetto alle femmine (4%). Solo nel comparto della costruzione di macchine e stampi la percentuale di addette con contratto più precario è superiore a quella dei maschi (9% contro 5%). Invece nel caso dei primi trattamenti dei metalli preziosi e della stessa bigiotteria, la percentuale di contratti diversi dal tempo indeterminato è particolarmente rilevante per i maschi (9% contro 2% nel primo caso, 16% contro 9% nel secondo).</w:t>
      </w:r>
    </w:p>
    <w:p w:rsidR="002B14DE" w:rsidRDefault="002B14DE" w:rsidP="002B14DE">
      <w:pPr>
        <w:rPr>
          <w:sz w:val="24"/>
          <w:szCs w:val="24"/>
        </w:rPr>
      </w:pPr>
    </w:p>
    <w:p w:rsidR="002B14DE" w:rsidRPr="00260EF7" w:rsidRDefault="00CD214C" w:rsidP="002B14DE">
      <w:pPr>
        <w:rPr>
          <w:i/>
          <w:sz w:val="24"/>
          <w:szCs w:val="24"/>
        </w:rPr>
      </w:pPr>
      <w:proofErr w:type="spellStart"/>
      <w:r>
        <w:rPr>
          <w:i/>
          <w:sz w:val="24"/>
          <w:szCs w:val="24"/>
        </w:rPr>
        <w:t>Tab</w:t>
      </w:r>
      <w:proofErr w:type="spellEnd"/>
      <w:r>
        <w:rPr>
          <w:i/>
          <w:sz w:val="24"/>
          <w:szCs w:val="24"/>
        </w:rPr>
        <w:t xml:space="preserve">. 2.8 </w:t>
      </w:r>
      <w:r w:rsidR="002B14DE" w:rsidRPr="00260EF7">
        <w:rPr>
          <w:i/>
          <w:sz w:val="24"/>
          <w:szCs w:val="24"/>
        </w:rPr>
        <w:t xml:space="preserve">Quota per genere dei dipendenti </w:t>
      </w:r>
      <w:r w:rsidR="009E35BE">
        <w:rPr>
          <w:i/>
          <w:sz w:val="24"/>
          <w:szCs w:val="24"/>
        </w:rPr>
        <w:t xml:space="preserve">artigiani </w:t>
      </w:r>
      <w:r w:rsidR="002B14DE" w:rsidRPr="00260EF7">
        <w:rPr>
          <w:i/>
          <w:sz w:val="24"/>
          <w:szCs w:val="24"/>
        </w:rPr>
        <w:t>con contratto precario.</w:t>
      </w:r>
    </w:p>
    <w:tbl>
      <w:tblPr>
        <w:tblW w:w="5954" w:type="dxa"/>
        <w:tblCellMar>
          <w:left w:w="70" w:type="dxa"/>
          <w:right w:w="70" w:type="dxa"/>
        </w:tblCellMar>
        <w:tblLook w:val="04A0" w:firstRow="1" w:lastRow="0" w:firstColumn="1" w:lastColumn="0" w:noHBand="0" w:noVBand="1"/>
      </w:tblPr>
      <w:tblGrid>
        <w:gridCol w:w="4536"/>
        <w:gridCol w:w="426"/>
        <w:gridCol w:w="992"/>
      </w:tblGrid>
      <w:tr w:rsidR="002B14DE" w:rsidRPr="001F4060" w:rsidTr="00BF48AB">
        <w:trPr>
          <w:trHeight w:val="315"/>
        </w:trPr>
        <w:tc>
          <w:tcPr>
            <w:tcW w:w="4536" w:type="dxa"/>
            <w:tcBorders>
              <w:top w:val="single" w:sz="4" w:space="0" w:color="auto"/>
              <w:left w:val="nil"/>
              <w:bottom w:val="single" w:sz="4" w:space="0" w:color="auto"/>
              <w:right w:val="nil"/>
            </w:tcBorders>
            <w:shd w:val="clear" w:color="auto" w:fill="auto"/>
            <w:noWrap/>
            <w:vAlign w:val="bottom"/>
            <w:hideMark/>
          </w:tcPr>
          <w:p w:rsidR="002B14DE" w:rsidRPr="001F4060" w:rsidRDefault="002B14DE" w:rsidP="002B14DE">
            <w:pPr>
              <w:spacing w:after="0" w:line="240" w:lineRule="auto"/>
              <w:rPr>
                <w:rFonts w:ascii="Times New Roman" w:eastAsia="Times New Roman" w:hAnsi="Times New Roman" w:cs="Times New Roman"/>
                <w:sz w:val="24"/>
                <w:szCs w:val="24"/>
                <w:lang w:eastAsia="it-IT"/>
              </w:rPr>
            </w:pPr>
          </w:p>
        </w:tc>
        <w:tc>
          <w:tcPr>
            <w:tcW w:w="426" w:type="dxa"/>
            <w:tcBorders>
              <w:top w:val="single" w:sz="4" w:space="0" w:color="auto"/>
              <w:left w:val="nil"/>
              <w:bottom w:val="single" w:sz="4" w:space="0" w:color="auto"/>
              <w:right w:val="nil"/>
            </w:tcBorders>
            <w:shd w:val="clear" w:color="auto" w:fill="auto"/>
            <w:noWrap/>
            <w:vAlign w:val="bottom"/>
            <w:hideMark/>
          </w:tcPr>
          <w:p w:rsidR="002B14DE" w:rsidRPr="001F4060" w:rsidRDefault="002B14DE" w:rsidP="002B14DE">
            <w:pPr>
              <w:spacing w:after="0" w:line="240" w:lineRule="auto"/>
              <w:rPr>
                <w:rFonts w:ascii="Calibri" w:eastAsia="Times New Roman" w:hAnsi="Calibri" w:cs="Times New Roman"/>
                <w:color w:val="000000"/>
                <w:lang w:eastAsia="it-IT"/>
              </w:rPr>
            </w:pPr>
            <w:r w:rsidRPr="001F4060">
              <w:rPr>
                <w:rFonts w:ascii="Calibri" w:eastAsia="Times New Roman" w:hAnsi="Calibri" w:cs="Times New Roman"/>
                <w:color w:val="000000"/>
                <w:lang w:eastAsia="it-IT"/>
              </w:rPr>
              <w:t>F</w:t>
            </w:r>
          </w:p>
        </w:tc>
        <w:tc>
          <w:tcPr>
            <w:tcW w:w="992" w:type="dxa"/>
            <w:tcBorders>
              <w:top w:val="single" w:sz="4" w:space="0" w:color="auto"/>
              <w:left w:val="nil"/>
              <w:bottom w:val="single" w:sz="4" w:space="0" w:color="auto"/>
              <w:right w:val="nil"/>
            </w:tcBorders>
            <w:shd w:val="clear" w:color="auto" w:fill="auto"/>
            <w:noWrap/>
            <w:vAlign w:val="bottom"/>
            <w:hideMark/>
          </w:tcPr>
          <w:p w:rsidR="002B14DE" w:rsidRPr="001F4060" w:rsidRDefault="00BF48AB" w:rsidP="002B14DE">
            <w:pPr>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 xml:space="preserve">         </w:t>
            </w:r>
            <w:r w:rsidR="002B14DE" w:rsidRPr="001F4060">
              <w:rPr>
                <w:rFonts w:ascii="Calibri" w:eastAsia="Times New Roman" w:hAnsi="Calibri" w:cs="Times New Roman"/>
                <w:color w:val="000000"/>
                <w:lang w:eastAsia="it-IT"/>
              </w:rPr>
              <w:t>M</w:t>
            </w:r>
          </w:p>
        </w:tc>
      </w:tr>
      <w:tr w:rsidR="002B14DE" w:rsidRPr="001F4060" w:rsidTr="00BF48AB">
        <w:trPr>
          <w:trHeight w:val="344"/>
        </w:trPr>
        <w:tc>
          <w:tcPr>
            <w:tcW w:w="4536" w:type="dxa"/>
            <w:tcBorders>
              <w:top w:val="single" w:sz="8" w:space="0" w:color="auto"/>
              <w:left w:val="nil"/>
              <w:bottom w:val="nil"/>
              <w:right w:val="nil"/>
            </w:tcBorders>
            <w:shd w:val="clear" w:color="auto" w:fill="auto"/>
            <w:vAlign w:val="center"/>
            <w:hideMark/>
          </w:tcPr>
          <w:p w:rsidR="002B14DE" w:rsidRPr="001F4060" w:rsidRDefault="00BF48AB" w:rsidP="00BF48AB">
            <w:pPr>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1</w:t>
            </w:r>
            <w:r w:rsidR="002B14DE" w:rsidRPr="001F4060">
              <w:rPr>
                <w:rFonts w:ascii="Calibri" w:eastAsia="Times New Roman" w:hAnsi="Calibri" w:cs="Times New Roman"/>
                <w:color w:val="000000"/>
                <w:lang w:eastAsia="it-IT"/>
              </w:rPr>
              <w:t>. produzione e trattamento metalli</w:t>
            </w:r>
          </w:p>
        </w:tc>
        <w:tc>
          <w:tcPr>
            <w:tcW w:w="426" w:type="dxa"/>
            <w:tcBorders>
              <w:top w:val="nil"/>
              <w:left w:val="nil"/>
              <w:bottom w:val="nil"/>
              <w:right w:val="nil"/>
            </w:tcBorders>
            <w:shd w:val="clear" w:color="auto" w:fill="auto"/>
            <w:noWrap/>
            <w:vAlign w:val="bottom"/>
            <w:hideMark/>
          </w:tcPr>
          <w:p w:rsidR="002B14DE" w:rsidRPr="001F4060" w:rsidRDefault="002B14DE" w:rsidP="002B14DE">
            <w:pPr>
              <w:spacing w:after="0" w:line="240" w:lineRule="auto"/>
              <w:rPr>
                <w:rFonts w:ascii="Calibri" w:eastAsia="Times New Roman" w:hAnsi="Calibri" w:cs="Times New Roman"/>
                <w:color w:val="000000"/>
                <w:lang w:eastAsia="it-IT"/>
              </w:rPr>
            </w:pPr>
            <w:r w:rsidRPr="001F4060">
              <w:rPr>
                <w:rFonts w:ascii="Calibri" w:eastAsia="Times New Roman" w:hAnsi="Calibri" w:cs="Times New Roman"/>
                <w:color w:val="000000"/>
                <w:lang w:eastAsia="it-IT"/>
              </w:rPr>
              <w:t>2%</w:t>
            </w:r>
          </w:p>
        </w:tc>
        <w:tc>
          <w:tcPr>
            <w:tcW w:w="992" w:type="dxa"/>
            <w:tcBorders>
              <w:top w:val="nil"/>
              <w:left w:val="nil"/>
              <w:bottom w:val="nil"/>
              <w:right w:val="nil"/>
            </w:tcBorders>
            <w:shd w:val="clear" w:color="auto" w:fill="auto"/>
            <w:noWrap/>
            <w:vAlign w:val="bottom"/>
            <w:hideMark/>
          </w:tcPr>
          <w:p w:rsidR="002B14DE" w:rsidRPr="001F4060" w:rsidRDefault="002B14DE" w:rsidP="002B14DE">
            <w:pPr>
              <w:spacing w:after="0" w:line="240" w:lineRule="auto"/>
              <w:jc w:val="right"/>
              <w:rPr>
                <w:rFonts w:ascii="Calibri" w:eastAsia="Times New Roman" w:hAnsi="Calibri" w:cs="Times New Roman"/>
                <w:color w:val="000000"/>
                <w:lang w:eastAsia="it-IT"/>
              </w:rPr>
            </w:pPr>
            <w:r w:rsidRPr="001F4060">
              <w:rPr>
                <w:rFonts w:ascii="Calibri" w:eastAsia="Times New Roman" w:hAnsi="Calibri" w:cs="Times New Roman"/>
                <w:color w:val="000000"/>
                <w:lang w:eastAsia="it-IT"/>
              </w:rPr>
              <w:t>9%</w:t>
            </w:r>
          </w:p>
        </w:tc>
      </w:tr>
      <w:tr w:rsidR="002B14DE" w:rsidRPr="001F4060" w:rsidTr="00BF48AB">
        <w:trPr>
          <w:trHeight w:val="300"/>
        </w:trPr>
        <w:tc>
          <w:tcPr>
            <w:tcW w:w="4536" w:type="dxa"/>
            <w:tcBorders>
              <w:top w:val="nil"/>
              <w:left w:val="nil"/>
              <w:bottom w:val="nil"/>
              <w:right w:val="nil"/>
            </w:tcBorders>
            <w:shd w:val="clear" w:color="auto" w:fill="auto"/>
            <w:vAlign w:val="center"/>
            <w:hideMark/>
          </w:tcPr>
          <w:p w:rsidR="002B14DE" w:rsidRPr="001F4060" w:rsidRDefault="002B14DE" w:rsidP="002B14DE">
            <w:pPr>
              <w:spacing w:after="0" w:line="240" w:lineRule="auto"/>
              <w:rPr>
                <w:rFonts w:ascii="Calibri" w:eastAsia="Times New Roman" w:hAnsi="Calibri" w:cs="Times New Roman"/>
                <w:color w:val="000000"/>
                <w:lang w:eastAsia="it-IT"/>
              </w:rPr>
            </w:pPr>
            <w:r w:rsidRPr="001F4060">
              <w:rPr>
                <w:rFonts w:ascii="Calibri" w:eastAsia="Times New Roman" w:hAnsi="Calibri" w:cs="Times New Roman"/>
                <w:color w:val="000000"/>
                <w:lang w:eastAsia="it-IT"/>
              </w:rPr>
              <w:t>2. macchine e stampi per industria orafa</w:t>
            </w:r>
          </w:p>
        </w:tc>
        <w:tc>
          <w:tcPr>
            <w:tcW w:w="426" w:type="dxa"/>
            <w:tcBorders>
              <w:top w:val="nil"/>
              <w:left w:val="nil"/>
              <w:bottom w:val="nil"/>
              <w:right w:val="nil"/>
            </w:tcBorders>
            <w:shd w:val="clear" w:color="auto" w:fill="auto"/>
            <w:noWrap/>
            <w:vAlign w:val="bottom"/>
            <w:hideMark/>
          </w:tcPr>
          <w:p w:rsidR="002B14DE" w:rsidRPr="001F4060" w:rsidRDefault="002B14DE" w:rsidP="002B14DE">
            <w:pPr>
              <w:spacing w:after="0" w:line="240" w:lineRule="auto"/>
              <w:jc w:val="right"/>
              <w:rPr>
                <w:rFonts w:ascii="Calibri" w:eastAsia="Times New Roman" w:hAnsi="Calibri" w:cs="Times New Roman"/>
                <w:color w:val="000000"/>
                <w:lang w:eastAsia="it-IT"/>
              </w:rPr>
            </w:pPr>
            <w:r w:rsidRPr="001F4060">
              <w:rPr>
                <w:rFonts w:ascii="Calibri" w:eastAsia="Times New Roman" w:hAnsi="Calibri" w:cs="Times New Roman"/>
                <w:color w:val="000000"/>
                <w:lang w:eastAsia="it-IT"/>
              </w:rPr>
              <w:t>9%</w:t>
            </w:r>
          </w:p>
        </w:tc>
        <w:tc>
          <w:tcPr>
            <w:tcW w:w="992" w:type="dxa"/>
            <w:tcBorders>
              <w:top w:val="nil"/>
              <w:left w:val="nil"/>
              <w:bottom w:val="nil"/>
              <w:right w:val="nil"/>
            </w:tcBorders>
            <w:shd w:val="clear" w:color="auto" w:fill="auto"/>
            <w:noWrap/>
            <w:vAlign w:val="bottom"/>
            <w:hideMark/>
          </w:tcPr>
          <w:p w:rsidR="002B14DE" w:rsidRPr="001F4060" w:rsidRDefault="002B14DE" w:rsidP="002B14DE">
            <w:pPr>
              <w:spacing w:after="0" w:line="240" w:lineRule="auto"/>
              <w:jc w:val="right"/>
              <w:rPr>
                <w:rFonts w:ascii="Calibri" w:eastAsia="Times New Roman" w:hAnsi="Calibri" w:cs="Times New Roman"/>
                <w:color w:val="000000"/>
                <w:lang w:eastAsia="it-IT"/>
              </w:rPr>
            </w:pPr>
            <w:r w:rsidRPr="001F4060">
              <w:rPr>
                <w:rFonts w:ascii="Calibri" w:eastAsia="Times New Roman" w:hAnsi="Calibri" w:cs="Times New Roman"/>
                <w:color w:val="000000"/>
                <w:lang w:eastAsia="it-IT"/>
              </w:rPr>
              <w:t>5%</w:t>
            </w:r>
          </w:p>
        </w:tc>
      </w:tr>
      <w:tr w:rsidR="002B14DE" w:rsidRPr="001F4060" w:rsidTr="00BF48AB">
        <w:trPr>
          <w:trHeight w:val="276"/>
        </w:trPr>
        <w:tc>
          <w:tcPr>
            <w:tcW w:w="4536" w:type="dxa"/>
            <w:tcBorders>
              <w:top w:val="nil"/>
              <w:left w:val="nil"/>
              <w:bottom w:val="nil"/>
              <w:right w:val="nil"/>
            </w:tcBorders>
            <w:shd w:val="clear" w:color="auto" w:fill="auto"/>
            <w:vAlign w:val="center"/>
            <w:hideMark/>
          </w:tcPr>
          <w:p w:rsidR="002B14DE" w:rsidRPr="001F4060" w:rsidRDefault="002B14DE" w:rsidP="002B14DE">
            <w:pPr>
              <w:spacing w:after="0" w:line="240" w:lineRule="auto"/>
              <w:rPr>
                <w:rFonts w:ascii="Calibri" w:eastAsia="Times New Roman" w:hAnsi="Calibri" w:cs="Times New Roman"/>
                <w:color w:val="000000"/>
                <w:lang w:eastAsia="it-IT"/>
              </w:rPr>
            </w:pPr>
            <w:r w:rsidRPr="001F4060">
              <w:rPr>
                <w:rFonts w:ascii="Calibri" w:eastAsia="Times New Roman" w:hAnsi="Calibri" w:cs="Times New Roman"/>
                <w:color w:val="000000"/>
                <w:lang w:eastAsia="it-IT"/>
              </w:rPr>
              <w:t>3. bigiotteria, orologi e altro</w:t>
            </w:r>
          </w:p>
        </w:tc>
        <w:tc>
          <w:tcPr>
            <w:tcW w:w="426" w:type="dxa"/>
            <w:tcBorders>
              <w:top w:val="nil"/>
              <w:left w:val="nil"/>
              <w:bottom w:val="nil"/>
              <w:right w:val="nil"/>
            </w:tcBorders>
            <w:shd w:val="clear" w:color="auto" w:fill="auto"/>
            <w:noWrap/>
            <w:vAlign w:val="bottom"/>
            <w:hideMark/>
          </w:tcPr>
          <w:p w:rsidR="002B14DE" w:rsidRPr="001F4060" w:rsidRDefault="002B14DE" w:rsidP="002B14DE">
            <w:pPr>
              <w:spacing w:after="0" w:line="240" w:lineRule="auto"/>
              <w:jc w:val="right"/>
              <w:rPr>
                <w:rFonts w:ascii="Calibri" w:eastAsia="Times New Roman" w:hAnsi="Calibri" w:cs="Times New Roman"/>
                <w:color w:val="000000"/>
                <w:lang w:eastAsia="it-IT"/>
              </w:rPr>
            </w:pPr>
            <w:r w:rsidRPr="001F4060">
              <w:rPr>
                <w:rFonts w:ascii="Calibri" w:eastAsia="Times New Roman" w:hAnsi="Calibri" w:cs="Times New Roman"/>
                <w:color w:val="000000"/>
                <w:lang w:eastAsia="it-IT"/>
              </w:rPr>
              <w:t>9%</w:t>
            </w:r>
          </w:p>
        </w:tc>
        <w:tc>
          <w:tcPr>
            <w:tcW w:w="992" w:type="dxa"/>
            <w:tcBorders>
              <w:top w:val="nil"/>
              <w:left w:val="nil"/>
              <w:bottom w:val="nil"/>
              <w:right w:val="nil"/>
            </w:tcBorders>
            <w:shd w:val="clear" w:color="auto" w:fill="auto"/>
            <w:noWrap/>
            <w:vAlign w:val="bottom"/>
            <w:hideMark/>
          </w:tcPr>
          <w:p w:rsidR="002B14DE" w:rsidRPr="001F4060" w:rsidRDefault="002B14DE" w:rsidP="002B14DE">
            <w:pPr>
              <w:spacing w:after="0" w:line="240" w:lineRule="auto"/>
              <w:jc w:val="right"/>
              <w:rPr>
                <w:rFonts w:ascii="Calibri" w:eastAsia="Times New Roman" w:hAnsi="Calibri" w:cs="Times New Roman"/>
                <w:color w:val="000000"/>
                <w:lang w:eastAsia="it-IT"/>
              </w:rPr>
            </w:pPr>
            <w:r w:rsidRPr="001F4060">
              <w:rPr>
                <w:rFonts w:ascii="Calibri" w:eastAsia="Times New Roman" w:hAnsi="Calibri" w:cs="Times New Roman"/>
                <w:color w:val="000000"/>
                <w:lang w:eastAsia="it-IT"/>
              </w:rPr>
              <w:t>16%</w:t>
            </w:r>
          </w:p>
        </w:tc>
      </w:tr>
      <w:tr w:rsidR="002B14DE" w:rsidRPr="001F4060" w:rsidTr="00BF48AB">
        <w:trPr>
          <w:trHeight w:val="315"/>
        </w:trPr>
        <w:tc>
          <w:tcPr>
            <w:tcW w:w="4536" w:type="dxa"/>
            <w:tcBorders>
              <w:top w:val="nil"/>
              <w:left w:val="nil"/>
              <w:bottom w:val="single" w:sz="4" w:space="0" w:color="auto"/>
              <w:right w:val="nil"/>
            </w:tcBorders>
            <w:shd w:val="clear" w:color="auto" w:fill="auto"/>
            <w:vAlign w:val="center"/>
            <w:hideMark/>
          </w:tcPr>
          <w:p w:rsidR="002B14DE" w:rsidRPr="001F4060" w:rsidRDefault="002B14DE" w:rsidP="002B14DE">
            <w:pPr>
              <w:spacing w:after="0" w:line="240" w:lineRule="auto"/>
              <w:rPr>
                <w:rFonts w:ascii="Calibri" w:eastAsia="Times New Roman" w:hAnsi="Calibri" w:cs="Times New Roman"/>
                <w:color w:val="000000"/>
                <w:lang w:eastAsia="it-IT"/>
              </w:rPr>
            </w:pPr>
            <w:r w:rsidRPr="001F4060">
              <w:rPr>
                <w:rFonts w:ascii="Calibri" w:eastAsia="Times New Roman" w:hAnsi="Calibri" w:cs="Times New Roman"/>
                <w:color w:val="000000"/>
                <w:lang w:eastAsia="it-IT"/>
              </w:rPr>
              <w:t>4. oreficeria</w:t>
            </w:r>
          </w:p>
        </w:tc>
        <w:tc>
          <w:tcPr>
            <w:tcW w:w="426" w:type="dxa"/>
            <w:tcBorders>
              <w:top w:val="nil"/>
              <w:left w:val="nil"/>
              <w:bottom w:val="single" w:sz="4" w:space="0" w:color="auto"/>
              <w:right w:val="nil"/>
            </w:tcBorders>
            <w:shd w:val="clear" w:color="auto" w:fill="auto"/>
            <w:noWrap/>
            <w:vAlign w:val="bottom"/>
            <w:hideMark/>
          </w:tcPr>
          <w:p w:rsidR="002B14DE" w:rsidRPr="001F4060" w:rsidRDefault="002B14DE" w:rsidP="002B14DE">
            <w:pPr>
              <w:spacing w:after="0" w:line="240" w:lineRule="auto"/>
              <w:jc w:val="right"/>
              <w:rPr>
                <w:rFonts w:ascii="Calibri" w:eastAsia="Times New Roman" w:hAnsi="Calibri" w:cs="Times New Roman"/>
                <w:color w:val="000000"/>
                <w:lang w:eastAsia="it-IT"/>
              </w:rPr>
            </w:pPr>
            <w:r w:rsidRPr="001F4060">
              <w:rPr>
                <w:rFonts w:ascii="Calibri" w:eastAsia="Times New Roman" w:hAnsi="Calibri" w:cs="Times New Roman"/>
                <w:color w:val="000000"/>
                <w:lang w:eastAsia="it-IT"/>
              </w:rPr>
              <w:t>4%</w:t>
            </w:r>
          </w:p>
        </w:tc>
        <w:tc>
          <w:tcPr>
            <w:tcW w:w="992" w:type="dxa"/>
            <w:tcBorders>
              <w:top w:val="nil"/>
              <w:left w:val="nil"/>
              <w:bottom w:val="single" w:sz="4" w:space="0" w:color="auto"/>
              <w:right w:val="nil"/>
            </w:tcBorders>
            <w:shd w:val="clear" w:color="auto" w:fill="auto"/>
            <w:noWrap/>
            <w:vAlign w:val="bottom"/>
            <w:hideMark/>
          </w:tcPr>
          <w:p w:rsidR="002B14DE" w:rsidRPr="001F4060" w:rsidRDefault="002B14DE" w:rsidP="002B14DE">
            <w:pPr>
              <w:spacing w:after="0" w:line="240" w:lineRule="auto"/>
              <w:jc w:val="right"/>
              <w:rPr>
                <w:rFonts w:ascii="Calibri" w:eastAsia="Times New Roman" w:hAnsi="Calibri" w:cs="Times New Roman"/>
                <w:color w:val="000000"/>
                <w:lang w:eastAsia="it-IT"/>
              </w:rPr>
            </w:pPr>
            <w:r w:rsidRPr="001F4060">
              <w:rPr>
                <w:rFonts w:ascii="Calibri" w:eastAsia="Times New Roman" w:hAnsi="Calibri" w:cs="Times New Roman"/>
                <w:color w:val="000000"/>
                <w:lang w:eastAsia="it-IT"/>
              </w:rPr>
              <w:t>5%</w:t>
            </w:r>
          </w:p>
        </w:tc>
      </w:tr>
      <w:tr w:rsidR="002B14DE" w:rsidRPr="001F4060" w:rsidTr="00BF48AB">
        <w:trPr>
          <w:trHeight w:val="300"/>
        </w:trPr>
        <w:tc>
          <w:tcPr>
            <w:tcW w:w="4536" w:type="dxa"/>
            <w:tcBorders>
              <w:top w:val="single" w:sz="4" w:space="0" w:color="auto"/>
              <w:left w:val="nil"/>
              <w:bottom w:val="nil"/>
              <w:right w:val="nil"/>
            </w:tcBorders>
            <w:shd w:val="clear" w:color="auto" w:fill="auto"/>
            <w:vAlign w:val="center"/>
            <w:hideMark/>
          </w:tcPr>
          <w:p w:rsidR="002B14DE" w:rsidRPr="001F4060" w:rsidRDefault="002B14DE" w:rsidP="002B14DE">
            <w:pPr>
              <w:spacing w:after="0" w:line="240" w:lineRule="auto"/>
              <w:rPr>
                <w:rFonts w:ascii="Calibri" w:eastAsia="Times New Roman" w:hAnsi="Calibri" w:cs="Times New Roman"/>
                <w:color w:val="000000"/>
                <w:lang w:eastAsia="it-IT"/>
              </w:rPr>
            </w:pPr>
            <w:r w:rsidRPr="001F4060">
              <w:rPr>
                <w:rFonts w:ascii="Calibri" w:eastAsia="Times New Roman" w:hAnsi="Calibri" w:cs="Times New Roman"/>
                <w:color w:val="000000"/>
                <w:lang w:eastAsia="it-IT"/>
              </w:rPr>
              <w:t>Totale complessivo</w:t>
            </w:r>
          </w:p>
        </w:tc>
        <w:tc>
          <w:tcPr>
            <w:tcW w:w="426" w:type="dxa"/>
            <w:tcBorders>
              <w:top w:val="single" w:sz="4" w:space="0" w:color="auto"/>
              <w:left w:val="nil"/>
              <w:bottom w:val="nil"/>
              <w:right w:val="nil"/>
            </w:tcBorders>
            <w:shd w:val="clear" w:color="auto" w:fill="auto"/>
            <w:noWrap/>
            <w:vAlign w:val="bottom"/>
            <w:hideMark/>
          </w:tcPr>
          <w:p w:rsidR="002B14DE" w:rsidRPr="001F4060" w:rsidRDefault="002B14DE" w:rsidP="002B14DE">
            <w:pPr>
              <w:spacing w:after="0" w:line="240" w:lineRule="auto"/>
              <w:jc w:val="right"/>
              <w:rPr>
                <w:rFonts w:ascii="Calibri" w:eastAsia="Times New Roman" w:hAnsi="Calibri" w:cs="Times New Roman"/>
                <w:color w:val="000000"/>
                <w:lang w:eastAsia="it-IT"/>
              </w:rPr>
            </w:pPr>
            <w:r w:rsidRPr="001F4060">
              <w:rPr>
                <w:rFonts w:ascii="Calibri" w:eastAsia="Times New Roman" w:hAnsi="Calibri" w:cs="Times New Roman"/>
                <w:color w:val="000000"/>
                <w:lang w:eastAsia="it-IT"/>
              </w:rPr>
              <w:t>4%</w:t>
            </w:r>
          </w:p>
        </w:tc>
        <w:tc>
          <w:tcPr>
            <w:tcW w:w="992" w:type="dxa"/>
            <w:tcBorders>
              <w:top w:val="single" w:sz="4" w:space="0" w:color="auto"/>
              <w:left w:val="nil"/>
              <w:bottom w:val="nil"/>
              <w:right w:val="nil"/>
            </w:tcBorders>
            <w:shd w:val="clear" w:color="auto" w:fill="auto"/>
            <w:noWrap/>
            <w:vAlign w:val="bottom"/>
            <w:hideMark/>
          </w:tcPr>
          <w:p w:rsidR="002B14DE" w:rsidRPr="001F4060" w:rsidRDefault="002B14DE" w:rsidP="002B14DE">
            <w:pPr>
              <w:spacing w:after="0" w:line="240" w:lineRule="auto"/>
              <w:jc w:val="right"/>
              <w:rPr>
                <w:rFonts w:ascii="Calibri" w:eastAsia="Times New Roman" w:hAnsi="Calibri" w:cs="Times New Roman"/>
                <w:color w:val="000000"/>
                <w:lang w:eastAsia="it-IT"/>
              </w:rPr>
            </w:pPr>
            <w:r w:rsidRPr="001F4060">
              <w:rPr>
                <w:rFonts w:ascii="Calibri" w:eastAsia="Times New Roman" w:hAnsi="Calibri" w:cs="Times New Roman"/>
                <w:color w:val="000000"/>
                <w:lang w:eastAsia="it-IT"/>
              </w:rPr>
              <w:t>6%</w:t>
            </w:r>
          </w:p>
        </w:tc>
      </w:tr>
    </w:tbl>
    <w:p w:rsidR="002B14DE" w:rsidRDefault="002B14DE" w:rsidP="002B14DE">
      <w:pPr>
        <w:jc w:val="both"/>
        <w:rPr>
          <w:sz w:val="24"/>
          <w:szCs w:val="24"/>
        </w:rPr>
      </w:pPr>
    </w:p>
    <w:p w:rsidR="002B14DE" w:rsidRDefault="002B14DE" w:rsidP="002B14DE">
      <w:pPr>
        <w:jc w:val="both"/>
        <w:rPr>
          <w:sz w:val="24"/>
          <w:szCs w:val="24"/>
        </w:rPr>
      </w:pPr>
      <w:r>
        <w:rPr>
          <w:sz w:val="24"/>
          <w:szCs w:val="24"/>
        </w:rPr>
        <w:t xml:space="preserve">Naturalmente la struttura per età degli occupati a tempo indeterminato (escludendo, in questo caso, gli apprendisti) ha una struttura </w:t>
      </w:r>
      <w:proofErr w:type="spellStart"/>
      <w:r>
        <w:rPr>
          <w:sz w:val="24"/>
          <w:szCs w:val="24"/>
        </w:rPr>
        <w:t>baricentrata</w:t>
      </w:r>
      <w:proofErr w:type="spellEnd"/>
      <w:r>
        <w:rPr>
          <w:sz w:val="24"/>
          <w:szCs w:val="24"/>
        </w:rPr>
        <w:t xml:space="preserve"> sui 42 anni (la base dati considerata è la percentuale annua di quella classe di età sul totale, come media mobile a tre termini per “smussare” i dati singoli, laddove gli occupati precari (essenzialmente contratti a tempo determinato e apprendisti) hanno un massimo sui 22-24 anni, e poi, a partire dai 32 anni, si collocano stabilmente (come incidenza sul totale degli addetti) al di sotto della media dei contratti a tempo indeterminato (salvo un modesto picco fra 63 e 67 anni, dove aumentano i precari, ma si tratta di piccole cifre).</w:t>
      </w:r>
    </w:p>
    <w:p w:rsidR="002B14DE" w:rsidRDefault="002B14DE" w:rsidP="002B14DE">
      <w:pPr>
        <w:jc w:val="both"/>
        <w:rPr>
          <w:sz w:val="24"/>
          <w:szCs w:val="24"/>
        </w:rPr>
      </w:pPr>
    </w:p>
    <w:p w:rsidR="002B14DE" w:rsidRDefault="002B14DE" w:rsidP="002B14DE">
      <w:pPr>
        <w:jc w:val="both"/>
        <w:rPr>
          <w:sz w:val="24"/>
          <w:szCs w:val="24"/>
        </w:rPr>
      </w:pPr>
      <w:r>
        <w:rPr>
          <w:noProof/>
          <w:lang w:eastAsia="it-IT"/>
        </w:rPr>
        <w:drawing>
          <wp:inline distT="0" distB="0" distL="0" distR="0" wp14:anchorId="13D074DE" wp14:editId="3F201E39">
            <wp:extent cx="4572000" cy="2743200"/>
            <wp:effectExtent l="0" t="0" r="0" b="0"/>
            <wp:docPr id="6" name="Gra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B14DE" w:rsidRDefault="002B14DE" w:rsidP="002B14DE">
      <w:pPr>
        <w:jc w:val="both"/>
        <w:rPr>
          <w:sz w:val="24"/>
          <w:szCs w:val="24"/>
        </w:rPr>
      </w:pPr>
    </w:p>
    <w:p w:rsidR="002B14DE" w:rsidRDefault="002B14DE" w:rsidP="002B14DE">
      <w:pPr>
        <w:jc w:val="both"/>
        <w:rPr>
          <w:sz w:val="24"/>
          <w:szCs w:val="24"/>
        </w:rPr>
      </w:pPr>
      <w:r>
        <w:rPr>
          <w:sz w:val="24"/>
          <w:szCs w:val="24"/>
        </w:rPr>
        <w:t>L’occupazione femminile prevale nettamente fra gli impiegati (77%), mentre è minoritaria fra gli operai (43%) e gli apprendisti (35%).</w:t>
      </w:r>
    </w:p>
    <w:p w:rsidR="00BF48AB" w:rsidRDefault="00BF48AB" w:rsidP="002B14DE">
      <w:pPr>
        <w:jc w:val="both"/>
        <w:rPr>
          <w:sz w:val="24"/>
          <w:szCs w:val="24"/>
        </w:rPr>
      </w:pPr>
    </w:p>
    <w:p w:rsidR="00BF48AB" w:rsidRPr="00BF48AB" w:rsidRDefault="00CD214C" w:rsidP="002B14DE">
      <w:pPr>
        <w:jc w:val="both"/>
        <w:rPr>
          <w:i/>
          <w:sz w:val="24"/>
          <w:szCs w:val="24"/>
        </w:rPr>
      </w:pPr>
      <w:proofErr w:type="spellStart"/>
      <w:r>
        <w:rPr>
          <w:i/>
          <w:sz w:val="24"/>
          <w:szCs w:val="24"/>
        </w:rPr>
        <w:t>Tab</w:t>
      </w:r>
      <w:proofErr w:type="spellEnd"/>
      <w:r>
        <w:rPr>
          <w:i/>
          <w:sz w:val="24"/>
          <w:szCs w:val="24"/>
        </w:rPr>
        <w:t xml:space="preserve">. 2.9 </w:t>
      </w:r>
      <w:r w:rsidR="00BF48AB" w:rsidRPr="00BF48AB">
        <w:rPr>
          <w:i/>
          <w:sz w:val="24"/>
          <w:szCs w:val="24"/>
        </w:rPr>
        <w:t>Struttura di genere dell’occupazione artigiana dipendente per qualifica</w:t>
      </w:r>
    </w:p>
    <w:tbl>
      <w:tblPr>
        <w:tblW w:w="5812" w:type="dxa"/>
        <w:tblCellMar>
          <w:left w:w="70" w:type="dxa"/>
          <w:right w:w="70" w:type="dxa"/>
        </w:tblCellMar>
        <w:tblLook w:val="04A0" w:firstRow="1" w:lastRow="0" w:firstColumn="1" w:lastColumn="0" w:noHBand="0" w:noVBand="1"/>
      </w:tblPr>
      <w:tblGrid>
        <w:gridCol w:w="4536"/>
        <w:gridCol w:w="1276"/>
      </w:tblGrid>
      <w:tr w:rsidR="002B14DE" w:rsidRPr="00711CA6" w:rsidTr="002B14DE">
        <w:trPr>
          <w:trHeight w:val="300"/>
        </w:trPr>
        <w:tc>
          <w:tcPr>
            <w:tcW w:w="4536" w:type="dxa"/>
            <w:tcBorders>
              <w:top w:val="single" w:sz="4" w:space="0" w:color="auto"/>
              <w:left w:val="nil"/>
              <w:bottom w:val="single" w:sz="4" w:space="0" w:color="auto"/>
              <w:right w:val="nil"/>
            </w:tcBorders>
            <w:vAlign w:val="bottom"/>
          </w:tcPr>
          <w:p w:rsidR="002B14DE" w:rsidRPr="00F23F2A" w:rsidRDefault="002B14DE" w:rsidP="002B14DE">
            <w:pPr>
              <w:spacing w:after="0" w:line="240" w:lineRule="auto"/>
              <w:rPr>
                <w:rFonts w:ascii="Calibri" w:eastAsia="Times New Roman" w:hAnsi="Calibri" w:cs="Times New Roman"/>
                <w:color w:val="000000"/>
                <w:lang w:eastAsia="it-IT"/>
              </w:rPr>
            </w:pPr>
          </w:p>
        </w:tc>
        <w:tc>
          <w:tcPr>
            <w:tcW w:w="1276" w:type="dxa"/>
            <w:tcBorders>
              <w:top w:val="single" w:sz="4" w:space="0" w:color="auto"/>
              <w:left w:val="nil"/>
              <w:bottom w:val="single" w:sz="4" w:space="0" w:color="auto"/>
              <w:right w:val="nil"/>
            </w:tcBorders>
            <w:shd w:val="clear" w:color="auto" w:fill="auto"/>
            <w:noWrap/>
            <w:vAlign w:val="bottom"/>
          </w:tcPr>
          <w:p w:rsidR="002B14DE" w:rsidRPr="00711CA6" w:rsidRDefault="002B14DE" w:rsidP="002B14DE">
            <w:pPr>
              <w:spacing w:after="0" w:line="240" w:lineRule="auto"/>
              <w:jc w:val="right"/>
              <w:rPr>
                <w:rFonts w:ascii="Calibri" w:eastAsia="Times New Roman" w:hAnsi="Calibri" w:cs="Times New Roman"/>
                <w:color w:val="000000"/>
                <w:lang w:eastAsia="it-IT"/>
              </w:rPr>
            </w:pPr>
            <w:r>
              <w:rPr>
                <w:rFonts w:ascii="Calibri" w:eastAsia="Times New Roman" w:hAnsi="Calibri" w:cs="Times New Roman"/>
                <w:color w:val="000000"/>
                <w:lang w:eastAsia="it-IT"/>
              </w:rPr>
              <w:t>% donne</w:t>
            </w:r>
          </w:p>
        </w:tc>
      </w:tr>
      <w:tr w:rsidR="002B14DE" w:rsidRPr="00711CA6" w:rsidTr="002B14DE">
        <w:trPr>
          <w:trHeight w:val="300"/>
        </w:trPr>
        <w:tc>
          <w:tcPr>
            <w:tcW w:w="4536" w:type="dxa"/>
            <w:tcBorders>
              <w:top w:val="single" w:sz="4" w:space="0" w:color="auto"/>
              <w:left w:val="nil"/>
              <w:bottom w:val="nil"/>
              <w:right w:val="nil"/>
            </w:tcBorders>
            <w:vAlign w:val="bottom"/>
          </w:tcPr>
          <w:p w:rsidR="002B14DE" w:rsidRPr="00F23F2A" w:rsidRDefault="002B14DE" w:rsidP="002B14DE">
            <w:pPr>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Operai</w:t>
            </w:r>
          </w:p>
        </w:tc>
        <w:tc>
          <w:tcPr>
            <w:tcW w:w="1276" w:type="dxa"/>
            <w:tcBorders>
              <w:top w:val="single" w:sz="4" w:space="0" w:color="auto"/>
              <w:left w:val="nil"/>
              <w:bottom w:val="nil"/>
              <w:right w:val="nil"/>
            </w:tcBorders>
            <w:shd w:val="clear" w:color="auto" w:fill="auto"/>
            <w:noWrap/>
            <w:vAlign w:val="bottom"/>
            <w:hideMark/>
          </w:tcPr>
          <w:p w:rsidR="002B14DE" w:rsidRDefault="002B14DE" w:rsidP="002B14DE">
            <w:pPr>
              <w:jc w:val="right"/>
              <w:rPr>
                <w:rFonts w:ascii="Calibri" w:hAnsi="Calibri"/>
                <w:color w:val="000000"/>
              </w:rPr>
            </w:pPr>
            <w:r>
              <w:rPr>
                <w:rFonts w:ascii="Calibri" w:hAnsi="Calibri"/>
                <w:color w:val="000000"/>
              </w:rPr>
              <w:t>43,2%</w:t>
            </w:r>
          </w:p>
        </w:tc>
      </w:tr>
      <w:tr w:rsidR="002B14DE" w:rsidRPr="00711CA6" w:rsidTr="002B14DE">
        <w:trPr>
          <w:trHeight w:val="300"/>
        </w:trPr>
        <w:tc>
          <w:tcPr>
            <w:tcW w:w="4536" w:type="dxa"/>
            <w:tcBorders>
              <w:top w:val="nil"/>
              <w:left w:val="nil"/>
              <w:bottom w:val="nil"/>
              <w:right w:val="nil"/>
            </w:tcBorders>
            <w:vAlign w:val="bottom"/>
          </w:tcPr>
          <w:p w:rsidR="002B14DE" w:rsidRPr="00F23F2A" w:rsidRDefault="002B14DE" w:rsidP="002B14DE">
            <w:pPr>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Impiegati</w:t>
            </w:r>
          </w:p>
        </w:tc>
        <w:tc>
          <w:tcPr>
            <w:tcW w:w="1276" w:type="dxa"/>
            <w:tcBorders>
              <w:top w:val="nil"/>
              <w:left w:val="nil"/>
              <w:bottom w:val="nil"/>
              <w:right w:val="nil"/>
            </w:tcBorders>
            <w:shd w:val="clear" w:color="auto" w:fill="auto"/>
            <w:noWrap/>
            <w:vAlign w:val="bottom"/>
            <w:hideMark/>
          </w:tcPr>
          <w:p w:rsidR="002B14DE" w:rsidRDefault="002B14DE" w:rsidP="002B14DE">
            <w:pPr>
              <w:jc w:val="right"/>
              <w:rPr>
                <w:rFonts w:ascii="Calibri" w:hAnsi="Calibri"/>
                <w:color w:val="000000"/>
              </w:rPr>
            </w:pPr>
            <w:r>
              <w:rPr>
                <w:rFonts w:ascii="Calibri" w:hAnsi="Calibri"/>
                <w:color w:val="000000"/>
              </w:rPr>
              <w:t>77,1%</w:t>
            </w:r>
          </w:p>
        </w:tc>
      </w:tr>
      <w:tr w:rsidR="002B14DE" w:rsidRPr="00711CA6" w:rsidTr="002B14DE">
        <w:trPr>
          <w:trHeight w:val="300"/>
        </w:trPr>
        <w:tc>
          <w:tcPr>
            <w:tcW w:w="4536" w:type="dxa"/>
            <w:tcBorders>
              <w:top w:val="nil"/>
              <w:left w:val="nil"/>
              <w:right w:val="nil"/>
            </w:tcBorders>
            <w:vAlign w:val="bottom"/>
          </w:tcPr>
          <w:p w:rsidR="002B14DE" w:rsidRPr="00F23F2A" w:rsidRDefault="002B14DE" w:rsidP="002B14DE">
            <w:pPr>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Apprendisti</w:t>
            </w:r>
          </w:p>
        </w:tc>
        <w:tc>
          <w:tcPr>
            <w:tcW w:w="1276" w:type="dxa"/>
            <w:tcBorders>
              <w:top w:val="nil"/>
              <w:left w:val="nil"/>
              <w:right w:val="nil"/>
            </w:tcBorders>
            <w:shd w:val="clear" w:color="auto" w:fill="auto"/>
            <w:noWrap/>
            <w:vAlign w:val="bottom"/>
            <w:hideMark/>
          </w:tcPr>
          <w:p w:rsidR="002B14DE" w:rsidRDefault="002B14DE" w:rsidP="002B14DE">
            <w:pPr>
              <w:jc w:val="right"/>
              <w:rPr>
                <w:rFonts w:ascii="Calibri" w:hAnsi="Calibri"/>
                <w:color w:val="000000"/>
              </w:rPr>
            </w:pPr>
            <w:r>
              <w:rPr>
                <w:rFonts w:ascii="Calibri" w:hAnsi="Calibri"/>
                <w:color w:val="000000"/>
              </w:rPr>
              <w:t>35,4%</w:t>
            </w:r>
          </w:p>
        </w:tc>
      </w:tr>
      <w:tr w:rsidR="002B14DE" w:rsidRPr="00711CA6" w:rsidTr="002B14DE">
        <w:trPr>
          <w:trHeight w:val="300"/>
        </w:trPr>
        <w:tc>
          <w:tcPr>
            <w:tcW w:w="4536" w:type="dxa"/>
            <w:tcBorders>
              <w:top w:val="nil"/>
              <w:left w:val="nil"/>
              <w:bottom w:val="single" w:sz="4" w:space="0" w:color="auto"/>
              <w:right w:val="nil"/>
            </w:tcBorders>
            <w:vAlign w:val="bottom"/>
          </w:tcPr>
          <w:p w:rsidR="002B14DE" w:rsidRPr="00F23F2A" w:rsidRDefault="002B14DE" w:rsidP="002B14DE">
            <w:pPr>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Altro</w:t>
            </w:r>
          </w:p>
        </w:tc>
        <w:tc>
          <w:tcPr>
            <w:tcW w:w="1276" w:type="dxa"/>
            <w:tcBorders>
              <w:top w:val="nil"/>
              <w:left w:val="nil"/>
              <w:bottom w:val="single" w:sz="4" w:space="0" w:color="auto"/>
              <w:right w:val="nil"/>
            </w:tcBorders>
            <w:shd w:val="clear" w:color="auto" w:fill="auto"/>
            <w:noWrap/>
            <w:vAlign w:val="bottom"/>
            <w:hideMark/>
          </w:tcPr>
          <w:p w:rsidR="002B14DE" w:rsidRDefault="002B14DE" w:rsidP="002B14DE">
            <w:pPr>
              <w:jc w:val="right"/>
              <w:rPr>
                <w:rFonts w:ascii="Calibri" w:hAnsi="Calibri"/>
                <w:color w:val="000000"/>
              </w:rPr>
            </w:pPr>
            <w:r>
              <w:rPr>
                <w:rFonts w:ascii="Calibri" w:hAnsi="Calibri"/>
                <w:color w:val="000000"/>
              </w:rPr>
              <w:t>58,3%</w:t>
            </w:r>
          </w:p>
        </w:tc>
      </w:tr>
    </w:tbl>
    <w:p w:rsidR="002B14DE" w:rsidRDefault="002B14DE" w:rsidP="002B14DE">
      <w:pPr>
        <w:rPr>
          <w:sz w:val="24"/>
          <w:szCs w:val="24"/>
        </w:rPr>
      </w:pPr>
    </w:p>
    <w:p w:rsidR="002B14DE" w:rsidRDefault="002B14DE" w:rsidP="002B14DE">
      <w:pPr>
        <w:jc w:val="both"/>
        <w:rPr>
          <w:sz w:val="24"/>
          <w:szCs w:val="24"/>
        </w:rPr>
      </w:pPr>
      <w:r>
        <w:rPr>
          <w:sz w:val="24"/>
          <w:szCs w:val="24"/>
        </w:rPr>
        <w:t>La quota di occupati dipendenti in microimprese in cui presumibilmente il lavoro subordinato è accessorio rispetto a quello dei titolari è modesta (9%). Circa un terzo degli addetti dipendenti si colloca in imprese di medie dimensioni (da 6 a 10, il 31%), e il 23% lavora in imprese con 11-15 dipendenti; Di poco inferiori al 20% le quote di addetti dipendenti nelle imprese più grandi (oltre 15 dipendenti: 18%) e in imprese piccole ma non piccolissime (da 3 a 5 dipendenti: 19%). Questa struttura dimensionale è più o meno identica nel comparto più grande, quello dell’oreficeria. Ancor più concentrata sulle dimensioni medie (da 6 a 15 dipendenti) è la bigiotteria (62%). La produzione di macchine comprende un 52% dell’occupazione nelle imprese da 11 a 15 (e un 37% nelle imprese con 6-10 addetti).</w:t>
      </w:r>
    </w:p>
    <w:p w:rsidR="002B14DE" w:rsidRDefault="002B14DE" w:rsidP="002B14DE">
      <w:pPr>
        <w:rPr>
          <w:sz w:val="24"/>
          <w:szCs w:val="24"/>
        </w:rPr>
      </w:pPr>
    </w:p>
    <w:p w:rsidR="002B14DE" w:rsidRDefault="002B14DE" w:rsidP="002B14DE">
      <w:pPr>
        <w:rPr>
          <w:sz w:val="24"/>
          <w:szCs w:val="24"/>
        </w:rPr>
      </w:pPr>
    </w:p>
    <w:p w:rsidR="002B14DE" w:rsidRPr="0087418B" w:rsidRDefault="00CD214C" w:rsidP="002B14DE">
      <w:pPr>
        <w:rPr>
          <w:i/>
          <w:sz w:val="24"/>
          <w:szCs w:val="24"/>
        </w:rPr>
      </w:pPr>
      <w:proofErr w:type="spellStart"/>
      <w:r>
        <w:rPr>
          <w:i/>
          <w:sz w:val="24"/>
          <w:szCs w:val="24"/>
        </w:rPr>
        <w:t>Tab</w:t>
      </w:r>
      <w:proofErr w:type="spellEnd"/>
      <w:r>
        <w:rPr>
          <w:i/>
          <w:sz w:val="24"/>
          <w:szCs w:val="24"/>
        </w:rPr>
        <w:t xml:space="preserve">. 2.10 </w:t>
      </w:r>
      <w:r w:rsidR="002B14DE" w:rsidRPr="0087418B">
        <w:rPr>
          <w:i/>
          <w:sz w:val="24"/>
          <w:szCs w:val="24"/>
        </w:rPr>
        <w:t>Occupazione per classi di dipendenti delle imprese</w:t>
      </w:r>
    </w:p>
    <w:tbl>
      <w:tblPr>
        <w:tblW w:w="8334" w:type="dxa"/>
        <w:tblCellMar>
          <w:left w:w="70" w:type="dxa"/>
          <w:right w:w="70" w:type="dxa"/>
        </w:tblCellMar>
        <w:tblLook w:val="04A0" w:firstRow="1" w:lastRow="0" w:firstColumn="1" w:lastColumn="0" w:noHBand="0" w:noVBand="1"/>
      </w:tblPr>
      <w:tblGrid>
        <w:gridCol w:w="2268"/>
        <w:gridCol w:w="1276"/>
        <w:gridCol w:w="1418"/>
        <w:gridCol w:w="1417"/>
        <w:gridCol w:w="1276"/>
        <w:gridCol w:w="679"/>
      </w:tblGrid>
      <w:tr w:rsidR="002B14DE" w:rsidRPr="0087418B" w:rsidTr="002B14DE">
        <w:trPr>
          <w:trHeight w:val="300"/>
        </w:trPr>
        <w:tc>
          <w:tcPr>
            <w:tcW w:w="2268" w:type="dxa"/>
            <w:tcBorders>
              <w:top w:val="single" w:sz="4" w:space="0" w:color="auto"/>
              <w:left w:val="nil"/>
              <w:bottom w:val="single" w:sz="4" w:space="0" w:color="auto"/>
              <w:right w:val="nil"/>
            </w:tcBorders>
            <w:shd w:val="clear" w:color="auto" w:fill="auto"/>
            <w:noWrap/>
            <w:vAlign w:val="bottom"/>
            <w:hideMark/>
          </w:tcPr>
          <w:p w:rsidR="002B14DE" w:rsidRPr="0087418B" w:rsidRDefault="002B14DE" w:rsidP="002B14DE">
            <w:pPr>
              <w:spacing w:after="0" w:line="240" w:lineRule="auto"/>
              <w:rPr>
                <w:rFonts w:ascii="Times New Roman" w:eastAsia="Times New Roman" w:hAnsi="Times New Roman" w:cs="Times New Roman"/>
                <w:sz w:val="24"/>
                <w:szCs w:val="24"/>
                <w:lang w:eastAsia="it-IT"/>
              </w:rPr>
            </w:pPr>
          </w:p>
        </w:tc>
        <w:tc>
          <w:tcPr>
            <w:tcW w:w="1276" w:type="dxa"/>
            <w:tcBorders>
              <w:top w:val="single" w:sz="4" w:space="0" w:color="auto"/>
              <w:left w:val="nil"/>
              <w:bottom w:val="single" w:sz="4" w:space="0" w:color="auto"/>
              <w:right w:val="nil"/>
            </w:tcBorders>
            <w:shd w:val="clear" w:color="auto" w:fill="auto"/>
            <w:noWrap/>
            <w:vAlign w:val="bottom"/>
            <w:hideMark/>
          </w:tcPr>
          <w:p w:rsidR="002B14DE" w:rsidRPr="0087418B" w:rsidRDefault="002B14DE" w:rsidP="002B14DE">
            <w:pPr>
              <w:spacing w:after="0" w:line="240" w:lineRule="auto"/>
              <w:jc w:val="right"/>
              <w:rPr>
                <w:rFonts w:ascii="Calibri" w:eastAsia="Times New Roman" w:hAnsi="Calibri" w:cs="Times New Roman"/>
                <w:color w:val="000000"/>
                <w:lang w:eastAsia="it-IT"/>
              </w:rPr>
            </w:pPr>
            <w:r w:rsidRPr="0087418B">
              <w:rPr>
                <w:rFonts w:ascii="Calibri" w:eastAsia="Times New Roman" w:hAnsi="Calibri" w:cs="Times New Roman"/>
                <w:color w:val="000000"/>
                <w:lang w:eastAsia="it-IT"/>
              </w:rPr>
              <w:t>1</w:t>
            </w:r>
            <w:r>
              <w:rPr>
                <w:rFonts w:ascii="Calibri" w:eastAsia="Times New Roman" w:hAnsi="Calibri" w:cs="Times New Roman"/>
                <w:color w:val="000000"/>
                <w:lang w:eastAsia="it-IT"/>
              </w:rPr>
              <w:t>.metalli e trattamenti</w:t>
            </w:r>
          </w:p>
        </w:tc>
        <w:tc>
          <w:tcPr>
            <w:tcW w:w="1418" w:type="dxa"/>
            <w:tcBorders>
              <w:top w:val="single" w:sz="4" w:space="0" w:color="auto"/>
              <w:left w:val="nil"/>
              <w:bottom w:val="single" w:sz="4" w:space="0" w:color="auto"/>
              <w:right w:val="nil"/>
            </w:tcBorders>
            <w:shd w:val="clear" w:color="auto" w:fill="auto"/>
            <w:noWrap/>
            <w:vAlign w:val="bottom"/>
            <w:hideMark/>
          </w:tcPr>
          <w:p w:rsidR="002B14DE" w:rsidRPr="0087418B" w:rsidRDefault="002B14DE" w:rsidP="002B14DE">
            <w:pPr>
              <w:spacing w:after="0" w:line="240" w:lineRule="auto"/>
              <w:jc w:val="right"/>
              <w:rPr>
                <w:rFonts w:ascii="Calibri" w:eastAsia="Times New Roman" w:hAnsi="Calibri" w:cs="Times New Roman"/>
                <w:color w:val="000000"/>
                <w:lang w:eastAsia="it-IT"/>
              </w:rPr>
            </w:pPr>
            <w:r w:rsidRPr="0087418B">
              <w:rPr>
                <w:rFonts w:ascii="Calibri" w:eastAsia="Times New Roman" w:hAnsi="Calibri" w:cs="Times New Roman"/>
                <w:color w:val="000000"/>
                <w:lang w:eastAsia="it-IT"/>
              </w:rPr>
              <w:t>2</w:t>
            </w:r>
            <w:r>
              <w:rPr>
                <w:rFonts w:ascii="Calibri" w:eastAsia="Times New Roman" w:hAnsi="Calibri" w:cs="Times New Roman"/>
                <w:color w:val="000000"/>
                <w:lang w:eastAsia="it-IT"/>
              </w:rPr>
              <w:t>. macchine e stampi</w:t>
            </w:r>
          </w:p>
        </w:tc>
        <w:tc>
          <w:tcPr>
            <w:tcW w:w="1417" w:type="dxa"/>
            <w:tcBorders>
              <w:top w:val="single" w:sz="4" w:space="0" w:color="auto"/>
              <w:left w:val="nil"/>
              <w:bottom w:val="single" w:sz="4" w:space="0" w:color="auto"/>
              <w:right w:val="nil"/>
            </w:tcBorders>
            <w:shd w:val="clear" w:color="auto" w:fill="auto"/>
            <w:noWrap/>
            <w:vAlign w:val="bottom"/>
            <w:hideMark/>
          </w:tcPr>
          <w:p w:rsidR="002B14DE" w:rsidRPr="0087418B" w:rsidRDefault="002B14DE" w:rsidP="002B14DE">
            <w:pPr>
              <w:spacing w:after="0" w:line="240" w:lineRule="auto"/>
              <w:jc w:val="right"/>
              <w:rPr>
                <w:rFonts w:ascii="Calibri" w:eastAsia="Times New Roman" w:hAnsi="Calibri" w:cs="Times New Roman"/>
                <w:color w:val="000000"/>
                <w:lang w:eastAsia="it-IT"/>
              </w:rPr>
            </w:pPr>
            <w:r w:rsidRPr="0087418B">
              <w:rPr>
                <w:rFonts w:ascii="Calibri" w:eastAsia="Times New Roman" w:hAnsi="Calibri" w:cs="Times New Roman"/>
                <w:color w:val="000000"/>
                <w:lang w:eastAsia="it-IT"/>
              </w:rPr>
              <w:t>3</w:t>
            </w:r>
            <w:r>
              <w:rPr>
                <w:rFonts w:ascii="Calibri" w:eastAsia="Times New Roman" w:hAnsi="Calibri" w:cs="Times New Roman"/>
                <w:color w:val="000000"/>
                <w:lang w:eastAsia="it-IT"/>
              </w:rPr>
              <w:t>. bigiotteria, stampi</w:t>
            </w:r>
          </w:p>
        </w:tc>
        <w:tc>
          <w:tcPr>
            <w:tcW w:w="1276" w:type="dxa"/>
            <w:tcBorders>
              <w:top w:val="single" w:sz="4" w:space="0" w:color="auto"/>
              <w:left w:val="nil"/>
              <w:bottom w:val="single" w:sz="4" w:space="0" w:color="auto"/>
              <w:right w:val="nil"/>
            </w:tcBorders>
            <w:shd w:val="clear" w:color="auto" w:fill="auto"/>
            <w:noWrap/>
            <w:vAlign w:val="bottom"/>
            <w:hideMark/>
          </w:tcPr>
          <w:p w:rsidR="002B14DE" w:rsidRDefault="002B14DE" w:rsidP="002B14DE">
            <w:pPr>
              <w:spacing w:after="0" w:line="240" w:lineRule="auto"/>
              <w:jc w:val="right"/>
              <w:rPr>
                <w:rFonts w:ascii="Calibri" w:eastAsia="Times New Roman" w:hAnsi="Calibri" w:cs="Times New Roman"/>
                <w:color w:val="000000"/>
                <w:lang w:eastAsia="it-IT"/>
              </w:rPr>
            </w:pPr>
            <w:r w:rsidRPr="0087418B">
              <w:rPr>
                <w:rFonts w:ascii="Calibri" w:eastAsia="Times New Roman" w:hAnsi="Calibri" w:cs="Times New Roman"/>
                <w:color w:val="000000"/>
                <w:lang w:eastAsia="it-IT"/>
              </w:rPr>
              <w:t>4</w:t>
            </w:r>
            <w:r>
              <w:rPr>
                <w:rFonts w:ascii="Calibri" w:eastAsia="Times New Roman" w:hAnsi="Calibri" w:cs="Times New Roman"/>
                <w:color w:val="000000"/>
                <w:lang w:eastAsia="it-IT"/>
              </w:rPr>
              <w:t>. oreficeria</w:t>
            </w:r>
          </w:p>
          <w:p w:rsidR="002B14DE" w:rsidRPr="0087418B" w:rsidRDefault="002B14DE" w:rsidP="002B14DE">
            <w:pPr>
              <w:spacing w:after="0" w:line="240" w:lineRule="auto"/>
              <w:jc w:val="right"/>
              <w:rPr>
                <w:rFonts w:ascii="Calibri" w:eastAsia="Times New Roman" w:hAnsi="Calibri" w:cs="Times New Roman"/>
                <w:color w:val="000000"/>
                <w:lang w:eastAsia="it-IT"/>
              </w:rPr>
            </w:pPr>
          </w:p>
        </w:tc>
        <w:tc>
          <w:tcPr>
            <w:tcW w:w="679" w:type="dxa"/>
            <w:tcBorders>
              <w:top w:val="single" w:sz="4" w:space="0" w:color="auto"/>
              <w:left w:val="nil"/>
              <w:bottom w:val="single" w:sz="4" w:space="0" w:color="auto"/>
              <w:right w:val="nil"/>
            </w:tcBorders>
            <w:shd w:val="clear" w:color="auto" w:fill="auto"/>
            <w:noWrap/>
            <w:vAlign w:val="bottom"/>
            <w:hideMark/>
          </w:tcPr>
          <w:p w:rsidR="002B14DE" w:rsidRPr="0087418B" w:rsidRDefault="002B14DE" w:rsidP="002B14DE">
            <w:pPr>
              <w:spacing w:after="0" w:line="240" w:lineRule="auto"/>
              <w:rPr>
                <w:rFonts w:ascii="Calibri" w:eastAsia="Times New Roman" w:hAnsi="Calibri" w:cs="Times New Roman"/>
                <w:color w:val="000000"/>
                <w:lang w:eastAsia="it-IT"/>
              </w:rPr>
            </w:pPr>
            <w:proofErr w:type="gramStart"/>
            <w:r w:rsidRPr="0087418B">
              <w:rPr>
                <w:rFonts w:ascii="Calibri" w:eastAsia="Times New Roman" w:hAnsi="Calibri" w:cs="Times New Roman"/>
                <w:color w:val="000000"/>
                <w:lang w:eastAsia="it-IT"/>
              </w:rPr>
              <w:t>tot</w:t>
            </w:r>
            <w:r>
              <w:rPr>
                <w:rFonts w:ascii="Calibri" w:eastAsia="Times New Roman" w:hAnsi="Calibri" w:cs="Times New Roman"/>
                <w:color w:val="000000"/>
                <w:lang w:eastAsia="it-IT"/>
              </w:rPr>
              <w:t>ale</w:t>
            </w:r>
            <w:proofErr w:type="gramEnd"/>
          </w:p>
        </w:tc>
      </w:tr>
      <w:tr w:rsidR="002B14DE" w:rsidRPr="0087418B" w:rsidTr="002B14DE">
        <w:trPr>
          <w:trHeight w:val="300"/>
        </w:trPr>
        <w:tc>
          <w:tcPr>
            <w:tcW w:w="2268" w:type="dxa"/>
            <w:tcBorders>
              <w:top w:val="single" w:sz="4" w:space="0" w:color="auto"/>
              <w:left w:val="nil"/>
              <w:bottom w:val="nil"/>
              <w:right w:val="nil"/>
            </w:tcBorders>
            <w:shd w:val="clear" w:color="auto" w:fill="auto"/>
            <w:noWrap/>
            <w:vAlign w:val="bottom"/>
            <w:hideMark/>
          </w:tcPr>
          <w:p w:rsidR="002B14DE" w:rsidRPr="0087418B" w:rsidRDefault="002B14DE" w:rsidP="002B14DE">
            <w:pPr>
              <w:spacing w:after="0" w:line="240" w:lineRule="auto"/>
              <w:rPr>
                <w:rFonts w:ascii="Calibri" w:eastAsia="Times New Roman" w:hAnsi="Calibri" w:cs="Times New Roman"/>
                <w:color w:val="000000"/>
                <w:lang w:eastAsia="it-IT"/>
              </w:rPr>
            </w:pPr>
            <w:r w:rsidRPr="0087418B">
              <w:rPr>
                <w:rFonts w:ascii="Calibri" w:eastAsia="Times New Roman" w:hAnsi="Calibri" w:cs="Times New Roman"/>
                <w:color w:val="000000"/>
                <w:lang w:eastAsia="it-IT"/>
              </w:rPr>
              <w:t xml:space="preserve">1 e 2 </w:t>
            </w:r>
            <w:proofErr w:type="spellStart"/>
            <w:r w:rsidRPr="0087418B">
              <w:rPr>
                <w:rFonts w:ascii="Calibri" w:eastAsia="Times New Roman" w:hAnsi="Calibri" w:cs="Times New Roman"/>
                <w:color w:val="000000"/>
                <w:lang w:eastAsia="it-IT"/>
              </w:rPr>
              <w:t>dip</w:t>
            </w:r>
            <w:proofErr w:type="spellEnd"/>
            <w:r w:rsidRPr="0087418B">
              <w:rPr>
                <w:rFonts w:ascii="Calibri" w:eastAsia="Times New Roman" w:hAnsi="Calibri" w:cs="Times New Roman"/>
                <w:color w:val="000000"/>
                <w:lang w:eastAsia="it-IT"/>
              </w:rPr>
              <w:t>.</w:t>
            </w:r>
          </w:p>
        </w:tc>
        <w:tc>
          <w:tcPr>
            <w:tcW w:w="1276" w:type="dxa"/>
            <w:tcBorders>
              <w:top w:val="single" w:sz="4" w:space="0" w:color="auto"/>
              <w:left w:val="nil"/>
              <w:bottom w:val="nil"/>
              <w:right w:val="nil"/>
            </w:tcBorders>
            <w:shd w:val="clear" w:color="auto" w:fill="auto"/>
            <w:noWrap/>
            <w:vAlign w:val="bottom"/>
            <w:hideMark/>
          </w:tcPr>
          <w:p w:rsidR="002B14DE" w:rsidRPr="0087418B" w:rsidRDefault="002B14DE" w:rsidP="002B14DE">
            <w:pPr>
              <w:spacing w:after="0" w:line="240" w:lineRule="auto"/>
              <w:jc w:val="right"/>
              <w:rPr>
                <w:rFonts w:ascii="Calibri" w:eastAsia="Times New Roman" w:hAnsi="Calibri" w:cs="Times New Roman"/>
                <w:color w:val="000000"/>
                <w:lang w:eastAsia="it-IT"/>
              </w:rPr>
            </w:pPr>
            <w:r w:rsidRPr="0087418B">
              <w:rPr>
                <w:rFonts w:ascii="Calibri" w:eastAsia="Times New Roman" w:hAnsi="Calibri" w:cs="Times New Roman"/>
                <w:color w:val="000000"/>
                <w:lang w:eastAsia="it-IT"/>
              </w:rPr>
              <w:t>4%</w:t>
            </w:r>
          </w:p>
        </w:tc>
        <w:tc>
          <w:tcPr>
            <w:tcW w:w="1418" w:type="dxa"/>
            <w:tcBorders>
              <w:top w:val="single" w:sz="4" w:space="0" w:color="auto"/>
              <w:left w:val="nil"/>
              <w:bottom w:val="nil"/>
              <w:right w:val="nil"/>
            </w:tcBorders>
            <w:shd w:val="clear" w:color="auto" w:fill="auto"/>
            <w:noWrap/>
            <w:vAlign w:val="bottom"/>
            <w:hideMark/>
          </w:tcPr>
          <w:p w:rsidR="002B14DE" w:rsidRPr="0087418B" w:rsidRDefault="002B14DE" w:rsidP="002B14DE">
            <w:pPr>
              <w:spacing w:after="0" w:line="240" w:lineRule="auto"/>
              <w:jc w:val="right"/>
              <w:rPr>
                <w:rFonts w:ascii="Calibri" w:eastAsia="Times New Roman" w:hAnsi="Calibri" w:cs="Times New Roman"/>
                <w:color w:val="000000"/>
                <w:lang w:eastAsia="it-IT"/>
              </w:rPr>
            </w:pPr>
            <w:r w:rsidRPr="0087418B">
              <w:rPr>
                <w:rFonts w:ascii="Calibri" w:eastAsia="Times New Roman" w:hAnsi="Calibri" w:cs="Times New Roman"/>
                <w:color w:val="000000"/>
                <w:lang w:eastAsia="it-IT"/>
              </w:rPr>
              <w:t>11%</w:t>
            </w:r>
          </w:p>
        </w:tc>
        <w:tc>
          <w:tcPr>
            <w:tcW w:w="1417" w:type="dxa"/>
            <w:tcBorders>
              <w:top w:val="single" w:sz="4" w:space="0" w:color="auto"/>
              <w:left w:val="nil"/>
              <w:bottom w:val="nil"/>
              <w:right w:val="nil"/>
            </w:tcBorders>
            <w:shd w:val="clear" w:color="auto" w:fill="auto"/>
            <w:noWrap/>
            <w:vAlign w:val="bottom"/>
            <w:hideMark/>
          </w:tcPr>
          <w:p w:rsidR="002B14DE" w:rsidRPr="0087418B" w:rsidRDefault="002B14DE" w:rsidP="002B14DE">
            <w:pPr>
              <w:spacing w:after="0" w:line="240" w:lineRule="auto"/>
              <w:jc w:val="right"/>
              <w:rPr>
                <w:rFonts w:ascii="Calibri" w:eastAsia="Times New Roman" w:hAnsi="Calibri" w:cs="Times New Roman"/>
                <w:color w:val="000000"/>
                <w:lang w:eastAsia="it-IT"/>
              </w:rPr>
            </w:pPr>
            <w:r w:rsidRPr="0087418B">
              <w:rPr>
                <w:rFonts w:ascii="Calibri" w:eastAsia="Times New Roman" w:hAnsi="Calibri" w:cs="Times New Roman"/>
                <w:color w:val="000000"/>
                <w:lang w:eastAsia="it-IT"/>
              </w:rPr>
              <w:t>9%</w:t>
            </w:r>
          </w:p>
        </w:tc>
        <w:tc>
          <w:tcPr>
            <w:tcW w:w="1276" w:type="dxa"/>
            <w:tcBorders>
              <w:top w:val="single" w:sz="4" w:space="0" w:color="auto"/>
              <w:left w:val="nil"/>
              <w:bottom w:val="nil"/>
              <w:right w:val="nil"/>
            </w:tcBorders>
            <w:shd w:val="clear" w:color="auto" w:fill="auto"/>
            <w:noWrap/>
            <w:vAlign w:val="bottom"/>
            <w:hideMark/>
          </w:tcPr>
          <w:p w:rsidR="002B14DE" w:rsidRPr="0087418B" w:rsidRDefault="002B14DE" w:rsidP="002B14DE">
            <w:pPr>
              <w:spacing w:after="0" w:line="240" w:lineRule="auto"/>
              <w:jc w:val="right"/>
              <w:rPr>
                <w:rFonts w:ascii="Calibri" w:eastAsia="Times New Roman" w:hAnsi="Calibri" w:cs="Times New Roman"/>
                <w:color w:val="000000"/>
                <w:lang w:eastAsia="it-IT"/>
              </w:rPr>
            </w:pPr>
            <w:r w:rsidRPr="0087418B">
              <w:rPr>
                <w:rFonts w:ascii="Calibri" w:eastAsia="Times New Roman" w:hAnsi="Calibri" w:cs="Times New Roman"/>
                <w:color w:val="000000"/>
                <w:lang w:eastAsia="it-IT"/>
              </w:rPr>
              <w:t>9%</w:t>
            </w:r>
          </w:p>
        </w:tc>
        <w:tc>
          <w:tcPr>
            <w:tcW w:w="679" w:type="dxa"/>
            <w:tcBorders>
              <w:top w:val="single" w:sz="4" w:space="0" w:color="auto"/>
              <w:left w:val="nil"/>
              <w:bottom w:val="nil"/>
              <w:right w:val="nil"/>
            </w:tcBorders>
            <w:shd w:val="clear" w:color="auto" w:fill="auto"/>
            <w:noWrap/>
            <w:vAlign w:val="bottom"/>
            <w:hideMark/>
          </w:tcPr>
          <w:p w:rsidR="002B14DE" w:rsidRPr="0087418B" w:rsidRDefault="002B14DE" w:rsidP="002B14DE">
            <w:pPr>
              <w:spacing w:after="0" w:line="240" w:lineRule="auto"/>
              <w:jc w:val="right"/>
              <w:rPr>
                <w:rFonts w:ascii="Calibri" w:eastAsia="Times New Roman" w:hAnsi="Calibri" w:cs="Times New Roman"/>
                <w:color w:val="000000"/>
                <w:lang w:eastAsia="it-IT"/>
              </w:rPr>
            </w:pPr>
            <w:r w:rsidRPr="0087418B">
              <w:rPr>
                <w:rFonts w:ascii="Calibri" w:eastAsia="Times New Roman" w:hAnsi="Calibri" w:cs="Times New Roman"/>
                <w:color w:val="000000"/>
                <w:lang w:eastAsia="it-IT"/>
              </w:rPr>
              <w:t>9%</w:t>
            </w:r>
          </w:p>
        </w:tc>
      </w:tr>
      <w:tr w:rsidR="002B14DE" w:rsidRPr="0087418B" w:rsidTr="002B14DE">
        <w:trPr>
          <w:trHeight w:val="300"/>
        </w:trPr>
        <w:tc>
          <w:tcPr>
            <w:tcW w:w="2268" w:type="dxa"/>
            <w:tcBorders>
              <w:top w:val="nil"/>
              <w:left w:val="nil"/>
              <w:bottom w:val="nil"/>
              <w:right w:val="nil"/>
            </w:tcBorders>
            <w:shd w:val="clear" w:color="auto" w:fill="auto"/>
            <w:noWrap/>
            <w:vAlign w:val="bottom"/>
            <w:hideMark/>
          </w:tcPr>
          <w:p w:rsidR="002B14DE" w:rsidRPr="0087418B" w:rsidRDefault="002B14DE" w:rsidP="002B14DE">
            <w:pPr>
              <w:spacing w:after="0" w:line="240" w:lineRule="auto"/>
              <w:rPr>
                <w:rFonts w:ascii="Calibri" w:eastAsia="Times New Roman" w:hAnsi="Calibri" w:cs="Times New Roman"/>
                <w:color w:val="000000"/>
                <w:lang w:eastAsia="it-IT"/>
              </w:rPr>
            </w:pPr>
            <w:proofErr w:type="gramStart"/>
            <w:r w:rsidRPr="0087418B">
              <w:rPr>
                <w:rFonts w:ascii="Calibri" w:eastAsia="Times New Roman" w:hAnsi="Calibri" w:cs="Times New Roman"/>
                <w:color w:val="000000"/>
                <w:lang w:eastAsia="it-IT"/>
              </w:rPr>
              <w:t>da</w:t>
            </w:r>
            <w:proofErr w:type="gramEnd"/>
            <w:r w:rsidRPr="0087418B">
              <w:rPr>
                <w:rFonts w:ascii="Calibri" w:eastAsia="Times New Roman" w:hAnsi="Calibri" w:cs="Times New Roman"/>
                <w:color w:val="000000"/>
                <w:lang w:eastAsia="it-IT"/>
              </w:rPr>
              <w:t xml:space="preserve"> 3 a 5 </w:t>
            </w:r>
            <w:proofErr w:type="spellStart"/>
            <w:r w:rsidRPr="0087418B">
              <w:rPr>
                <w:rFonts w:ascii="Calibri" w:eastAsia="Times New Roman" w:hAnsi="Calibri" w:cs="Times New Roman"/>
                <w:color w:val="000000"/>
                <w:lang w:eastAsia="it-IT"/>
              </w:rPr>
              <w:t>dip</w:t>
            </w:r>
            <w:proofErr w:type="spellEnd"/>
            <w:r w:rsidRPr="0087418B">
              <w:rPr>
                <w:rFonts w:ascii="Calibri" w:eastAsia="Times New Roman" w:hAnsi="Calibri" w:cs="Times New Roman"/>
                <w:color w:val="000000"/>
                <w:lang w:eastAsia="it-IT"/>
              </w:rPr>
              <w:t>.</w:t>
            </w:r>
          </w:p>
        </w:tc>
        <w:tc>
          <w:tcPr>
            <w:tcW w:w="1276" w:type="dxa"/>
            <w:tcBorders>
              <w:top w:val="nil"/>
              <w:left w:val="nil"/>
              <w:bottom w:val="nil"/>
              <w:right w:val="nil"/>
            </w:tcBorders>
            <w:shd w:val="clear" w:color="auto" w:fill="auto"/>
            <w:noWrap/>
            <w:vAlign w:val="bottom"/>
            <w:hideMark/>
          </w:tcPr>
          <w:p w:rsidR="002B14DE" w:rsidRPr="0087418B" w:rsidRDefault="002B14DE" w:rsidP="002B14DE">
            <w:pPr>
              <w:spacing w:after="0" w:line="240" w:lineRule="auto"/>
              <w:jc w:val="right"/>
              <w:rPr>
                <w:rFonts w:ascii="Calibri" w:eastAsia="Times New Roman" w:hAnsi="Calibri" w:cs="Times New Roman"/>
                <w:color w:val="000000"/>
                <w:lang w:eastAsia="it-IT"/>
              </w:rPr>
            </w:pPr>
            <w:r w:rsidRPr="0087418B">
              <w:rPr>
                <w:rFonts w:ascii="Calibri" w:eastAsia="Times New Roman" w:hAnsi="Calibri" w:cs="Times New Roman"/>
                <w:color w:val="000000"/>
                <w:lang w:eastAsia="it-IT"/>
              </w:rPr>
              <w:t>20%</w:t>
            </w:r>
          </w:p>
        </w:tc>
        <w:tc>
          <w:tcPr>
            <w:tcW w:w="1418" w:type="dxa"/>
            <w:tcBorders>
              <w:top w:val="nil"/>
              <w:left w:val="nil"/>
              <w:bottom w:val="nil"/>
              <w:right w:val="nil"/>
            </w:tcBorders>
            <w:shd w:val="clear" w:color="auto" w:fill="auto"/>
            <w:noWrap/>
            <w:vAlign w:val="bottom"/>
            <w:hideMark/>
          </w:tcPr>
          <w:p w:rsidR="002B14DE" w:rsidRPr="0087418B" w:rsidRDefault="002B14DE" w:rsidP="002B14DE">
            <w:pPr>
              <w:spacing w:after="0" w:line="240" w:lineRule="auto"/>
              <w:jc w:val="right"/>
              <w:rPr>
                <w:rFonts w:ascii="Calibri" w:eastAsia="Times New Roman" w:hAnsi="Calibri" w:cs="Times New Roman"/>
                <w:color w:val="000000"/>
                <w:lang w:eastAsia="it-IT"/>
              </w:rPr>
            </w:pPr>
            <w:r w:rsidRPr="0087418B">
              <w:rPr>
                <w:rFonts w:ascii="Calibri" w:eastAsia="Times New Roman" w:hAnsi="Calibri" w:cs="Times New Roman"/>
                <w:color w:val="000000"/>
                <w:lang w:eastAsia="it-IT"/>
              </w:rPr>
              <w:t>0%</w:t>
            </w:r>
          </w:p>
        </w:tc>
        <w:tc>
          <w:tcPr>
            <w:tcW w:w="1417" w:type="dxa"/>
            <w:tcBorders>
              <w:top w:val="nil"/>
              <w:left w:val="nil"/>
              <w:bottom w:val="nil"/>
              <w:right w:val="nil"/>
            </w:tcBorders>
            <w:shd w:val="clear" w:color="auto" w:fill="auto"/>
            <w:noWrap/>
            <w:vAlign w:val="bottom"/>
            <w:hideMark/>
          </w:tcPr>
          <w:p w:rsidR="002B14DE" w:rsidRPr="0087418B" w:rsidRDefault="002B14DE" w:rsidP="002B14DE">
            <w:pPr>
              <w:spacing w:after="0" w:line="240" w:lineRule="auto"/>
              <w:jc w:val="right"/>
              <w:rPr>
                <w:rFonts w:ascii="Calibri" w:eastAsia="Times New Roman" w:hAnsi="Calibri" w:cs="Times New Roman"/>
                <w:color w:val="000000"/>
                <w:lang w:eastAsia="it-IT"/>
              </w:rPr>
            </w:pPr>
            <w:r w:rsidRPr="0087418B">
              <w:rPr>
                <w:rFonts w:ascii="Calibri" w:eastAsia="Times New Roman" w:hAnsi="Calibri" w:cs="Times New Roman"/>
                <w:color w:val="000000"/>
                <w:lang w:eastAsia="it-IT"/>
              </w:rPr>
              <w:t>12%</w:t>
            </w:r>
          </w:p>
        </w:tc>
        <w:tc>
          <w:tcPr>
            <w:tcW w:w="1276" w:type="dxa"/>
            <w:tcBorders>
              <w:top w:val="nil"/>
              <w:left w:val="nil"/>
              <w:bottom w:val="nil"/>
              <w:right w:val="nil"/>
            </w:tcBorders>
            <w:shd w:val="clear" w:color="auto" w:fill="auto"/>
            <w:noWrap/>
            <w:vAlign w:val="bottom"/>
            <w:hideMark/>
          </w:tcPr>
          <w:p w:rsidR="002B14DE" w:rsidRPr="0087418B" w:rsidRDefault="002B14DE" w:rsidP="002B14DE">
            <w:pPr>
              <w:spacing w:after="0" w:line="240" w:lineRule="auto"/>
              <w:jc w:val="right"/>
              <w:rPr>
                <w:rFonts w:ascii="Calibri" w:eastAsia="Times New Roman" w:hAnsi="Calibri" w:cs="Times New Roman"/>
                <w:color w:val="000000"/>
                <w:lang w:eastAsia="it-IT"/>
              </w:rPr>
            </w:pPr>
            <w:r w:rsidRPr="0087418B">
              <w:rPr>
                <w:rFonts w:ascii="Calibri" w:eastAsia="Times New Roman" w:hAnsi="Calibri" w:cs="Times New Roman"/>
                <w:color w:val="000000"/>
                <w:lang w:eastAsia="it-IT"/>
              </w:rPr>
              <w:t>20%</w:t>
            </w:r>
          </w:p>
        </w:tc>
        <w:tc>
          <w:tcPr>
            <w:tcW w:w="679" w:type="dxa"/>
            <w:tcBorders>
              <w:top w:val="nil"/>
              <w:left w:val="nil"/>
              <w:bottom w:val="nil"/>
              <w:right w:val="nil"/>
            </w:tcBorders>
            <w:shd w:val="clear" w:color="auto" w:fill="auto"/>
            <w:noWrap/>
            <w:vAlign w:val="bottom"/>
            <w:hideMark/>
          </w:tcPr>
          <w:p w:rsidR="002B14DE" w:rsidRPr="0087418B" w:rsidRDefault="002B14DE" w:rsidP="002B14DE">
            <w:pPr>
              <w:spacing w:after="0" w:line="240" w:lineRule="auto"/>
              <w:jc w:val="right"/>
              <w:rPr>
                <w:rFonts w:ascii="Calibri" w:eastAsia="Times New Roman" w:hAnsi="Calibri" w:cs="Times New Roman"/>
                <w:color w:val="000000"/>
                <w:lang w:eastAsia="it-IT"/>
              </w:rPr>
            </w:pPr>
            <w:r w:rsidRPr="0087418B">
              <w:rPr>
                <w:rFonts w:ascii="Calibri" w:eastAsia="Times New Roman" w:hAnsi="Calibri" w:cs="Times New Roman"/>
                <w:color w:val="000000"/>
                <w:lang w:eastAsia="it-IT"/>
              </w:rPr>
              <w:t>19%</w:t>
            </w:r>
          </w:p>
        </w:tc>
      </w:tr>
      <w:tr w:rsidR="002B14DE" w:rsidRPr="0087418B" w:rsidTr="002B14DE">
        <w:trPr>
          <w:trHeight w:val="300"/>
        </w:trPr>
        <w:tc>
          <w:tcPr>
            <w:tcW w:w="2268" w:type="dxa"/>
            <w:tcBorders>
              <w:top w:val="nil"/>
              <w:left w:val="nil"/>
              <w:bottom w:val="nil"/>
              <w:right w:val="nil"/>
            </w:tcBorders>
            <w:shd w:val="clear" w:color="auto" w:fill="auto"/>
            <w:noWrap/>
            <w:vAlign w:val="bottom"/>
            <w:hideMark/>
          </w:tcPr>
          <w:p w:rsidR="002B14DE" w:rsidRPr="0087418B" w:rsidRDefault="002B14DE" w:rsidP="002B14DE">
            <w:pPr>
              <w:spacing w:after="0" w:line="240" w:lineRule="auto"/>
              <w:rPr>
                <w:rFonts w:ascii="Calibri" w:eastAsia="Times New Roman" w:hAnsi="Calibri" w:cs="Times New Roman"/>
                <w:color w:val="000000"/>
                <w:lang w:eastAsia="it-IT"/>
              </w:rPr>
            </w:pPr>
            <w:proofErr w:type="gramStart"/>
            <w:r w:rsidRPr="0087418B">
              <w:rPr>
                <w:rFonts w:ascii="Calibri" w:eastAsia="Times New Roman" w:hAnsi="Calibri" w:cs="Times New Roman"/>
                <w:color w:val="000000"/>
                <w:lang w:eastAsia="it-IT"/>
              </w:rPr>
              <w:t>da</w:t>
            </w:r>
            <w:proofErr w:type="gramEnd"/>
            <w:r w:rsidRPr="0087418B">
              <w:rPr>
                <w:rFonts w:ascii="Calibri" w:eastAsia="Times New Roman" w:hAnsi="Calibri" w:cs="Times New Roman"/>
                <w:color w:val="000000"/>
                <w:lang w:eastAsia="it-IT"/>
              </w:rPr>
              <w:t xml:space="preserve"> 6 a 10 </w:t>
            </w:r>
            <w:proofErr w:type="spellStart"/>
            <w:r w:rsidRPr="0087418B">
              <w:rPr>
                <w:rFonts w:ascii="Calibri" w:eastAsia="Times New Roman" w:hAnsi="Calibri" w:cs="Times New Roman"/>
                <w:color w:val="000000"/>
                <w:lang w:eastAsia="it-IT"/>
              </w:rPr>
              <w:t>dip</w:t>
            </w:r>
            <w:proofErr w:type="spellEnd"/>
            <w:r w:rsidRPr="0087418B">
              <w:rPr>
                <w:rFonts w:ascii="Calibri" w:eastAsia="Times New Roman" w:hAnsi="Calibri" w:cs="Times New Roman"/>
                <w:color w:val="000000"/>
                <w:lang w:eastAsia="it-IT"/>
              </w:rPr>
              <w:t>.</w:t>
            </w:r>
          </w:p>
        </w:tc>
        <w:tc>
          <w:tcPr>
            <w:tcW w:w="1276" w:type="dxa"/>
            <w:tcBorders>
              <w:top w:val="nil"/>
              <w:left w:val="nil"/>
              <w:bottom w:val="nil"/>
              <w:right w:val="nil"/>
            </w:tcBorders>
            <w:shd w:val="clear" w:color="auto" w:fill="auto"/>
            <w:noWrap/>
            <w:vAlign w:val="bottom"/>
            <w:hideMark/>
          </w:tcPr>
          <w:p w:rsidR="002B14DE" w:rsidRPr="0087418B" w:rsidRDefault="002B14DE" w:rsidP="002B14DE">
            <w:pPr>
              <w:spacing w:after="0" w:line="240" w:lineRule="auto"/>
              <w:jc w:val="right"/>
              <w:rPr>
                <w:rFonts w:ascii="Calibri" w:eastAsia="Times New Roman" w:hAnsi="Calibri" w:cs="Times New Roman"/>
                <w:color w:val="000000"/>
                <w:lang w:eastAsia="it-IT"/>
              </w:rPr>
            </w:pPr>
            <w:r w:rsidRPr="0087418B">
              <w:rPr>
                <w:rFonts w:ascii="Calibri" w:eastAsia="Times New Roman" w:hAnsi="Calibri" w:cs="Times New Roman"/>
                <w:color w:val="000000"/>
                <w:lang w:eastAsia="it-IT"/>
              </w:rPr>
              <w:t>21%</w:t>
            </w:r>
          </w:p>
        </w:tc>
        <w:tc>
          <w:tcPr>
            <w:tcW w:w="1418" w:type="dxa"/>
            <w:tcBorders>
              <w:top w:val="nil"/>
              <w:left w:val="nil"/>
              <w:bottom w:val="nil"/>
              <w:right w:val="nil"/>
            </w:tcBorders>
            <w:shd w:val="clear" w:color="auto" w:fill="auto"/>
            <w:noWrap/>
            <w:vAlign w:val="bottom"/>
            <w:hideMark/>
          </w:tcPr>
          <w:p w:rsidR="002B14DE" w:rsidRPr="0087418B" w:rsidRDefault="002B14DE" w:rsidP="002B14DE">
            <w:pPr>
              <w:spacing w:after="0" w:line="240" w:lineRule="auto"/>
              <w:jc w:val="right"/>
              <w:rPr>
                <w:rFonts w:ascii="Calibri" w:eastAsia="Times New Roman" w:hAnsi="Calibri" w:cs="Times New Roman"/>
                <w:color w:val="000000"/>
                <w:lang w:eastAsia="it-IT"/>
              </w:rPr>
            </w:pPr>
            <w:r w:rsidRPr="0087418B">
              <w:rPr>
                <w:rFonts w:ascii="Calibri" w:eastAsia="Times New Roman" w:hAnsi="Calibri" w:cs="Times New Roman"/>
                <w:color w:val="000000"/>
                <w:lang w:eastAsia="it-IT"/>
              </w:rPr>
              <w:t>37%</w:t>
            </w:r>
          </w:p>
        </w:tc>
        <w:tc>
          <w:tcPr>
            <w:tcW w:w="1417" w:type="dxa"/>
            <w:tcBorders>
              <w:top w:val="nil"/>
              <w:left w:val="nil"/>
              <w:bottom w:val="nil"/>
              <w:right w:val="nil"/>
            </w:tcBorders>
            <w:shd w:val="clear" w:color="auto" w:fill="auto"/>
            <w:noWrap/>
            <w:vAlign w:val="bottom"/>
            <w:hideMark/>
          </w:tcPr>
          <w:p w:rsidR="002B14DE" w:rsidRPr="0087418B" w:rsidRDefault="002B14DE" w:rsidP="002B14DE">
            <w:pPr>
              <w:spacing w:after="0" w:line="240" w:lineRule="auto"/>
              <w:jc w:val="right"/>
              <w:rPr>
                <w:rFonts w:ascii="Calibri" w:eastAsia="Times New Roman" w:hAnsi="Calibri" w:cs="Times New Roman"/>
                <w:color w:val="000000"/>
                <w:lang w:eastAsia="it-IT"/>
              </w:rPr>
            </w:pPr>
            <w:r w:rsidRPr="0087418B">
              <w:rPr>
                <w:rFonts w:ascii="Calibri" w:eastAsia="Times New Roman" w:hAnsi="Calibri" w:cs="Times New Roman"/>
                <w:color w:val="000000"/>
                <w:lang w:eastAsia="it-IT"/>
              </w:rPr>
              <w:t>35%</w:t>
            </w:r>
          </w:p>
        </w:tc>
        <w:tc>
          <w:tcPr>
            <w:tcW w:w="1276" w:type="dxa"/>
            <w:tcBorders>
              <w:top w:val="nil"/>
              <w:left w:val="nil"/>
              <w:bottom w:val="nil"/>
              <w:right w:val="nil"/>
            </w:tcBorders>
            <w:shd w:val="clear" w:color="auto" w:fill="auto"/>
            <w:noWrap/>
            <w:vAlign w:val="bottom"/>
            <w:hideMark/>
          </w:tcPr>
          <w:p w:rsidR="002B14DE" w:rsidRPr="0087418B" w:rsidRDefault="002B14DE" w:rsidP="002B14DE">
            <w:pPr>
              <w:spacing w:after="0" w:line="240" w:lineRule="auto"/>
              <w:jc w:val="right"/>
              <w:rPr>
                <w:rFonts w:ascii="Calibri" w:eastAsia="Times New Roman" w:hAnsi="Calibri" w:cs="Times New Roman"/>
                <w:color w:val="000000"/>
                <w:lang w:eastAsia="it-IT"/>
              </w:rPr>
            </w:pPr>
            <w:r w:rsidRPr="0087418B">
              <w:rPr>
                <w:rFonts w:ascii="Calibri" w:eastAsia="Times New Roman" w:hAnsi="Calibri" w:cs="Times New Roman"/>
                <w:color w:val="000000"/>
                <w:lang w:eastAsia="it-IT"/>
              </w:rPr>
              <w:t>32%</w:t>
            </w:r>
          </w:p>
        </w:tc>
        <w:tc>
          <w:tcPr>
            <w:tcW w:w="679" w:type="dxa"/>
            <w:tcBorders>
              <w:top w:val="nil"/>
              <w:left w:val="nil"/>
              <w:bottom w:val="nil"/>
              <w:right w:val="nil"/>
            </w:tcBorders>
            <w:shd w:val="clear" w:color="auto" w:fill="auto"/>
            <w:noWrap/>
            <w:vAlign w:val="bottom"/>
            <w:hideMark/>
          </w:tcPr>
          <w:p w:rsidR="002B14DE" w:rsidRPr="0087418B" w:rsidRDefault="002B14DE" w:rsidP="002B14DE">
            <w:pPr>
              <w:spacing w:after="0" w:line="240" w:lineRule="auto"/>
              <w:jc w:val="right"/>
              <w:rPr>
                <w:rFonts w:ascii="Calibri" w:eastAsia="Times New Roman" w:hAnsi="Calibri" w:cs="Times New Roman"/>
                <w:color w:val="000000"/>
                <w:lang w:eastAsia="it-IT"/>
              </w:rPr>
            </w:pPr>
            <w:r w:rsidRPr="0087418B">
              <w:rPr>
                <w:rFonts w:ascii="Calibri" w:eastAsia="Times New Roman" w:hAnsi="Calibri" w:cs="Times New Roman"/>
                <w:color w:val="000000"/>
                <w:lang w:eastAsia="it-IT"/>
              </w:rPr>
              <w:t>31%</w:t>
            </w:r>
          </w:p>
        </w:tc>
      </w:tr>
      <w:tr w:rsidR="002B14DE" w:rsidRPr="0087418B" w:rsidTr="002B14DE">
        <w:trPr>
          <w:trHeight w:val="300"/>
        </w:trPr>
        <w:tc>
          <w:tcPr>
            <w:tcW w:w="2268" w:type="dxa"/>
            <w:tcBorders>
              <w:top w:val="nil"/>
              <w:left w:val="nil"/>
              <w:bottom w:val="nil"/>
              <w:right w:val="nil"/>
            </w:tcBorders>
            <w:shd w:val="clear" w:color="auto" w:fill="auto"/>
            <w:noWrap/>
            <w:vAlign w:val="bottom"/>
            <w:hideMark/>
          </w:tcPr>
          <w:p w:rsidR="002B14DE" w:rsidRPr="0087418B" w:rsidRDefault="002B14DE" w:rsidP="002B14DE">
            <w:pPr>
              <w:spacing w:after="0" w:line="240" w:lineRule="auto"/>
              <w:rPr>
                <w:rFonts w:ascii="Calibri" w:eastAsia="Times New Roman" w:hAnsi="Calibri" w:cs="Times New Roman"/>
                <w:color w:val="000000"/>
                <w:lang w:eastAsia="it-IT"/>
              </w:rPr>
            </w:pPr>
            <w:proofErr w:type="gramStart"/>
            <w:r w:rsidRPr="0087418B">
              <w:rPr>
                <w:rFonts w:ascii="Calibri" w:eastAsia="Times New Roman" w:hAnsi="Calibri" w:cs="Times New Roman"/>
                <w:color w:val="000000"/>
                <w:lang w:eastAsia="it-IT"/>
              </w:rPr>
              <w:t>da</w:t>
            </w:r>
            <w:proofErr w:type="gramEnd"/>
            <w:r w:rsidRPr="0087418B">
              <w:rPr>
                <w:rFonts w:ascii="Calibri" w:eastAsia="Times New Roman" w:hAnsi="Calibri" w:cs="Times New Roman"/>
                <w:color w:val="000000"/>
                <w:lang w:eastAsia="it-IT"/>
              </w:rPr>
              <w:t xml:space="preserve"> 11 a 15 </w:t>
            </w:r>
            <w:proofErr w:type="spellStart"/>
            <w:r w:rsidRPr="0087418B">
              <w:rPr>
                <w:rFonts w:ascii="Calibri" w:eastAsia="Times New Roman" w:hAnsi="Calibri" w:cs="Times New Roman"/>
                <w:color w:val="000000"/>
                <w:lang w:eastAsia="it-IT"/>
              </w:rPr>
              <w:t>dip</w:t>
            </w:r>
            <w:proofErr w:type="spellEnd"/>
            <w:r w:rsidRPr="0087418B">
              <w:rPr>
                <w:rFonts w:ascii="Calibri" w:eastAsia="Times New Roman" w:hAnsi="Calibri" w:cs="Times New Roman"/>
                <w:color w:val="000000"/>
                <w:lang w:eastAsia="it-IT"/>
              </w:rPr>
              <w:t xml:space="preserve">. </w:t>
            </w:r>
          </w:p>
        </w:tc>
        <w:tc>
          <w:tcPr>
            <w:tcW w:w="1276" w:type="dxa"/>
            <w:tcBorders>
              <w:top w:val="nil"/>
              <w:left w:val="nil"/>
              <w:bottom w:val="nil"/>
              <w:right w:val="nil"/>
            </w:tcBorders>
            <w:shd w:val="clear" w:color="auto" w:fill="auto"/>
            <w:noWrap/>
            <w:vAlign w:val="bottom"/>
            <w:hideMark/>
          </w:tcPr>
          <w:p w:rsidR="002B14DE" w:rsidRPr="0087418B" w:rsidRDefault="002B14DE" w:rsidP="002B14DE">
            <w:pPr>
              <w:spacing w:after="0" w:line="240" w:lineRule="auto"/>
              <w:jc w:val="right"/>
              <w:rPr>
                <w:rFonts w:ascii="Calibri" w:eastAsia="Times New Roman" w:hAnsi="Calibri" w:cs="Times New Roman"/>
                <w:color w:val="000000"/>
                <w:lang w:eastAsia="it-IT"/>
              </w:rPr>
            </w:pPr>
            <w:r w:rsidRPr="0087418B">
              <w:rPr>
                <w:rFonts w:ascii="Calibri" w:eastAsia="Times New Roman" w:hAnsi="Calibri" w:cs="Times New Roman"/>
                <w:color w:val="000000"/>
                <w:lang w:eastAsia="it-IT"/>
              </w:rPr>
              <w:t>45%</w:t>
            </w:r>
          </w:p>
        </w:tc>
        <w:tc>
          <w:tcPr>
            <w:tcW w:w="1418" w:type="dxa"/>
            <w:tcBorders>
              <w:top w:val="nil"/>
              <w:left w:val="nil"/>
              <w:bottom w:val="nil"/>
              <w:right w:val="nil"/>
            </w:tcBorders>
            <w:shd w:val="clear" w:color="auto" w:fill="auto"/>
            <w:noWrap/>
            <w:vAlign w:val="bottom"/>
            <w:hideMark/>
          </w:tcPr>
          <w:p w:rsidR="002B14DE" w:rsidRPr="0087418B" w:rsidRDefault="002B14DE" w:rsidP="002B14DE">
            <w:pPr>
              <w:spacing w:after="0" w:line="240" w:lineRule="auto"/>
              <w:jc w:val="right"/>
              <w:rPr>
                <w:rFonts w:ascii="Calibri" w:eastAsia="Times New Roman" w:hAnsi="Calibri" w:cs="Times New Roman"/>
                <w:color w:val="000000"/>
                <w:lang w:eastAsia="it-IT"/>
              </w:rPr>
            </w:pPr>
            <w:r w:rsidRPr="0087418B">
              <w:rPr>
                <w:rFonts w:ascii="Calibri" w:eastAsia="Times New Roman" w:hAnsi="Calibri" w:cs="Times New Roman"/>
                <w:color w:val="000000"/>
                <w:lang w:eastAsia="it-IT"/>
              </w:rPr>
              <w:t>52%</w:t>
            </w:r>
          </w:p>
        </w:tc>
        <w:tc>
          <w:tcPr>
            <w:tcW w:w="1417" w:type="dxa"/>
            <w:tcBorders>
              <w:top w:val="nil"/>
              <w:left w:val="nil"/>
              <w:bottom w:val="nil"/>
              <w:right w:val="nil"/>
            </w:tcBorders>
            <w:shd w:val="clear" w:color="auto" w:fill="auto"/>
            <w:noWrap/>
            <w:vAlign w:val="bottom"/>
            <w:hideMark/>
          </w:tcPr>
          <w:p w:rsidR="002B14DE" w:rsidRPr="0087418B" w:rsidRDefault="002B14DE" w:rsidP="002B14DE">
            <w:pPr>
              <w:spacing w:after="0" w:line="240" w:lineRule="auto"/>
              <w:jc w:val="right"/>
              <w:rPr>
                <w:rFonts w:ascii="Calibri" w:eastAsia="Times New Roman" w:hAnsi="Calibri" w:cs="Times New Roman"/>
                <w:color w:val="000000"/>
                <w:lang w:eastAsia="it-IT"/>
              </w:rPr>
            </w:pPr>
            <w:r w:rsidRPr="0087418B">
              <w:rPr>
                <w:rFonts w:ascii="Calibri" w:eastAsia="Times New Roman" w:hAnsi="Calibri" w:cs="Times New Roman"/>
                <w:color w:val="000000"/>
                <w:lang w:eastAsia="it-IT"/>
              </w:rPr>
              <w:t>27%</w:t>
            </w:r>
          </w:p>
        </w:tc>
        <w:tc>
          <w:tcPr>
            <w:tcW w:w="1276" w:type="dxa"/>
            <w:tcBorders>
              <w:top w:val="nil"/>
              <w:left w:val="nil"/>
              <w:bottom w:val="nil"/>
              <w:right w:val="nil"/>
            </w:tcBorders>
            <w:shd w:val="clear" w:color="auto" w:fill="auto"/>
            <w:noWrap/>
            <w:vAlign w:val="bottom"/>
            <w:hideMark/>
          </w:tcPr>
          <w:p w:rsidR="002B14DE" w:rsidRPr="0087418B" w:rsidRDefault="002B14DE" w:rsidP="002B14DE">
            <w:pPr>
              <w:spacing w:after="0" w:line="240" w:lineRule="auto"/>
              <w:jc w:val="right"/>
              <w:rPr>
                <w:rFonts w:ascii="Calibri" w:eastAsia="Times New Roman" w:hAnsi="Calibri" w:cs="Times New Roman"/>
                <w:color w:val="000000"/>
                <w:lang w:eastAsia="it-IT"/>
              </w:rPr>
            </w:pPr>
            <w:r w:rsidRPr="0087418B">
              <w:rPr>
                <w:rFonts w:ascii="Calibri" w:eastAsia="Times New Roman" w:hAnsi="Calibri" w:cs="Times New Roman"/>
                <w:color w:val="000000"/>
                <w:lang w:eastAsia="it-IT"/>
              </w:rPr>
              <w:t>19%</w:t>
            </w:r>
          </w:p>
        </w:tc>
        <w:tc>
          <w:tcPr>
            <w:tcW w:w="679" w:type="dxa"/>
            <w:tcBorders>
              <w:top w:val="nil"/>
              <w:left w:val="nil"/>
              <w:bottom w:val="nil"/>
              <w:right w:val="nil"/>
            </w:tcBorders>
            <w:shd w:val="clear" w:color="auto" w:fill="auto"/>
            <w:noWrap/>
            <w:vAlign w:val="bottom"/>
            <w:hideMark/>
          </w:tcPr>
          <w:p w:rsidR="002B14DE" w:rsidRPr="0087418B" w:rsidRDefault="002B14DE" w:rsidP="002B14DE">
            <w:pPr>
              <w:spacing w:after="0" w:line="240" w:lineRule="auto"/>
              <w:jc w:val="right"/>
              <w:rPr>
                <w:rFonts w:ascii="Calibri" w:eastAsia="Times New Roman" w:hAnsi="Calibri" w:cs="Times New Roman"/>
                <w:color w:val="000000"/>
                <w:lang w:eastAsia="it-IT"/>
              </w:rPr>
            </w:pPr>
            <w:r w:rsidRPr="0087418B">
              <w:rPr>
                <w:rFonts w:ascii="Calibri" w:eastAsia="Times New Roman" w:hAnsi="Calibri" w:cs="Times New Roman"/>
                <w:color w:val="000000"/>
                <w:lang w:eastAsia="it-IT"/>
              </w:rPr>
              <w:t>23%</w:t>
            </w:r>
          </w:p>
        </w:tc>
      </w:tr>
      <w:tr w:rsidR="002B14DE" w:rsidRPr="0087418B" w:rsidTr="002B14DE">
        <w:trPr>
          <w:trHeight w:val="300"/>
        </w:trPr>
        <w:tc>
          <w:tcPr>
            <w:tcW w:w="2268" w:type="dxa"/>
            <w:tcBorders>
              <w:top w:val="nil"/>
              <w:left w:val="nil"/>
              <w:bottom w:val="single" w:sz="4" w:space="0" w:color="auto"/>
              <w:right w:val="nil"/>
            </w:tcBorders>
            <w:shd w:val="clear" w:color="auto" w:fill="auto"/>
            <w:noWrap/>
            <w:vAlign w:val="bottom"/>
            <w:hideMark/>
          </w:tcPr>
          <w:p w:rsidR="002B14DE" w:rsidRPr="0087418B" w:rsidRDefault="002B14DE" w:rsidP="002B14DE">
            <w:pPr>
              <w:spacing w:after="0" w:line="240" w:lineRule="auto"/>
              <w:rPr>
                <w:rFonts w:ascii="Calibri" w:eastAsia="Times New Roman" w:hAnsi="Calibri" w:cs="Times New Roman"/>
                <w:color w:val="000000"/>
                <w:lang w:eastAsia="it-IT"/>
              </w:rPr>
            </w:pPr>
            <w:proofErr w:type="gramStart"/>
            <w:r w:rsidRPr="0087418B">
              <w:rPr>
                <w:rFonts w:ascii="Calibri" w:eastAsia="Times New Roman" w:hAnsi="Calibri" w:cs="Times New Roman"/>
                <w:color w:val="000000"/>
                <w:lang w:eastAsia="it-IT"/>
              </w:rPr>
              <w:t>da</w:t>
            </w:r>
            <w:proofErr w:type="gramEnd"/>
            <w:r w:rsidRPr="0087418B">
              <w:rPr>
                <w:rFonts w:ascii="Calibri" w:eastAsia="Times New Roman" w:hAnsi="Calibri" w:cs="Times New Roman"/>
                <w:color w:val="000000"/>
                <w:lang w:eastAsia="it-IT"/>
              </w:rPr>
              <w:t xml:space="preserve"> 16 in su</w:t>
            </w:r>
          </w:p>
        </w:tc>
        <w:tc>
          <w:tcPr>
            <w:tcW w:w="1276" w:type="dxa"/>
            <w:tcBorders>
              <w:top w:val="nil"/>
              <w:left w:val="nil"/>
              <w:bottom w:val="single" w:sz="4" w:space="0" w:color="auto"/>
              <w:right w:val="nil"/>
            </w:tcBorders>
            <w:shd w:val="clear" w:color="auto" w:fill="auto"/>
            <w:noWrap/>
            <w:vAlign w:val="bottom"/>
            <w:hideMark/>
          </w:tcPr>
          <w:p w:rsidR="002B14DE" w:rsidRPr="0087418B" w:rsidRDefault="002B14DE" w:rsidP="002B14DE">
            <w:pPr>
              <w:spacing w:after="0" w:line="240" w:lineRule="auto"/>
              <w:jc w:val="right"/>
              <w:rPr>
                <w:rFonts w:ascii="Calibri" w:eastAsia="Times New Roman" w:hAnsi="Calibri" w:cs="Times New Roman"/>
                <w:color w:val="000000"/>
                <w:lang w:eastAsia="it-IT"/>
              </w:rPr>
            </w:pPr>
            <w:r w:rsidRPr="0087418B">
              <w:rPr>
                <w:rFonts w:ascii="Calibri" w:eastAsia="Times New Roman" w:hAnsi="Calibri" w:cs="Times New Roman"/>
                <w:color w:val="000000"/>
                <w:lang w:eastAsia="it-IT"/>
              </w:rPr>
              <w:t>10%</w:t>
            </w:r>
          </w:p>
        </w:tc>
        <w:tc>
          <w:tcPr>
            <w:tcW w:w="1418" w:type="dxa"/>
            <w:tcBorders>
              <w:top w:val="nil"/>
              <w:left w:val="nil"/>
              <w:bottom w:val="single" w:sz="4" w:space="0" w:color="auto"/>
              <w:right w:val="nil"/>
            </w:tcBorders>
            <w:shd w:val="clear" w:color="auto" w:fill="auto"/>
            <w:noWrap/>
            <w:vAlign w:val="bottom"/>
            <w:hideMark/>
          </w:tcPr>
          <w:p w:rsidR="002B14DE" w:rsidRPr="0087418B" w:rsidRDefault="002B14DE" w:rsidP="002B14DE">
            <w:pPr>
              <w:spacing w:after="0" w:line="240" w:lineRule="auto"/>
              <w:jc w:val="right"/>
              <w:rPr>
                <w:rFonts w:ascii="Calibri" w:eastAsia="Times New Roman" w:hAnsi="Calibri" w:cs="Times New Roman"/>
                <w:color w:val="000000"/>
                <w:lang w:eastAsia="it-IT"/>
              </w:rPr>
            </w:pPr>
            <w:r w:rsidRPr="0087418B">
              <w:rPr>
                <w:rFonts w:ascii="Calibri" w:eastAsia="Times New Roman" w:hAnsi="Calibri" w:cs="Times New Roman"/>
                <w:color w:val="000000"/>
                <w:lang w:eastAsia="it-IT"/>
              </w:rPr>
              <w:t>0%</w:t>
            </w:r>
          </w:p>
        </w:tc>
        <w:tc>
          <w:tcPr>
            <w:tcW w:w="1417" w:type="dxa"/>
            <w:tcBorders>
              <w:top w:val="nil"/>
              <w:left w:val="nil"/>
              <w:bottom w:val="single" w:sz="4" w:space="0" w:color="auto"/>
              <w:right w:val="nil"/>
            </w:tcBorders>
            <w:shd w:val="clear" w:color="auto" w:fill="auto"/>
            <w:noWrap/>
            <w:vAlign w:val="bottom"/>
            <w:hideMark/>
          </w:tcPr>
          <w:p w:rsidR="002B14DE" w:rsidRPr="0087418B" w:rsidRDefault="002B14DE" w:rsidP="002B14DE">
            <w:pPr>
              <w:spacing w:after="0" w:line="240" w:lineRule="auto"/>
              <w:jc w:val="right"/>
              <w:rPr>
                <w:rFonts w:ascii="Calibri" w:eastAsia="Times New Roman" w:hAnsi="Calibri" w:cs="Times New Roman"/>
                <w:color w:val="000000"/>
                <w:lang w:eastAsia="it-IT"/>
              </w:rPr>
            </w:pPr>
            <w:r w:rsidRPr="0087418B">
              <w:rPr>
                <w:rFonts w:ascii="Calibri" w:eastAsia="Times New Roman" w:hAnsi="Calibri" w:cs="Times New Roman"/>
                <w:color w:val="000000"/>
                <w:lang w:eastAsia="it-IT"/>
              </w:rPr>
              <w:t>17%</w:t>
            </w:r>
          </w:p>
        </w:tc>
        <w:tc>
          <w:tcPr>
            <w:tcW w:w="1276" w:type="dxa"/>
            <w:tcBorders>
              <w:top w:val="nil"/>
              <w:left w:val="nil"/>
              <w:bottom w:val="single" w:sz="4" w:space="0" w:color="auto"/>
              <w:right w:val="nil"/>
            </w:tcBorders>
            <w:shd w:val="clear" w:color="auto" w:fill="auto"/>
            <w:noWrap/>
            <w:vAlign w:val="bottom"/>
            <w:hideMark/>
          </w:tcPr>
          <w:p w:rsidR="002B14DE" w:rsidRPr="0087418B" w:rsidRDefault="002B14DE" w:rsidP="002B14DE">
            <w:pPr>
              <w:spacing w:after="0" w:line="240" w:lineRule="auto"/>
              <w:jc w:val="right"/>
              <w:rPr>
                <w:rFonts w:ascii="Calibri" w:eastAsia="Times New Roman" w:hAnsi="Calibri" w:cs="Times New Roman"/>
                <w:color w:val="000000"/>
                <w:lang w:eastAsia="it-IT"/>
              </w:rPr>
            </w:pPr>
            <w:r w:rsidRPr="0087418B">
              <w:rPr>
                <w:rFonts w:ascii="Calibri" w:eastAsia="Times New Roman" w:hAnsi="Calibri" w:cs="Times New Roman"/>
                <w:color w:val="000000"/>
                <w:lang w:eastAsia="it-IT"/>
              </w:rPr>
              <w:t>20%</w:t>
            </w:r>
          </w:p>
        </w:tc>
        <w:tc>
          <w:tcPr>
            <w:tcW w:w="679" w:type="dxa"/>
            <w:tcBorders>
              <w:top w:val="nil"/>
              <w:left w:val="nil"/>
              <w:bottom w:val="single" w:sz="4" w:space="0" w:color="auto"/>
              <w:right w:val="nil"/>
            </w:tcBorders>
            <w:shd w:val="clear" w:color="auto" w:fill="auto"/>
            <w:noWrap/>
            <w:vAlign w:val="bottom"/>
            <w:hideMark/>
          </w:tcPr>
          <w:p w:rsidR="002B14DE" w:rsidRPr="0087418B" w:rsidRDefault="002B14DE" w:rsidP="002B14DE">
            <w:pPr>
              <w:spacing w:after="0" w:line="240" w:lineRule="auto"/>
              <w:jc w:val="right"/>
              <w:rPr>
                <w:rFonts w:ascii="Calibri" w:eastAsia="Times New Roman" w:hAnsi="Calibri" w:cs="Times New Roman"/>
                <w:color w:val="000000"/>
                <w:lang w:eastAsia="it-IT"/>
              </w:rPr>
            </w:pPr>
            <w:r w:rsidRPr="0087418B">
              <w:rPr>
                <w:rFonts w:ascii="Calibri" w:eastAsia="Times New Roman" w:hAnsi="Calibri" w:cs="Times New Roman"/>
                <w:color w:val="000000"/>
                <w:lang w:eastAsia="it-IT"/>
              </w:rPr>
              <w:t>18%</w:t>
            </w:r>
          </w:p>
        </w:tc>
      </w:tr>
      <w:tr w:rsidR="002B14DE" w:rsidRPr="0087418B" w:rsidTr="002B14DE">
        <w:trPr>
          <w:trHeight w:val="300"/>
        </w:trPr>
        <w:tc>
          <w:tcPr>
            <w:tcW w:w="2268" w:type="dxa"/>
            <w:tcBorders>
              <w:top w:val="single" w:sz="4" w:space="0" w:color="auto"/>
              <w:left w:val="nil"/>
              <w:bottom w:val="single" w:sz="4" w:space="0" w:color="auto"/>
              <w:right w:val="nil"/>
            </w:tcBorders>
            <w:shd w:val="clear" w:color="auto" w:fill="auto"/>
            <w:noWrap/>
            <w:vAlign w:val="bottom"/>
            <w:hideMark/>
          </w:tcPr>
          <w:p w:rsidR="002B14DE" w:rsidRPr="0087418B" w:rsidRDefault="002B14DE" w:rsidP="002B14DE">
            <w:pPr>
              <w:spacing w:after="0" w:line="240" w:lineRule="auto"/>
              <w:jc w:val="right"/>
              <w:rPr>
                <w:rFonts w:ascii="Calibri" w:eastAsia="Times New Roman" w:hAnsi="Calibri" w:cs="Times New Roman"/>
                <w:color w:val="000000"/>
                <w:lang w:eastAsia="it-IT"/>
              </w:rPr>
            </w:pPr>
            <w:r>
              <w:rPr>
                <w:rFonts w:ascii="Calibri" w:eastAsia="Times New Roman" w:hAnsi="Calibri" w:cs="Times New Roman"/>
                <w:color w:val="000000"/>
                <w:lang w:eastAsia="it-IT"/>
              </w:rPr>
              <w:t>Totale</w:t>
            </w:r>
          </w:p>
        </w:tc>
        <w:tc>
          <w:tcPr>
            <w:tcW w:w="1276" w:type="dxa"/>
            <w:tcBorders>
              <w:top w:val="single" w:sz="4" w:space="0" w:color="auto"/>
              <w:left w:val="nil"/>
              <w:bottom w:val="single" w:sz="4" w:space="0" w:color="auto"/>
              <w:right w:val="nil"/>
            </w:tcBorders>
            <w:shd w:val="clear" w:color="auto" w:fill="auto"/>
            <w:noWrap/>
            <w:vAlign w:val="bottom"/>
            <w:hideMark/>
          </w:tcPr>
          <w:p w:rsidR="002B14DE" w:rsidRPr="0087418B" w:rsidRDefault="002B14DE" w:rsidP="002B14DE">
            <w:pPr>
              <w:spacing w:after="0" w:line="240" w:lineRule="auto"/>
              <w:jc w:val="right"/>
              <w:rPr>
                <w:rFonts w:ascii="Calibri" w:eastAsia="Times New Roman" w:hAnsi="Calibri" w:cs="Times New Roman"/>
                <w:color w:val="000000"/>
                <w:lang w:eastAsia="it-IT"/>
              </w:rPr>
            </w:pPr>
            <w:r w:rsidRPr="0087418B">
              <w:rPr>
                <w:rFonts w:ascii="Calibri" w:eastAsia="Times New Roman" w:hAnsi="Calibri" w:cs="Times New Roman"/>
                <w:color w:val="000000"/>
                <w:lang w:eastAsia="it-IT"/>
              </w:rPr>
              <w:t>100%</w:t>
            </w:r>
          </w:p>
        </w:tc>
        <w:tc>
          <w:tcPr>
            <w:tcW w:w="1418" w:type="dxa"/>
            <w:tcBorders>
              <w:top w:val="single" w:sz="4" w:space="0" w:color="auto"/>
              <w:left w:val="nil"/>
              <w:bottom w:val="single" w:sz="4" w:space="0" w:color="auto"/>
              <w:right w:val="nil"/>
            </w:tcBorders>
            <w:shd w:val="clear" w:color="auto" w:fill="auto"/>
            <w:noWrap/>
            <w:vAlign w:val="bottom"/>
            <w:hideMark/>
          </w:tcPr>
          <w:p w:rsidR="002B14DE" w:rsidRPr="0087418B" w:rsidRDefault="002B14DE" w:rsidP="002B14DE">
            <w:pPr>
              <w:spacing w:after="0" w:line="240" w:lineRule="auto"/>
              <w:jc w:val="right"/>
              <w:rPr>
                <w:rFonts w:ascii="Calibri" w:eastAsia="Times New Roman" w:hAnsi="Calibri" w:cs="Times New Roman"/>
                <w:color w:val="000000"/>
                <w:lang w:eastAsia="it-IT"/>
              </w:rPr>
            </w:pPr>
            <w:r w:rsidRPr="0087418B">
              <w:rPr>
                <w:rFonts w:ascii="Calibri" w:eastAsia="Times New Roman" w:hAnsi="Calibri" w:cs="Times New Roman"/>
                <w:color w:val="000000"/>
                <w:lang w:eastAsia="it-IT"/>
              </w:rPr>
              <w:t>100%</w:t>
            </w:r>
          </w:p>
        </w:tc>
        <w:tc>
          <w:tcPr>
            <w:tcW w:w="1417" w:type="dxa"/>
            <w:tcBorders>
              <w:top w:val="single" w:sz="4" w:space="0" w:color="auto"/>
              <w:left w:val="nil"/>
              <w:bottom w:val="single" w:sz="4" w:space="0" w:color="auto"/>
              <w:right w:val="nil"/>
            </w:tcBorders>
            <w:shd w:val="clear" w:color="auto" w:fill="auto"/>
            <w:noWrap/>
            <w:vAlign w:val="bottom"/>
            <w:hideMark/>
          </w:tcPr>
          <w:p w:rsidR="002B14DE" w:rsidRPr="0087418B" w:rsidRDefault="002B14DE" w:rsidP="002B14DE">
            <w:pPr>
              <w:spacing w:after="0" w:line="240" w:lineRule="auto"/>
              <w:jc w:val="right"/>
              <w:rPr>
                <w:rFonts w:ascii="Calibri" w:eastAsia="Times New Roman" w:hAnsi="Calibri" w:cs="Times New Roman"/>
                <w:color w:val="000000"/>
                <w:lang w:eastAsia="it-IT"/>
              </w:rPr>
            </w:pPr>
            <w:r w:rsidRPr="0087418B">
              <w:rPr>
                <w:rFonts w:ascii="Calibri" w:eastAsia="Times New Roman" w:hAnsi="Calibri" w:cs="Times New Roman"/>
                <w:color w:val="000000"/>
                <w:lang w:eastAsia="it-IT"/>
              </w:rPr>
              <w:t>100%</w:t>
            </w:r>
          </w:p>
        </w:tc>
        <w:tc>
          <w:tcPr>
            <w:tcW w:w="1276" w:type="dxa"/>
            <w:tcBorders>
              <w:top w:val="single" w:sz="4" w:space="0" w:color="auto"/>
              <w:left w:val="nil"/>
              <w:bottom w:val="single" w:sz="4" w:space="0" w:color="auto"/>
              <w:right w:val="nil"/>
            </w:tcBorders>
            <w:shd w:val="clear" w:color="auto" w:fill="auto"/>
            <w:noWrap/>
            <w:vAlign w:val="bottom"/>
            <w:hideMark/>
          </w:tcPr>
          <w:p w:rsidR="002B14DE" w:rsidRPr="0087418B" w:rsidRDefault="002B14DE" w:rsidP="002B14DE">
            <w:pPr>
              <w:spacing w:after="0" w:line="240" w:lineRule="auto"/>
              <w:jc w:val="right"/>
              <w:rPr>
                <w:rFonts w:ascii="Calibri" w:eastAsia="Times New Roman" w:hAnsi="Calibri" w:cs="Times New Roman"/>
                <w:color w:val="000000"/>
                <w:lang w:eastAsia="it-IT"/>
              </w:rPr>
            </w:pPr>
            <w:r w:rsidRPr="0087418B">
              <w:rPr>
                <w:rFonts w:ascii="Calibri" w:eastAsia="Times New Roman" w:hAnsi="Calibri" w:cs="Times New Roman"/>
                <w:color w:val="000000"/>
                <w:lang w:eastAsia="it-IT"/>
              </w:rPr>
              <w:t>100%</w:t>
            </w:r>
          </w:p>
        </w:tc>
        <w:tc>
          <w:tcPr>
            <w:tcW w:w="679" w:type="dxa"/>
            <w:tcBorders>
              <w:top w:val="single" w:sz="4" w:space="0" w:color="auto"/>
              <w:left w:val="nil"/>
              <w:bottom w:val="single" w:sz="4" w:space="0" w:color="auto"/>
              <w:right w:val="nil"/>
            </w:tcBorders>
            <w:shd w:val="clear" w:color="auto" w:fill="auto"/>
            <w:noWrap/>
            <w:vAlign w:val="bottom"/>
            <w:hideMark/>
          </w:tcPr>
          <w:p w:rsidR="002B14DE" w:rsidRPr="0087418B" w:rsidRDefault="002B14DE" w:rsidP="002B14DE">
            <w:pPr>
              <w:spacing w:after="0" w:line="240" w:lineRule="auto"/>
              <w:jc w:val="right"/>
              <w:rPr>
                <w:rFonts w:ascii="Calibri" w:eastAsia="Times New Roman" w:hAnsi="Calibri" w:cs="Times New Roman"/>
                <w:color w:val="000000"/>
                <w:lang w:eastAsia="it-IT"/>
              </w:rPr>
            </w:pPr>
            <w:r w:rsidRPr="0087418B">
              <w:rPr>
                <w:rFonts w:ascii="Calibri" w:eastAsia="Times New Roman" w:hAnsi="Calibri" w:cs="Times New Roman"/>
                <w:color w:val="000000"/>
                <w:lang w:eastAsia="it-IT"/>
              </w:rPr>
              <w:t>100%</w:t>
            </w:r>
          </w:p>
        </w:tc>
      </w:tr>
    </w:tbl>
    <w:p w:rsidR="002B14DE" w:rsidRDefault="002B14DE" w:rsidP="002B14DE"/>
    <w:p w:rsidR="002B14DE" w:rsidRDefault="002B14DE" w:rsidP="002B14DE"/>
    <w:p w:rsidR="002B14DE" w:rsidRDefault="002B14DE" w:rsidP="002B14DE">
      <w:r>
        <w:br w:type="page"/>
      </w:r>
    </w:p>
    <w:p w:rsidR="009E35BE" w:rsidRDefault="00242B71" w:rsidP="009E35BE">
      <w:pPr>
        <w:pStyle w:val="Titolo1"/>
      </w:pPr>
      <w:bookmarkStart w:id="0" w:name="_Hlk482365033"/>
      <w:bookmarkEnd w:id="0"/>
      <w:r>
        <w:t>3</w:t>
      </w:r>
      <w:r w:rsidR="009E35BE">
        <w:t xml:space="preserve">.Un’analisi di medio periodo del lavoro nell’orafo aretino e nell’artigianato in particolare </w:t>
      </w:r>
    </w:p>
    <w:p w:rsidR="009E35BE" w:rsidRDefault="009E35BE" w:rsidP="009E35BE">
      <w:pPr>
        <w:pStyle w:val="Titolo1"/>
      </w:pPr>
    </w:p>
    <w:p w:rsidR="009E35BE" w:rsidRDefault="00946AD8" w:rsidP="00E111DE">
      <w:pPr>
        <w:pStyle w:val="Titolo2"/>
      </w:pPr>
      <w:r>
        <w:t xml:space="preserve">3.1 </w:t>
      </w:r>
      <w:r w:rsidR="009E35BE">
        <w:t>Premessa</w:t>
      </w:r>
    </w:p>
    <w:p w:rsidR="009E35BE" w:rsidRDefault="009E35BE" w:rsidP="009E35BE"/>
    <w:p w:rsidR="009E35BE" w:rsidRDefault="009E35BE" w:rsidP="009E35BE">
      <w:pPr>
        <w:jc w:val="both"/>
      </w:pPr>
      <w:r>
        <w:t xml:space="preserve">L’analisi che proponiamo di seguito punta a far luce sulle dinamiche del mercato del lavoro del settore orafo aretino (cod. </w:t>
      </w:r>
      <w:proofErr w:type="spellStart"/>
      <w:r>
        <w:t>Ateco</w:t>
      </w:r>
      <w:proofErr w:type="spellEnd"/>
      <w:r>
        <w:t xml:space="preserve"> 2007, 32.12), con particolare riferimento ai fenomeni che hanno caratterizzato le imprese iscritte all’</w:t>
      </w:r>
      <w:proofErr w:type="spellStart"/>
      <w:r>
        <w:t>Ebret</w:t>
      </w:r>
      <w:proofErr w:type="spellEnd"/>
      <w:r>
        <w:t>.</w:t>
      </w:r>
    </w:p>
    <w:p w:rsidR="009E35BE" w:rsidRDefault="009E35BE" w:rsidP="009E35BE">
      <w:pPr>
        <w:jc w:val="both"/>
      </w:pPr>
      <w:r>
        <w:t>Dunque, questo rapporto consta di due parti:</w:t>
      </w:r>
    </w:p>
    <w:p w:rsidR="009E35BE" w:rsidRDefault="009E35BE" w:rsidP="009E35BE">
      <w:pPr>
        <w:pStyle w:val="Paragrafoelenco"/>
        <w:numPr>
          <w:ilvl w:val="0"/>
          <w:numId w:val="5"/>
        </w:numPr>
        <w:jc w:val="both"/>
      </w:pPr>
      <w:proofErr w:type="gramStart"/>
      <w:r>
        <w:t>nella</w:t>
      </w:r>
      <w:proofErr w:type="gramEnd"/>
      <w:r>
        <w:t xml:space="preserve"> prima si farà luce sulle dinamiche del </w:t>
      </w:r>
      <w:proofErr w:type="spellStart"/>
      <w:r>
        <w:t>MdL</w:t>
      </w:r>
      <w:proofErr w:type="spellEnd"/>
      <w:r>
        <w:t xml:space="preserve"> dell’orafo aretino </w:t>
      </w:r>
      <w:r w:rsidRPr="00D25F2E">
        <w:rPr>
          <w:i/>
        </w:rPr>
        <w:t>tout-cour</w:t>
      </w:r>
      <w:r>
        <w:rPr>
          <w:i/>
        </w:rPr>
        <w:t>t</w:t>
      </w:r>
      <w:r>
        <w:t>;</w:t>
      </w:r>
    </w:p>
    <w:p w:rsidR="009E35BE" w:rsidRDefault="009E35BE" w:rsidP="009E35BE">
      <w:pPr>
        <w:pStyle w:val="Paragrafoelenco"/>
        <w:numPr>
          <w:ilvl w:val="0"/>
          <w:numId w:val="5"/>
        </w:numPr>
        <w:jc w:val="both"/>
      </w:pPr>
      <w:proofErr w:type="gramStart"/>
      <w:r>
        <w:t>nella</w:t>
      </w:r>
      <w:proofErr w:type="gramEnd"/>
      <w:r>
        <w:t xml:space="preserve"> seconda i fenomeni investigati di cui sopra saranno rapportati agli andamenti occupazionali propri delle imprese artigiane con dipendenti.</w:t>
      </w:r>
    </w:p>
    <w:p w:rsidR="009E35BE" w:rsidRDefault="009E35BE" w:rsidP="009E35BE">
      <w:pPr>
        <w:jc w:val="both"/>
      </w:pPr>
      <w:r>
        <w:t>L’obiettivo dell’analisi è duplice:</w:t>
      </w:r>
    </w:p>
    <w:p w:rsidR="009E35BE" w:rsidRDefault="009E35BE" w:rsidP="009E35BE">
      <w:pPr>
        <w:pStyle w:val="Paragrafoelenco"/>
        <w:numPr>
          <w:ilvl w:val="0"/>
          <w:numId w:val="5"/>
        </w:numPr>
        <w:jc w:val="both"/>
      </w:pPr>
      <w:proofErr w:type="gramStart"/>
      <w:r>
        <w:t>informare</w:t>
      </w:r>
      <w:proofErr w:type="gramEnd"/>
      <w:r>
        <w:t xml:space="preserve"> sulle caratteristiche occupazionali del distretto orafo aretino, </w:t>
      </w:r>
    </w:p>
    <w:p w:rsidR="009E35BE" w:rsidRDefault="009E35BE" w:rsidP="009E35BE">
      <w:pPr>
        <w:pStyle w:val="Paragrafoelenco"/>
        <w:numPr>
          <w:ilvl w:val="0"/>
          <w:numId w:val="5"/>
        </w:numPr>
        <w:jc w:val="both"/>
      </w:pPr>
      <w:proofErr w:type="gramStart"/>
      <w:r>
        <w:t>e</w:t>
      </w:r>
      <w:proofErr w:type="gramEnd"/>
      <w:r>
        <w:t xml:space="preserve">, soprattutto, chiarire se esistono logiche e strategie diverse – rispetto al resto del </w:t>
      </w:r>
      <w:proofErr w:type="spellStart"/>
      <w:r>
        <w:t>MdL</w:t>
      </w:r>
      <w:proofErr w:type="spellEnd"/>
      <w:r>
        <w:t xml:space="preserve"> – delle imprese artigiane</w:t>
      </w:r>
      <w:r>
        <w:rPr>
          <w:rStyle w:val="Rimandonotaapidipagina"/>
        </w:rPr>
        <w:footnoteReference w:id="8"/>
      </w:r>
      <w:r>
        <w:t>.</w:t>
      </w:r>
    </w:p>
    <w:p w:rsidR="009E35BE" w:rsidRDefault="009E35BE" w:rsidP="009E35BE">
      <w:pPr>
        <w:pStyle w:val="Titolo1"/>
        <w:jc w:val="both"/>
        <w:rPr>
          <w:rFonts w:asciiTheme="minorHAnsi" w:eastAsiaTheme="minorHAnsi" w:hAnsiTheme="minorHAnsi" w:cstheme="minorBidi"/>
          <w:color w:val="auto"/>
          <w:sz w:val="22"/>
          <w:szCs w:val="22"/>
        </w:rPr>
      </w:pPr>
      <w:r w:rsidRPr="00D25F2E">
        <w:rPr>
          <w:rFonts w:asciiTheme="minorHAnsi" w:eastAsiaTheme="minorHAnsi" w:hAnsiTheme="minorHAnsi" w:cstheme="minorBidi"/>
          <w:color w:val="auto"/>
          <w:sz w:val="22"/>
          <w:szCs w:val="22"/>
        </w:rPr>
        <w:t>Lo studio è stato condotto</w:t>
      </w:r>
      <w:r>
        <w:rPr>
          <w:rFonts w:asciiTheme="minorHAnsi" w:eastAsiaTheme="minorHAnsi" w:hAnsiTheme="minorHAnsi" w:cstheme="minorBidi"/>
          <w:color w:val="auto"/>
          <w:sz w:val="22"/>
          <w:szCs w:val="22"/>
        </w:rPr>
        <w:t xml:space="preserve"> utilizzando le comunicazioni obbligatorie relative al periodo 2011-2016</w:t>
      </w:r>
      <w:r w:rsidR="00B877C0">
        <w:rPr>
          <w:rFonts w:asciiTheme="minorHAnsi" w:eastAsiaTheme="minorHAnsi" w:hAnsiTheme="minorHAnsi" w:cstheme="minorBidi"/>
          <w:color w:val="auto"/>
          <w:sz w:val="22"/>
          <w:szCs w:val="22"/>
        </w:rPr>
        <w:t xml:space="preserve"> (ma in alcuni casi ci si è dovuti limitare a considerare il quinquennio 2011-2015)</w:t>
      </w:r>
      <w:r>
        <w:rPr>
          <w:rFonts w:asciiTheme="minorHAnsi" w:eastAsiaTheme="minorHAnsi" w:hAnsiTheme="minorHAnsi" w:cstheme="minorBidi"/>
          <w:color w:val="auto"/>
          <w:sz w:val="22"/>
          <w:szCs w:val="22"/>
        </w:rPr>
        <w:t>. Sono, infatti, stati reperiti i dati degli avviamenti, trasformazioni, proroghe e cessazioni inerenti il suddetto periodo dagli archivi regionali</w:t>
      </w:r>
      <w:r>
        <w:rPr>
          <w:rStyle w:val="Rimandonotaapidipagina"/>
          <w:rFonts w:asciiTheme="minorHAnsi" w:eastAsiaTheme="minorHAnsi" w:hAnsiTheme="minorHAnsi" w:cstheme="minorBidi"/>
          <w:color w:val="auto"/>
          <w:sz w:val="22"/>
          <w:szCs w:val="22"/>
        </w:rPr>
        <w:footnoteReference w:id="9"/>
      </w:r>
      <w:r>
        <w:rPr>
          <w:rFonts w:asciiTheme="minorHAnsi" w:eastAsiaTheme="minorHAnsi" w:hAnsiTheme="minorHAnsi" w:cstheme="minorBidi"/>
          <w:color w:val="auto"/>
          <w:sz w:val="22"/>
          <w:szCs w:val="22"/>
        </w:rPr>
        <w:t>.</w:t>
      </w:r>
    </w:p>
    <w:p w:rsidR="009E35BE" w:rsidRDefault="009E35BE" w:rsidP="009E35BE"/>
    <w:p w:rsidR="009E35BE" w:rsidRPr="00FB3E20" w:rsidRDefault="009E35BE" w:rsidP="009E35BE">
      <w:pPr>
        <w:jc w:val="both"/>
      </w:pPr>
      <w:r>
        <w:t>Al fine di analizzare i dati in modo più corretto possibile, i contratti a termine</w:t>
      </w:r>
      <w:r>
        <w:rPr>
          <w:rStyle w:val="Rimandonotaapidipagina"/>
        </w:rPr>
        <w:footnoteReference w:id="10"/>
      </w:r>
      <w:r>
        <w:t xml:space="preserve"> sono stati valutati in maniera particolare: ogni avviamento non seguito da proroga, trasformazione o cessazione relativo al medesimo soggetto è stato considerato sia avviamento che cessazione (avviamento/cessazione). Lo stesso si è fatto per le proroghe non seguite da ulteriori proroghe, trasformazioni o cessazioni, che sono state considerate – al contempo – proroghe e cessazioni (proroga/cessazione). Gli avviamenti/cessazioni e le proroghe/cessazioni sono state contate, quindi, due volte: sia come proroga o trasformazione, sia come cessazione. In questo modo, si è voluto tener conto delle “cessazioni naturali”, cioè quelle che si verificano allo scadere del contratto a termine o della sua proroga.</w:t>
      </w:r>
    </w:p>
    <w:p w:rsidR="009E35BE" w:rsidRDefault="00946AD8" w:rsidP="00E111DE">
      <w:pPr>
        <w:pStyle w:val="Titolo2"/>
      </w:pPr>
      <w:r>
        <w:t xml:space="preserve">3.2 </w:t>
      </w:r>
      <w:r w:rsidR="009E35BE">
        <w:t>Il mercato del Lavoro dell’orafo aretino</w:t>
      </w:r>
    </w:p>
    <w:p w:rsidR="009E35BE" w:rsidRDefault="009E35BE" w:rsidP="009E35BE"/>
    <w:p w:rsidR="009E35BE" w:rsidRDefault="009E35BE" w:rsidP="009E35BE">
      <w:r>
        <w:t>L’analisi dei movimenti che caratterizzano il settore orafo aretino è sintetizzata dalla tabella seguente.</w:t>
      </w:r>
    </w:p>
    <w:p w:rsidR="009E35BE" w:rsidRPr="00A956C1" w:rsidRDefault="009E35BE" w:rsidP="009E35BE">
      <w:pPr>
        <w:rPr>
          <w:b/>
          <w:sz w:val="20"/>
          <w:szCs w:val="20"/>
        </w:rPr>
      </w:pPr>
      <w:proofErr w:type="spellStart"/>
      <w:r w:rsidRPr="00A956C1">
        <w:rPr>
          <w:b/>
          <w:sz w:val="20"/>
          <w:szCs w:val="20"/>
        </w:rPr>
        <w:t>Tab</w:t>
      </w:r>
      <w:proofErr w:type="spellEnd"/>
      <w:r w:rsidRPr="00A956C1">
        <w:rPr>
          <w:b/>
          <w:sz w:val="20"/>
          <w:szCs w:val="20"/>
        </w:rPr>
        <w:t xml:space="preserve">. </w:t>
      </w:r>
      <w:r w:rsidR="00CD214C">
        <w:rPr>
          <w:b/>
          <w:sz w:val="20"/>
          <w:szCs w:val="20"/>
        </w:rPr>
        <w:t>3.</w:t>
      </w:r>
      <w:r w:rsidRPr="00A956C1">
        <w:rPr>
          <w:b/>
          <w:sz w:val="20"/>
          <w:szCs w:val="20"/>
        </w:rPr>
        <w:t>1 – Distribuzione dei movimenti per tipologia ed anno</w:t>
      </w:r>
      <w:r>
        <w:rPr>
          <w:b/>
          <w:sz w:val="20"/>
          <w:szCs w:val="20"/>
        </w:rPr>
        <w:t xml:space="preserve"> (2011-2016).</w:t>
      </w:r>
    </w:p>
    <w:tbl>
      <w:tblPr>
        <w:tblW w:w="9628" w:type="dxa"/>
        <w:tblLayout w:type="fixed"/>
        <w:tblCellMar>
          <w:top w:w="15" w:type="dxa"/>
          <w:left w:w="70" w:type="dxa"/>
          <w:bottom w:w="15" w:type="dxa"/>
          <w:right w:w="70" w:type="dxa"/>
        </w:tblCellMar>
        <w:tblLook w:val="04A0" w:firstRow="1" w:lastRow="0" w:firstColumn="1" w:lastColumn="0" w:noHBand="0" w:noVBand="1"/>
      </w:tblPr>
      <w:tblGrid>
        <w:gridCol w:w="788"/>
        <w:gridCol w:w="1768"/>
        <w:gridCol w:w="1768"/>
        <w:gridCol w:w="1768"/>
        <w:gridCol w:w="1768"/>
        <w:gridCol w:w="1768"/>
      </w:tblGrid>
      <w:tr w:rsidR="009E35BE" w:rsidRPr="005A115F" w:rsidTr="00832031">
        <w:trPr>
          <w:trHeight w:val="300"/>
        </w:trPr>
        <w:tc>
          <w:tcPr>
            <w:tcW w:w="788" w:type="dxa"/>
            <w:tcBorders>
              <w:top w:val="single" w:sz="4" w:space="0" w:color="auto"/>
              <w:left w:val="single" w:sz="4" w:space="0" w:color="auto"/>
              <w:bottom w:val="single" w:sz="4" w:space="0" w:color="auto"/>
              <w:right w:val="single" w:sz="4" w:space="0" w:color="auto"/>
            </w:tcBorders>
            <w:shd w:val="clear" w:color="DDEBF7" w:fill="DDEBF7"/>
            <w:vAlign w:val="bottom"/>
            <w:hideMark/>
          </w:tcPr>
          <w:p w:rsidR="009E35BE" w:rsidRPr="00E12853" w:rsidRDefault="009E35BE" w:rsidP="00832031">
            <w:pPr>
              <w:spacing w:after="0" w:line="240" w:lineRule="auto"/>
              <w:rPr>
                <w:rFonts w:ascii="Calibri" w:eastAsia="Times New Roman" w:hAnsi="Calibri" w:cs="Calibri"/>
                <w:b/>
                <w:bCs/>
                <w:color w:val="000000"/>
                <w:sz w:val="20"/>
                <w:szCs w:val="20"/>
                <w:lang w:eastAsia="it-IT"/>
              </w:rPr>
            </w:pPr>
            <w:r w:rsidRPr="00E12853">
              <w:rPr>
                <w:rFonts w:ascii="Calibri" w:eastAsia="Times New Roman" w:hAnsi="Calibri" w:cs="Calibri"/>
                <w:b/>
                <w:bCs/>
                <w:color w:val="000000"/>
                <w:sz w:val="20"/>
                <w:szCs w:val="20"/>
                <w:lang w:eastAsia="it-IT"/>
              </w:rPr>
              <w:t>Anno</w:t>
            </w:r>
          </w:p>
        </w:tc>
        <w:tc>
          <w:tcPr>
            <w:tcW w:w="176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E35BE" w:rsidRPr="00E12853" w:rsidRDefault="009E35BE" w:rsidP="00832031">
            <w:pPr>
              <w:spacing w:after="0" w:line="240" w:lineRule="auto"/>
              <w:rPr>
                <w:rFonts w:ascii="Calibri" w:eastAsia="Times New Roman" w:hAnsi="Calibri" w:cs="Calibri"/>
                <w:b/>
                <w:bCs/>
                <w:color w:val="000000"/>
                <w:sz w:val="20"/>
                <w:szCs w:val="20"/>
                <w:lang w:eastAsia="it-IT"/>
              </w:rPr>
            </w:pPr>
            <w:r w:rsidRPr="00E12853">
              <w:rPr>
                <w:rFonts w:ascii="Calibri" w:eastAsia="Times New Roman" w:hAnsi="Calibri" w:cs="Calibri"/>
                <w:b/>
                <w:bCs/>
                <w:color w:val="000000"/>
                <w:sz w:val="20"/>
                <w:szCs w:val="20"/>
                <w:lang w:eastAsia="it-IT"/>
              </w:rPr>
              <w:t>Avviamenti</w:t>
            </w:r>
          </w:p>
        </w:tc>
        <w:tc>
          <w:tcPr>
            <w:tcW w:w="176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E35BE" w:rsidRPr="00E12853" w:rsidRDefault="009E35BE" w:rsidP="00832031">
            <w:pPr>
              <w:spacing w:after="0" w:line="240" w:lineRule="auto"/>
              <w:rPr>
                <w:rFonts w:ascii="Calibri" w:eastAsia="Times New Roman" w:hAnsi="Calibri" w:cs="Calibri"/>
                <w:b/>
                <w:bCs/>
                <w:color w:val="000000"/>
                <w:sz w:val="20"/>
                <w:szCs w:val="20"/>
                <w:lang w:eastAsia="it-IT"/>
              </w:rPr>
            </w:pPr>
            <w:r w:rsidRPr="00E12853">
              <w:rPr>
                <w:rFonts w:ascii="Calibri" w:eastAsia="Times New Roman" w:hAnsi="Calibri" w:cs="Calibri"/>
                <w:b/>
                <w:bCs/>
                <w:color w:val="000000"/>
                <w:sz w:val="20"/>
                <w:szCs w:val="20"/>
                <w:lang w:eastAsia="it-IT"/>
              </w:rPr>
              <w:t>Cessazioni</w:t>
            </w:r>
          </w:p>
        </w:tc>
        <w:tc>
          <w:tcPr>
            <w:tcW w:w="176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E35BE" w:rsidRPr="00E12853" w:rsidRDefault="009E35BE" w:rsidP="00832031">
            <w:pPr>
              <w:spacing w:after="0" w:line="240" w:lineRule="auto"/>
              <w:rPr>
                <w:rFonts w:ascii="Calibri" w:eastAsia="Times New Roman" w:hAnsi="Calibri" w:cs="Calibri"/>
                <w:b/>
                <w:bCs/>
                <w:color w:val="000000"/>
                <w:sz w:val="20"/>
                <w:szCs w:val="20"/>
                <w:lang w:eastAsia="it-IT"/>
              </w:rPr>
            </w:pPr>
            <w:r w:rsidRPr="00E12853">
              <w:rPr>
                <w:rFonts w:ascii="Calibri" w:eastAsia="Times New Roman" w:hAnsi="Calibri" w:cs="Calibri"/>
                <w:b/>
                <w:bCs/>
                <w:color w:val="000000"/>
                <w:sz w:val="20"/>
                <w:szCs w:val="20"/>
                <w:lang w:eastAsia="it-IT"/>
              </w:rPr>
              <w:t>Proroghe</w:t>
            </w:r>
          </w:p>
        </w:tc>
        <w:tc>
          <w:tcPr>
            <w:tcW w:w="176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E35BE" w:rsidRPr="00E12853" w:rsidRDefault="009E35BE" w:rsidP="00832031">
            <w:pPr>
              <w:spacing w:after="0" w:line="240" w:lineRule="auto"/>
              <w:rPr>
                <w:rFonts w:ascii="Calibri" w:eastAsia="Times New Roman" w:hAnsi="Calibri" w:cs="Calibri"/>
                <w:b/>
                <w:bCs/>
                <w:color w:val="000000"/>
                <w:sz w:val="20"/>
                <w:szCs w:val="20"/>
                <w:lang w:eastAsia="it-IT"/>
              </w:rPr>
            </w:pPr>
            <w:r w:rsidRPr="00E12853">
              <w:rPr>
                <w:rFonts w:ascii="Calibri" w:eastAsia="Times New Roman" w:hAnsi="Calibri" w:cs="Calibri"/>
                <w:b/>
                <w:bCs/>
                <w:color w:val="000000"/>
                <w:sz w:val="20"/>
                <w:szCs w:val="20"/>
                <w:lang w:eastAsia="it-IT"/>
              </w:rPr>
              <w:t>Trasformazioni</w:t>
            </w:r>
          </w:p>
        </w:tc>
        <w:tc>
          <w:tcPr>
            <w:tcW w:w="176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E35BE" w:rsidRPr="00E12853" w:rsidRDefault="009E35BE" w:rsidP="00832031">
            <w:pPr>
              <w:spacing w:after="0" w:line="240" w:lineRule="auto"/>
              <w:rPr>
                <w:rFonts w:ascii="Calibri" w:eastAsia="Times New Roman" w:hAnsi="Calibri" w:cs="Calibri"/>
                <w:b/>
                <w:bCs/>
                <w:color w:val="000000"/>
                <w:sz w:val="20"/>
                <w:szCs w:val="20"/>
                <w:lang w:eastAsia="it-IT"/>
              </w:rPr>
            </w:pPr>
            <w:r w:rsidRPr="00E12853">
              <w:rPr>
                <w:rFonts w:ascii="Calibri" w:eastAsia="Times New Roman" w:hAnsi="Calibri" w:cs="Calibri"/>
                <w:b/>
                <w:bCs/>
                <w:color w:val="000000"/>
                <w:sz w:val="20"/>
                <w:szCs w:val="20"/>
                <w:lang w:eastAsia="it-IT"/>
              </w:rPr>
              <w:t>Saldo avviamenti e cessazioni</w:t>
            </w:r>
          </w:p>
        </w:tc>
      </w:tr>
      <w:tr w:rsidR="009E35BE" w:rsidRPr="00E12853" w:rsidTr="00832031">
        <w:trPr>
          <w:trHeight w:val="300"/>
        </w:trPr>
        <w:tc>
          <w:tcPr>
            <w:tcW w:w="788" w:type="dxa"/>
            <w:tcBorders>
              <w:top w:val="single" w:sz="4" w:space="0" w:color="auto"/>
              <w:left w:val="single" w:sz="4" w:space="0" w:color="auto"/>
              <w:bottom w:val="single" w:sz="4" w:space="0" w:color="auto"/>
              <w:right w:val="single" w:sz="4" w:space="0" w:color="auto"/>
            </w:tcBorders>
            <w:vAlign w:val="bottom"/>
            <w:hideMark/>
          </w:tcPr>
          <w:p w:rsidR="009E35BE" w:rsidRPr="00E12853" w:rsidRDefault="009E35BE" w:rsidP="00832031">
            <w:pPr>
              <w:spacing w:after="0" w:line="240" w:lineRule="auto"/>
              <w:rPr>
                <w:rFonts w:ascii="Calibri" w:eastAsia="Times New Roman" w:hAnsi="Calibri" w:cs="Calibri"/>
                <w:color w:val="000000"/>
                <w:sz w:val="20"/>
                <w:szCs w:val="20"/>
                <w:lang w:eastAsia="it-IT"/>
              </w:rPr>
            </w:pPr>
            <w:r w:rsidRPr="00E12853">
              <w:rPr>
                <w:rFonts w:ascii="Calibri" w:eastAsia="Times New Roman" w:hAnsi="Calibri" w:cs="Calibri"/>
                <w:color w:val="000000"/>
                <w:sz w:val="20"/>
                <w:szCs w:val="20"/>
                <w:lang w:eastAsia="it-IT"/>
              </w:rPr>
              <w:t>2011</w:t>
            </w:r>
          </w:p>
        </w:tc>
        <w:tc>
          <w:tcPr>
            <w:tcW w:w="1768" w:type="dxa"/>
            <w:tcBorders>
              <w:top w:val="single" w:sz="4" w:space="0" w:color="auto"/>
              <w:left w:val="single" w:sz="4" w:space="0" w:color="auto"/>
              <w:bottom w:val="single" w:sz="4" w:space="0" w:color="auto"/>
              <w:right w:val="single" w:sz="4" w:space="0" w:color="auto"/>
            </w:tcBorders>
            <w:noWrap/>
            <w:vAlign w:val="bottom"/>
            <w:hideMark/>
          </w:tcPr>
          <w:p w:rsidR="009E35BE" w:rsidRPr="00411F87" w:rsidRDefault="009E35BE" w:rsidP="00832031">
            <w:pPr>
              <w:spacing w:after="0"/>
              <w:jc w:val="right"/>
              <w:rPr>
                <w:rFonts w:ascii="Calibri" w:hAnsi="Calibri" w:cs="Calibri"/>
                <w:color w:val="000000"/>
                <w:sz w:val="20"/>
                <w:szCs w:val="20"/>
              </w:rPr>
            </w:pPr>
            <w:r w:rsidRPr="00411F87">
              <w:rPr>
                <w:rFonts w:ascii="Calibri" w:hAnsi="Calibri" w:cs="Calibri"/>
                <w:color w:val="000000"/>
                <w:sz w:val="20"/>
                <w:szCs w:val="20"/>
              </w:rPr>
              <w:t xml:space="preserve"> 885 </w:t>
            </w:r>
          </w:p>
        </w:tc>
        <w:tc>
          <w:tcPr>
            <w:tcW w:w="1768" w:type="dxa"/>
            <w:tcBorders>
              <w:top w:val="single" w:sz="4" w:space="0" w:color="auto"/>
              <w:left w:val="single" w:sz="4" w:space="0" w:color="auto"/>
              <w:bottom w:val="single" w:sz="4" w:space="0" w:color="auto"/>
              <w:right w:val="single" w:sz="4" w:space="0" w:color="auto"/>
            </w:tcBorders>
            <w:noWrap/>
            <w:vAlign w:val="bottom"/>
            <w:hideMark/>
          </w:tcPr>
          <w:p w:rsidR="009E35BE" w:rsidRPr="00411F87" w:rsidRDefault="009E35BE" w:rsidP="00832031">
            <w:pPr>
              <w:spacing w:after="0"/>
              <w:jc w:val="right"/>
              <w:rPr>
                <w:rFonts w:ascii="Calibri" w:hAnsi="Calibri" w:cs="Calibri"/>
                <w:color w:val="000000"/>
                <w:sz w:val="20"/>
                <w:szCs w:val="20"/>
              </w:rPr>
            </w:pPr>
            <w:r w:rsidRPr="00411F87">
              <w:rPr>
                <w:rFonts w:ascii="Calibri" w:hAnsi="Calibri" w:cs="Calibri"/>
                <w:color w:val="000000"/>
                <w:sz w:val="20"/>
                <w:szCs w:val="20"/>
              </w:rPr>
              <w:t xml:space="preserve"> 1.165 </w:t>
            </w:r>
          </w:p>
        </w:tc>
        <w:tc>
          <w:tcPr>
            <w:tcW w:w="1768" w:type="dxa"/>
            <w:tcBorders>
              <w:top w:val="single" w:sz="4" w:space="0" w:color="auto"/>
              <w:left w:val="single" w:sz="4" w:space="0" w:color="auto"/>
              <w:bottom w:val="single" w:sz="4" w:space="0" w:color="auto"/>
              <w:right w:val="single" w:sz="4" w:space="0" w:color="auto"/>
            </w:tcBorders>
            <w:noWrap/>
            <w:vAlign w:val="bottom"/>
            <w:hideMark/>
          </w:tcPr>
          <w:p w:rsidR="009E35BE" w:rsidRPr="00411F87" w:rsidRDefault="009E35BE" w:rsidP="00832031">
            <w:pPr>
              <w:spacing w:after="0"/>
              <w:jc w:val="right"/>
              <w:rPr>
                <w:rFonts w:ascii="Calibri" w:hAnsi="Calibri" w:cs="Calibri"/>
                <w:color w:val="000000"/>
                <w:sz w:val="20"/>
                <w:szCs w:val="20"/>
              </w:rPr>
            </w:pPr>
            <w:r w:rsidRPr="00411F87">
              <w:rPr>
                <w:rFonts w:ascii="Calibri" w:hAnsi="Calibri" w:cs="Calibri"/>
                <w:color w:val="000000"/>
                <w:sz w:val="20"/>
                <w:szCs w:val="20"/>
              </w:rPr>
              <w:t xml:space="preserve"> 232 </w:t>
            </w:r>
          </w:p>
        </w:tc>
        <w:tc>
          <w:tcPr>
            <w:tcW w:w="1768" w:type="dxa"/>
            <w:tcBorders>
              <w:top w:val="single" w:sz="4" w:space="0" w:color="auto"/>
              <w:left w:val="single" w:sz="4" w:space="0" w:color="auto"/>
              <w:bottom w:val="single" w:sz="4" w:space="0" w:color="auto"/>
              <w:right w:val="single" w:sz="4" w:space="0" w:color="auto"/>
            </w:tcBorders>
            <w:noWrap/>
            <w:vAlign w:val="bottom"/>
            <w:hideMark/>
          </w:tcPr>
          <w:p w:rsidR="009E35BE" w:rsidRPr="00411F87" w:rsidRDefault="009E35BE" w:rsidP="00832031">
            <w:pPr>
              <w:spacing w:after="0"/>
              <w:jc w:val="right"/>
              <w:rPr>
                <w:rFonts w:ascii="Calibri" w:hAnsi="Calibri" w:cs="Calibri"/>
                <w:color w:val="000000"/>
                <w:sz w:val="20"/>
                <w:szCs w:val="20"/>
              </w:rPr>
            </w:pPr>
            <w:r w:rsidRPr="00411F87">
              <w:rPr>
                <w:rFonts w:ascii="Calibri" w:hAnsi="Calibri" w:cs="Calibri"/>
                <w:color w:val="000000"/>
                <w:sz w:val="20"/>
                <w:szCs w:val="20"/>
              </w:rPr>
              <w:t xml:space="preserve"> 633 </w:t>
            </w:r>
          </w:p>
        </w:tc>
        <w:tc>
          <w:tcPr>
            <w:tcW w:w="1768" w:type="dxa"/>
            <w:tcBorders>
              <w:top w:val="single" w:sz="4" w:space="0" w:color="auto"/>
              <w:left w:val="single" w:sz="4" w:space="0" w:color="auto"/>
              <w:bottom w:val="single" w:sz="4" w:space="0" w:color="auto"/>
              <w:right w:val="single" w:sz="4" w:space="0" w:color="auto"/>
            </w:tcBorders>
            <w:noWrap/>
            <w:vAlign w:val="bottom"/>
            <w:hideMark/>
          </w:tcPr>
          <w:p w:rsidR="009E35BE" w:rsidRPr="00411F87" w:rsidRDefault="009E35BE" w:rsidP="00832031">
            <w:pPr>
              <w:spacing w:after="0"/>
              <w:jc w:val="right"/>
              <w:rPr>
                <w:rFonts w:ascii="Calibri" w:hAnsi="Calibri" w:cs="Calibri"/>
                <w:color w:val="000000"/>
                <w:sz w:val="20"/>
                <w:szCs w:val="20"/>
              </w:rPr>
            </w:pPr>
            <w:r w:rsidRPr="00411F87">
              <w:rPr>
                <w:rFonts w:ascii="Calibri" w:hAnsi="Calibri" w:cs="Calibri"/>
                <w:color w:val="000000"/>
                <w:sz w:val="20"/>
                <w:szCs w:val="20"/>
              </w:rPr>
              <w:t xml:space="preserve">-280 </w:t>
            </w:r>
          </w:p>
        </w:tc>
      </w:tr>
      <w:tr w:rsidR="009E35BE" w:rsidRPr="00E12853" w:rsidTr="00832031">
        <w:trPr>
          <w:trHeight w:val="300"/>
        </w:trPr>
        <w:tc>
          <w:tcPr>
            <w:tcW w:w="788" w:type="dxa"/>
            <w:tcBorders>
              <w:top w:val="single" w:sz="4" w:space="0" w:color="auto"/>
              <w:left w:val="single" w:sz="4" w:space="0" w:color="auto"/>
              <w:bottom w:val="single" w:sz="4" w:space="0" w:color="auto"/>
              <w:right w:val="single" w:sz="4" w:space="0" w:color="auto"/>
            </w:tcBorders>
            <w:vAlign w:val="bottom"/>
            <w:hideMark/>
          </w:tcPr>
          <w:p w:rsidR="009E35BE" w:rsidRPr="00E12853" w:rsidRDefault="009E35BE" w:rsidP="00832031">
            <w:pPr>
              <w:spacing w:after="0" w:line="240" w:lineRule="auto"/>
              <w:rPr>
                <w:rFonts w:ascii="Calibri" w:eastAsia="Times New Roman" w:hAnsi="Calibri" w:cs="Calibri"/>
                <w:color w:val="000000"/>
                <w:sz w:val="20"/>
                <w:szCs w:val="20"/>
                <w:lang w:eastAsia="it-IT"/>
              </w:rPr>
            </w:pPr>
            <w:r w:rsidRPr="00E12853">
              <w:rPr>
                <w:rFonts w:ascii="Calibri" w:eastAsia="Times New Roman" w:hAnsi="Calibri" w:cs="Calibri"/>
                <w:color w:val="000000"/>
                <w:sz w:val="20"/>
                <w:szCs w:val="20"/>
                <w:lang w:eastAsia="it-IT"/>
              </w:rPr>
              <w:t>2012</w:t>
            </w:r>
          </w:p>
        </w:tc>
        <w:tc>
          <w:tcPr>
            <w:tcW w:w="1768" w:type="dxa"/>
            <w:tcBorders>
              <w:top w:val="single" w:sz="4" w:space="0" w:color="auto"/>
              <w:left w:val="single" w:sz="4" w:space="0" w:color="auto"/>
              <w:bottom w:val="single" w:sz="4" w:space="0" w:color="auto"/>
              <w:right w:val="single" w:sz="4" w:space="0" w:color="auto"/>
            </w:tcBorders>
            <w:noWrap/>
            <w:vAlign w:val="bottom"/>
            <w:hideMark/>
          </w:tcPr>
          <w:p w:rsidR="009E35BE" w:rsidRPr="00411F87" w:rsidRDefault="009E35BE" w:rsidP="00832031">
            <w:pPr>
              <w:spacing w:after="0"/>
              <w:jc w:val="right"/>
              <w:rPr>
                <w:rFonts w:ascii="Calibri" w:hAnsi="Calibri" w:cs="Calibri"/>
                <w:color w:val="000000"/>
                <w:sz w:val="20"/>
                <w:szCs w:val="20"/>
              </w:rPr>
            </w:pPr>
            <w:r w:rsidRPr="00411F87">
              <w:rPr>
                <w:rFonts w:ascii="Calibri" w:hAnsi="Calibri" w:cs="Calibri"/>
                <w:color w:val="000000"/>
                <w:sz w:val="20"/>
                <w:szCs w:val="20"/>
              </w:rPr>
              <w:t xml:space="preserve"> 1.079 </w:t>
            </w:r>
          </w:p>
        </w:tc>
        <w:tc>
          <w:tcPr>
            <w:tcW w:w="1768" w:type="dxa"/>
            <w:tcBorders>
              <w:top w:val="single" w:sz="4" w:space="0" w:color="auto"/>
              <w:left w:val="single" w:sz="4" w:space="0" w:color="auto"/>
              <w:bottom w:val="single" w:sz="4" w:space="0" w:color="auto"/>
              <w:right w:val="single" w:sz="4" w:space="0" w:color="auto"/>
            </w:tcBorders>
            <w:noWrap/>
            <w:vAlign w:val="bottom"/>
            <w:hideMark/>
          </w:tcPr>
          <w:p w:rsidR="009E35BE" w:rsidRPr="00411F87" w:rsidRDefault="009E35BE" w:rsidP="00832031">
            <w:pPr>
              <w:spacing w:after="0"/>
              <w:jc w:val="right"/>
              <w:rPr>
                <w:rFonts w:ascii="Calibri" w:hAnsi="Calibri" w:cs="Calibri"/>
                <w:color w:val="000000"/>
                <w:sz w:val="20"/>
                <w:szCs w:val="20"/>
              </w:rPr>
            </w:pPr>
            <w:r w:rsidRPr="00411F87">
              <w:rPr>
                <w:rFonts w:ascii="Calibri" w:hAnsi="Calibri" w:cs="Calibri"/>
                <w:color w:val="000000"/>
                <w:sz w:val="20"/>
                <w:szCs w:val="20"/>
              </w:rPr>
              <w:t xml:space="preserve"> 1.374 </w:t>
            </w:r>
          </w:p>
        </w:tc>
        <w:tc>
          <w:tcPr>
            <w:tcW w:w="1768" w:type="dxa"/>
            <w:tcBorders>
              <w:top w:val="single" w:sz="4" w:space="0" w:color="auto"/>
              <w:left w:val="single" w:sz="4" w:space="0" w:color="auto"/>
              <w:bottom w:val="single" w:sz="4" w:space="0" w:color="auto"/>
              <w:right w:val="single" w:sz="4" w:space="0" w:color="auto"/>
            </w:tcBorders>
            <w:noWrap/>
            <w:vAlign w:val="bottom"/>
            <w:hideMark/>
          </w:tcPr>
          <w:p w:rsidR="009E35BE" w:rsidRPr="00411F87" w:rsidRDefault="009E35BE" w:rsidP="00832031">
            <w:pPr>
              <w:spacing w:after="0"/>
              <w:jc w:val="right"/>
              <w:rPr>
                <w:rFonts w:ascii="Calibri" w:hAnsi="Calibri" w:cs="Calibri"/>
                <w:color w:val="000000"/>
                <w:sz w:val="20"/>
                <w:szCs w:val="20"/>
              </w:rPr>
            </w:pPr>
            <w:r w:rsidRPr="00411F87">
              <w:rPr>
                <w:rFonts w:ascii="Calibri" w:hAnsi="Calibri" w:cs="Calibri"/>
                <w:color w:val="000000"/>
                <w:sz w:val="20"/>
                <w:szCs w:val="20"/>
              </w:rPr>
              <w:t xml:space="preserve"> 326 </w:t>
            </w:r>
          </w:p>
        </w:tc>
        <w:tc>
          <w:tcPr>
            <w:tcW w:w="1768" w:type="dxa"/>
            <w:tcBorders>
              <w:top w:val="single" w:sz="4" w:space="0" w:color="auto"/>
              <w:left w:val="single" w:sz="4" w:space="0" w:color="auto"/>
              <w:bottom w:val="single" w:sz="4" w:space="0" w:color="auto"/>
              <w:right w:val="single" w:sz="4" w:space="0" w:color="auto"/>
            </w:tcBorders>
            <w:noWrap/>
            <w:vAlign w:val="bottom"/>
            <w:hideMark/>
          </w:tcPr>
          <w:p w:rsidR="009E35BE" w:rsidRPr="00411F87" w:rsidRDefault="009E35BE" w:rsidP="00832031">
            <w:pPr>
              <w:spacing w:after="0"/>
              <w:jc w:val="right"/>
              <w:rPr>
                <w:rFonts w:ascii="Calibri" w:hAnsi="Calibri" w:cs="Calibri"/>
                <w:color w:val="000000"/>
                <w:sz w:val="20"/>
                <w:szCs w:val="20"/>
              </w:rPr>
            </w:pPr>
            <w:r w:rsidRPr="00411F87">
              <w:rPr>
                <w:rFonts w:ascii="Calibri" w:hAnsi="Calibri" w:cs="Calibri"/>
                <w:color w:val="000000"/>
                <w:sz w:val="20"/>
                <w:szCs w:val="20"/>
              </w:rPr>
              <w:t xml:space="preserve"> 330 </w:t>
            </w:r>
          </w:p>
        </w:tc>
        <w:tc>
          <w:tcPr>
            <w:tcW w:w="1768" w:type="dxa"/>
            <w:tcBorders>
              <w:top w:val="single" w:sz="4" w:space="0" w:color="auto"/>
              <w:left w:val="single" w:sz="4" w:space="0" w:color="auto"/>
              <w:bottom w:val="single" w:sz="4" w:space="0" w:color="auto"/>
              <w:right w:val="single" w:sz="4" w:space="0" w:color="auto"/>
            </w:tcBorders>
            <w:noWrap/>
            <w:vAlign w:val="bottom"/>
            <w:hideMark/>
          </w:tcPr>
          <w:p w:rsidR="009E35BE" w:rsidRPr="00411F87" w:rsidRDefault="009E35BE" w:rsidP="00832031">
            <w:pPr>
              <w:spacing w:after="0"/>
              <w:jc w:val="right"/>
              <w:rPr>
                <w:rFonts w:ascii="Calibri" w:hAnsi="Calibri" w:cs="Calibri"/>
                <w:color w:val="000000"/>
                <w:sz w:val="20"/>
                <w:szCs w:val="20"/>
              </w:rPr>
            </w:pPr>
            <w:r w:rsidRPr="00411F87">
              <w:rPr>
                <w:rFonts w:ascii="Calibri" w:hAnsi="Calibri" w:cs="Calibri"/>
                <w:color w:val="000000"/>
                <w:sz w:val="20"/>
                <w:szCs w:val="20"/>
              </w:rPr>
              <w:t xml:space="preserve">-295 </w:t>
            </w:r>
          </w:p>
        </w:tc>
      </w:tr>
      <w:tr w:rsidR="009E35BE" w:rsidRPr="00E12853" w:rsidTr="00832031">
        <w:trPr>
          <w:trHeight w:val="300"/>
        </w:trPr>
        <w:tc>
          <w:tcPr>
            <w:tcW w:w="788" w:type="dxa"/>
            <w:tcBorders>
              <w:top w:val="single" w:sz="4" w:space="0" w:color="auto"/>
              <w:left w:val="single" w:sz="4" w:space="0" w:color="auto"/>
              <w:bottom w:val="single" w:sz="4" w:space="0" w:color="auto"/>
              <w:right w:val="single" w:sz="4" w:space="0" w:color="auto"/>
            </w:tcBorders>
            <w:vAlign w:val="bottom"/>
            <w:hideMark/>
          </w:tcPr>
          <w:p w:rsidR="009E35BE" w:rsidRPr="00E12853" w:rsidRDefault="009E35BE" w:rsidP="00832031">
            <w:pPr>
              <w:spacing w:after="0" w:line="240" w:lineRule="auto"/>
              <w:rPr>
                <w:rFonts w:ascii="Calibri" w:eastAsia="Times New Roman" w:hAnsi="Calibri" w:cs="Calibri"/>
                <w:color w:val="000000"/>
                <w:sz w:val="20"/>
                <w:szCs w:val="20"/>
                <w:lang w:eastAsia="it-IT"/>
              </w:rPr>
            </w:pPr>
            <w:r w:rsidRPr="00E12853">
              <w:rPr>
                <w:rFonts w:ascii="Calibri" w:eastAsia="Times New Roman" w:hAnsi="Calibri" w:cs="Calibri"/>
                <w:color w:val="000000"/>
                <w:sz w:val="20"/>
                <w:szCs w:val="20"/>
                <w:lang w:eastAsia="it-IT"/>
              </w:rPr>
              <w:t>2013</w:t>
            </w:r>
          </w:p>
        </w:tc>
        <w:tc>
          <w:tcPr>
            <w:tcW w:w="1768" w:type="dxa"/>
            <w:tcBorders>
              <w:top w:val="single" w:sz="4" w:space="0" w:color="auto"/>
              <w:left w:val="single" w:sz="4" w:space="0" w:color="auto"/>
              <w:bottom w:val="single" w:sz="4" w:space="0" w:color="auto"/>
              <w:right w:val="single" w:sz="4" w:space="0" w:color="auto"/>
            </w:tcBorders>
            <w:noWrap/>
            <w:vAlign w:val="bottom"/>
            <w:hideMark/>
          </w:tcPr>
          <w:p w:rsidR="009E35BE" w:rsidRPr="00411F87" w:rsidRDefault="009E35BE" w:rsidP="00832031">
            <w:pPr>
              <w:spacing w:after="0"/>
              <w:jc w:val="right"/>
              <w:rPr>
                <w:rFonts w:ascii="Calibri" w:hAnsi="Calibri" w:cs="Calibri"/>
                <w:color w:val="000000"/>
                <w:sz w:val="20"/>
                <w:szCs w:val="20"/>
              </w:rPr>
            </w:pPr>
            <w:r w:rsidRPr="00411F87">
              <w:rPr>
                <w:rFonts w:ascii="Calibri" w:hAnsi="Calibri" w:cs="Calibri"/>
                <w:color w:val="000000"/>
                <w:sz w:val="20"/>
                <w:szCs w:val="20"/>
              </w:rPr>
              <w:t xml:space="preserve"> 1.232 </w:t>
            </w:r>
          </w:p>
        </w:tc>
        <w:tc>
          <w:tcPr>
            <w:tcW w:w="1768" w:type="dxa"/>
            <w:tcBorders>
              <w:top w:val="single" w:sz="4" w:space="0" w:color="auto"/>
              <w:left w:val="single" w:sz="4" w:space="0" w:color="auto"/>
              <w:bottom w:val="single" w:sz="4" w:space="0" w:color="auto"/>
              <w:right w:val="single" w:sz="4" w:space="0" w:color="auto"/>
            </w:tcBorders>
            <w:noWrap/>
            <w:vAlign w:val="bottom"/>
            <w:hideMark/>
          </w:tcPr>
          <w:p w:rsidR="009E35BE" w:rsidRPr="00411F87" w:rsidRDefault="009E35BE" w:rsidP="00832031">
            <w:pPr>
              <w:spacing w:after="0"/>
              <w:jc w:val="right"/>
              <w:rPr>
                <w:rFonts w:ascii="Calibri" w:hAnsi="Calibri" w:cs="Calibri"/>
                <w:color w:val="000000"/>
                <w:sz w:val="20"/>
                <w:szCs w:val="20"/>
              </w:rPr>
            </w:pPr>
            <w:r w:rsidRPr="00411F87">
              <w:rPr>
                <w:rFonts w:ascii="Calibri" w:hAnsi="Calibri" w:cs="Calibri"/>
                <w:color w:val="000000"/>
                <w:sz w:val="20"/>
                <w:szCs w:val="20"/>
              </w:rPr>
              <w:t xml:space="preserve"> 1.034 </w:t>
            </w:r>
          </w:p>
        </w:tc>
        <w:tc>
          <w:tcPr>
            <w:tcW w:w="1768" w:type="dxa"/>
            <w:tcBorders>
              <w:top w:val="single" w:sz="4" w:space="0" w:color="auto"/>
              <w:left w:val="single" w:sz="4" w:space="0" w:color="auto"/>
              <w:bottom w:val="single" w:sz="4" w:space="0" w:color="auto"/>
              <w:right w:val="single" w:sz="4" w:space="0" w:color="auto"/>
            </w:tcBorders>
            <w:noWrap/>
            <w:vAlign w:val="bottom"/>
            <w:hideMark/>
          </w:tcPr>
          <w:p w:rsidR="009E35BE" w:rsidRPr="00411F87" w:rsidRDefault="009E35BE" w:rsidP="00832031">
            <w:pPr>
              <w:spacing w:after="0"/>
              <w:jc w:val="right"/>
              <w:rPr>
                <w:rFonts w:ascii="Calibri" w:hAnsi="Calibri" w:cs="Calibri"/>
                <w:color w:val="000000"/>
                <w:sz w:val="20"/>
                <w:szCs w:val="20"/>
              </w:rPr>
            </w:pPr>
            <w:r w:rsidRPr="00411F87">
              <w:rPr>
                <w:rFonts w:ascii="Calibri" w:hAnsi="Calibri" w:cs="Calibri"/>
                <w:color w:val="000000"/>
                <w:sz w:val="20"/>
                <w:szCs w:val="20"/>
              </w:rPr>
              <w:t xml:space="preserve"> 309 </w:t>
            </w:r>
          </w:p>
        </w:tc>
        <w:tc>
          <w:tcPr>
            <w:tcW w:w="1768" w:type="dxa"/>
            <w:tcBorders>
              <w:top w:val="single" w:sz="4" w:space="0" w:color="auto"/>
              <w:left w:val="single" w:sz="4" w:space="0" w:color="auto"/>
              <w:bottom w:val="single" w:sz="4" w:space="0" w:color="auto"/>
              <w:right w:val="single" w:sz="4" w:space="0" w:color="auto"/>
            </w:tcBorders>
            <w:noWrap/>
            <w:vAlign w:val="bottom"/>
            <w:hideMark/>
          </w:tcPr>
          <w:p w:rsidR="009E35BE" w:rsidRPr="00411F87" w:rsidRDefault="009E35BE" w:rsidP="00832031">
            <w:pPr>
              <w:spacing w:after="0"/>
              <w:jc w:val="right"/>
              <w:rPr>
                <w:rFonts w:ascii="Calibri" w:hAnsi="Calibri" w:cs="Calibri"/>
                <w:color w:val="000000"/>
                <w:sz w:val="20"/>
                <w:szCs w:val="20"/>
              </w:rPr>
            </w:pPr>
            <w:r w:rsidRPr="00411F87">
              <w:rPr>
                <w:rFonts w:ascii="Calibri" w:hAnsi="Calibri" w:cs="Calibri"/>
                <w:color w:val="000000"/>
                <w:sz w:val="20"/>
                <w:szCs w:val="20"/>
              </w:rPr>
              <w:t xml:space="preserve"> 376 </w:t>
            </w:r>
          </w:p>
        </w:tc>
        <w:tc>
          <w:tcPr>
            <w:tcW w:w="1768" w:type="dxa"/>
            <w:tcBorders>
              <w:top w:val="single" w:sz="4" w:space="0" w:color="auto"/>
              <w:left w:val="single" w:sz="4" w:space="0" w:color="auto"/>
              <w:bottom w:val="single" w:sz="4" w:space="0" w:color="auto"/>
              <w:right w:val="single" w:sz="4" w:space="0" w:color="auto"/>
            </w:tcBorders>
            <w:noWrap/>
            <w:vAlign w:val="bottom"/>
            <w:hideMark/>
          </w:tcPr>
          <w:p w:rsidR="009E35BE" w:rsidRPr="00411F87" w:rsidRDefault="009E35BE" w:rsidP="00832031">
            <w:pPr>
              <w:spacing w:after="0"/>
              <w:jc w:val="right"/>
              <w:rPr>
                <w:rFonts w:ascii="Calibri" w:hAnsi="Calibri" w:cs="Calibri"/>
                <w:color w:val="000000"/>
                <w:sz w:val="20"/>
                <w:szCs w:val="20"/>
              </w:rPr>
            </w:pPr>
            <w:r w:rsidRPr="00411F87">
              <w:rPr>
                <w:rFonts w:ascii="Calibri" w:hAnsi="Calibri" w:cs="Calibri"/>
                <w:color w:val="000000"/>
                <w:sz w:val="20"/>
                <w:szCs w:val="20"/>
              </w:rPr>
              <w:t xml:space="preserve"> 198 </w:t>
            </w:r>
          </w:p>
        </w:tc>
      </w:tr>
      <w:tr w:rsidR="009E35BE" w:rsidRPr="00E12853" w:rsidTr="00832031">
        <w:trPr>
          <w:trHeight w:val="300"/>
        </w:trPr>
        <w:tc>
          <w:tcPr>
            <w:tcW w:w="788" w:type="dxa"/>
            <w:tcBorders>
              <w:top w:val="single" w:sz="4" w:space="0" w:color="auto"/>
              <w:left w:val="single" w:sz="4" w:space="0" w:color="auto"/>
              <w:bottom w:val="single" w:sz="4" w:space="0" w:color="auto"/>
              <w:right w:val="single" w:sz="4" w:space="0" w:color="auto"/>
            </w:tcBorders>
            <w:vAlign w:val="bottom"/>
            <w:hideMark/>
          </w:tcPr>
          <w:p w:rsidR="009E35BE" w:rsidRPr="00E12853" w:rsidRDefault="009E35BE" w:rsidP="00832031">
            <w:pPr>
              <w:spacing w:after="0" w:line="240" w:lineRule="auto"/>
              <w:rPr>
                <w:rFonts w:ascii="Calibri" w:eastAsia="Times New Roman" w:hAnsi="Calibri" w:cs="Calibri"/>
                <w:color w:val="000000"/>
                <w:sz w:val="20"/>
                <w:szCs w:val="20"/>
                <w:lang w:eastAsia="it-IT"/>
              </w:rPr>
            </w:pPr>
            <w:r w:rsidRPr="00E12853">
              <w:rPr>
                <w:rFonts w:ascii="Calibri" w:eastAsia="Times New Roman" w:hAnsi="Calibri" w:cs="Calibri"/>
                <w:color w:val="000000"/>
                <w:sz w:val="20"/>
                <w:szCs w:val="20"/>
                <w:lang w:eastAsia="it-IT"/>
              </w:rPr>
              <w:t>2014</w:t>
            </w:r>
          </w:p>
        </w:tc>
        <w:tc>
          <w:tcPr>
            <w:tcW w:w="1768" w:type="dxa"/>
            <w:tcBorders>
              <w:top w:val="single" w:sz="4" w:space="0" w:color="auto"/>
              <w:left w:val="single" w:sz="4" w:space="0" w:color="auto"/>
              <w:bottom w:val="single" w:sz="4" w:space="0" w:color="auto"/>
              <w:right w:val="single" w:sz="4" w:space="0" w:color="auto"/>
            </w:tcBorders>
            <w:noWrap/>
            <w:vAlign w:val="bottom"/>
            <w:hideMark/>
          </w:tcPr>
          <w:p w:rsidR="009E35BE" w:rsidRPr="00411F87" w:rsidRDefault="009E35BE" w:rsidP="00832031">
            <w:pPr>
              <w:spacing w:after="0"/>
              <w:jc w:val="right"/>
              <w:rPr>
                <w:rFonts w:ascii="Calibri" w:hAnsi="Calibri" w:cs="Calibri"/>
                <w:color w:val="000000"/>
                <w:sz w:val="20"/>
                <w:szCs w:val="20"/>
              </w:rPr>
            </w:pPr>
            <w:r w:rsidRPr="00411F87">
              <w:rPr>
                <w:rFonts w:ascii="Calibri" w:hAnsi="Calibri" w:cs="Calibri"/>
                <w:color w:val="000000"/>
                <w:sz w:val="20"/>
                <w:szCs w:val="20"/>
              </w:rPr>
              <w:t xml:space="preserve"> 1.551 </w:t>
            </w:r>
          </w:p>
        </w:tc>
        <w:tc>
          <w:tcPr>
            <w:tcW w:w="1768" w:type="dxa"/>
            <w:tcBorders>
              <w:top w:val="single" w:sz="4" w:space="0" w:color="auto"/>
              <w:left w:val="single" w:sz="4" w:space="0" w:color="auto"/>
              <w:bottom w:val="single" w:sz="4" w:space="0" w:color="auto"/>
              <w:right w:val="single" w:sz="4" w:space="0" w:color="auto"/>
            </w:tcBorders>
            <w:noWrap/>
            <w:vAlign w:val="bottom"/>
            <w:hideMark/>
          </w:tcPr>
          <w:p w:rsidR="009E35BE" w:rsidRPr="00411F87" w:rsidRDefault="009E35BE" w:rsidP="00832031">
            <w:pPr>
              <w:spacing w:after="0"/>
              <w:jc w:val="right"/>
              <w:rPr>
                <w:rFonts w:ascii="Calibri" w:hAnsi="Calibri" w:cs="Calibri"/>
                <w:color w:val="000000"/>
                <w:sz w:val="20"/>
                <w:szCs w:val="20"/>
              </w:rPr>
            </w:pPr>
            <w:r w:rsidRPr="00411F87">
              <w:rPr>
                <w:rFonts w:ascii="Calibri" w:hAnsi="Calibri" w:cs="Calibri"/>
                <w:color w:val="000000"/>
                <w:sz w:val="20"/>
                <w:szCs w:val="20"/>
              </w:rPr>
              <w:t xml:space="preserve"> 1.269 </w:t>
            </w:r>
          </w:p>
        </w:tc>
        <w:tc>
          <w:tcPr>
            <w:tcW w:w="1768" w:type="dxa"/>
            <w:tcBorders>
              <w:top w:val="single" w:sz="4" w:space="0" w:color="auto"/>
              <w:left w:val="single" w:sz="4" w:space="0" w:color="auto"/>
              <w:bottom w:val="single" w:sz="4" w:space="0" w:color="auto"/>
              <w:right w:val="single" w:sz="4" w:space="0" w:color="auto"/>
            </w:tcBorders>
            <w:noWrap/>
            <w:vAlign w:val="bottom"/>
            <w:hideMark/>
          </w:tcPr>
          <w:p w:rsidR="009E35BE" w:rsidRPr="00411F87" w:rsidRDefault="009E35BE" w:rsidP="00832031">
            <w:pPr>
              <w:spacing w:after="0"/>
              <w:jc w:val="right"/>
              <w:rPr>
                <w:rFonts w:ascii="Calibri" w:hAnsi="Calibri" w:cs="Calibri"/>
                <w:color w:val="000000"/>
                <w:sz w:val="20"/>
                <w:szCs w:val="20"/>
              </w:rPr>
            </w:pPr>
            <w:r w:rsidRPr="00411F87">
              <w:rPr>
                <w:rFonts w:ascii="Calibri" w:hAnsi="Calibri" w:cs="Calibri"/>
                <w:color w:val="000000"/>
                <w:sz w:val="20"/>
                <w:szCs w:val="20"/>
              </w:rPr>
              <w:t xml:space="preserve"> 559 </w:t>
            </w:r>
          </w:p>
        </w:tc>
        <w:tc>
          <w:tcPr>
            <w:tcW w:w="1768" w:type="dxa"/>
            <w:tcBorders>
              <w:top w:val="single" w:sz="4" w:space="0" w:color="auto"/>
              <w:left w:val="single" w:sz="4" w:space="0" w:color="auto"/>
              <w:bottom w:val="single" w:sz="4" w:space="0" w:color="auto"/>
              <w:right w:val="single" w:sz="4" w:space="0" w:color="auto"/>
            </w:tcBorders>
            <w:noWrap/>
            <w:vAlign w:val="bottom"/>
            <w:hideMark/>
          </w:tcPr>
          <w:p w:rsidR="009E35BE" w:rsidRPr="00411F87" w:rsidRDefault="009E35BE" w:rsidP="00832031">
            <w:pPr>
              <w:spacing w:after="0"/>
              <w:jc w:val="right"/>
              <w:rPr>
                <w:rFonts w:ascii="Calibri" w:hAnsi="Calibri" w:cs="Calibri"/>
                <w:color w:val="000000"/>
                <w:sz w:val="20"/>
                <w:szCs w:val="20"/>
              </w:rPr>
            </w:pPr>
            <w:r w:rsidRPr="00411F87">
              <w:rPr>
                <w:rFonts w:ascii="Calibri" w:hAnsi="Calibri" w:cs="Calibri"/>
                <w:color w:val="000000"/>
                <w:sz w:val="20"/>
                <w:szCs w:val="20"/>
              </w:rPr>
              <w:t xml:space="preserve"> 326 </w:t>
            </w:r>
          </w:p>
        </w:tc>
        <w:tc>
          <w:tcPr>
            <w:tcW w:w="1768" w:type="dxa"/>
            <w:tcBorders>
              <w:top w:val="single" w:sz="4" w:space="0" w:color="auto"/>
              <w:left w:val="single" w:sz="4" w:space="0" w:color="auto"/>
              <w:bottom w:val="single" w:sz="4" w:space="0" w:color="auto"/>
              <w:right w:val="single" w:sz="4" w:space="0" w:color="auto"/>
            </w:tcBorders>
            <w:noWrap/>
            <w:vAlign w:val="bottom"/>
            <w:hideMark/>
          </w:tcPr>
          <w:p w:rsidR="009E35BE" w:rsidRPr="00411F87" w:rsidRDefault="009E35BE" w:rsidP="00832031">
            <w:pPr>
              <w:spacing w:after="0"/>
              <w:jc w:val="right"/>
              <w:rPr>
                <w:rFonts w:ascii="Calibri" w:hAnsi="Calibri" w:cs="Calibri"/>
                <w:color w:val="000000"/>
                <w:sz w:val="20"/>
                <w:szCs w:val="20"/>
              </w:rPr>
            </w:pPr>
            <w:r w:rsidRPr="00411F87">
              <w:rPr>
                <w:rFonts w:ascii="Calibri" w:hAnsi="Calibri" w:cs="Calibri"/>
                <w:color w:val="000000"/>
                <w:sz w:val="20"/>
                <w:szCs w:val="20"/>
              </w:rPr>
              <w:t xml:space="preserve"> 282 </w:t>
            </w:r>
          </w:p>
        </w:tc>
      </w:tr>
      <w:tr w:rsidR="009E35BE" w:rsidRPr="00E12853" w:rsidTr="00832031">
        <w:trPr>
          <w:trHeight w:val="300"/>
        </w:trPr>
        <w:tc>
          <w:tcPr>
            <w:tcW w:w="788" w:type="dxa"/>
            <w:tcBorders>
              <w:top w:val="single" w:sz="4" w:space="0" w:color="auto"/>
              <w:left w:val="single" w:sz="4" w:space="0" w:color="auto"/>
              <w:bottom w:val="single" w:sz="4" w:space="0" w:color="auto"/>
              <w:right w:val="single" w:sz="4" w:space="0" w:color="auto"/>
            </w:tcBorders>
            <w:vAlign w:val="bottom"/>
            <w:hideMark/>
          </w:tcPr>
          <w:p w:rsidR="009E35BE" w:rsidRPr="00E12853" w:rsidRDefault="009E35BE" w:rsidP="00832031">
            <w:pPr>
              <w:spacing w:after="0" w:line="240" w:lineRule="auto"/>
              <w:rPr>
                <w:rFonts w:ascii="Calibri" w:eastAsia="Times New Roman" w:hAnsi="Calibri" w:cs="Calibri"/>
                <w:color w:val="000000"/>
                <w:sz w:val="20"/>
                <w:szCs w:val="20"/>
                <w:lang w:eastAsia="it-IT"/>
              </w:rPr>
            </w:pPr>
            <w:r w:rsidRPr="00E12853">
              <w:rPr>
                <w:rFonts w:ascii="Calibri" w:eastAsia="Times New Roman" w:hAnsi="Calibri" w:cs="Calibri"/>
                <w:color w:val="000000"/>
                <w:sz w:val="20"/>
                <w:szCs w:val="20"/>
                <w:lang w:eastAsia="it-IT"/>
              </w:rPr>
              <w:t>2015</w:t>
            </w:r>
          </w:p>
        </w:tc>
        <w:tc>
          <w:tcPr>
            <w:tcW w:w="1768" w:type="dxa"/>
            <w:tcBorders>
              <w:top w:val="single" w:sz="4" w:space="0" w:color="auto"/>
              <w:left w:val="single" w:sz="4" w:space="0" w:color="auto"/>
              <w:bottom w:val="single" w:sz="4" w:space="0" w:color="auto"/>
              <w:right w:val="single" w:sz="4" w:space="0" w:color="auto"/>
            </w:tcBorders>
            <w:noWrap/>
            <w:vAlign w:val="bottom"/>
            <w:hideMark/>
          </w:tcPr>
          <w:p w:rsidR="009E35BE" w:rsidRPr="00411F87" w:rsidRDefault="009E35BE" w:rsidP="00832031">
            <w:pPr>
              <w:spacing w:after="0"/>
              <w:jc w:val="right"/>
              <w:rPr>
                <w:rFonts w:ascii="Calibri" w:hAnsi="Calibri" w:cs="Calibri"/>
                <w:color w:val="000000"/>
                <w:sz w:val="20"/>
                <w:szCs w:val="20"/>
              </w:rPr>
            </w:pPr>
            <w:r w:rsidRPr="00411F87">
              <w:rPr>
                <w:rFonts w:ascii="Calibri" w:hAnsi="Calibri" w:cs="Calibri"/>
                <w:color w:val="000000"/>
                <w:sz w:val="20"/>
                <w:szCs w:val="20"/>
              </w:rPr>
              <w:t xml:space="preserve"> 1.619 </w:t>
            </w:r>
          </w:p>
        </w:tc>
        <w:tc>
          <w:tcPr>
            <w:tcW w:w="1768" w:type="dxa"/>
            <w:tcBorders>
              <w:top w:val="single" w:sz="4" w:space="0" w:color="auto"/>
              <w:left w:val="single" w:sz="4" w:space="0" w:color="auto"/>
              <w:bottom w:val="single" w:sz="4" w:space="0" w:color="auto"/>
              <w:right w:val="single" w:sz="4" w:space="0" w:color="auto"/>
            </w:tcBorders>
            <w:noWrap/>
            <w:vAlign w:val="bottom"/>
            <w:hideMark/>
          </w:tcPr>
          <w:p w:rsidR="009E35BE" w:rsidRPr="00411F87" w:rsidRDefault="009E35BE" w:rsidP="00832031">
            <w:pPr>
              <w:spacing w:after="0"/>
              <w:jc w:val="right"/>
              <w:rPr>
                <w:rFonts w:ascii="Calibri" w:hAnsi="Calibri" w:cs="Calibri"/>
                <w:color w:val="000000"/>
                <w:sz w:val="20"/>
                <w:szCs w:val="20"/>
              </w:rPr>
            </w:pPr>
            <w:r w:rsidRPr="00411F87">
              <w:rPr>
                <w:rFonts w:ascii="Calibri" w:hAnsi="Calibri" w:cs="Calibri"/>
                <w:color w:val="000000"/>
                <w:sz w:val="20"/>
                <w:szCs w:val="20"/>
              </w:rPr>
              <w:t xml:space="preserve"> 1.395 </w:t>
            </w:r>
          </w:p>
        </w:tc>
        <w:tc>
          <w:tcPr>
            <w:tcW w:w="1768" w:type="dxa"/>
            <w:tcBorders>
              <w:top w:val="single" w:sz="4" w:space="0" w:color="auto"/>
              <w:left w:val="single" w:sz="4" w:space="0" w:color="auto"/>
              <w:bottom w:val="single" w:sz="4" w:space="0" w:color="auto"/>
              <w:right w:val="single" w:sz="4" w:space="0" w:color="auto"/>
            </w:tcBorders>
            <w:noWrap/>
            <w:vAlign w:val="bottom"/>
            <w:hideMark/>
          </w:tcPr>
          <w:p w:rsidR="009E35BE" w:rsidRPr="00411F87" w:rsidRDefault="009E35BE" w:rsidP="00832031">
            <w:pPr>
              <w:spacing w:after="0"/>
              <w:jc w:val="right"/>
              <w:rPr>
                <w:rFonts w:ascii="Calibri" w:hAnsi="Calibri" w:cs="Calibri"/>
                <w:color w:val="000000"/>
                <w:sz w:val="20"/>
                <w:szCs w:val="20"/>
              </w:rPr>
            </w:pPr>
            <w:r w:rsidRPr="00411F87">
              <w:rPr>
                <w:rFonts w:ascii="Calibri" w:hAnsi="Calibri" w:cs="Calibri"/>
                <w:color w:val="000000"/>
                <w:sz w:val="20"/>
                <w:szCs w:val="20"/>
              </w:rPr>
              <w:t xml:space="preserve"> 620 </w:t>
            </w:r>
          </w:p>
        </w:tc>
        <w:tc>
          <w:tcPr>
            <w:tcW w:w="1768" w:type="dxa"/>
            <w:tcBorders>
              <w:top w:val="single" w:sz="4" w:space="0" w:color="auto"/>
              <w:left w:val="single" w:sz="4" w:space="0" w:color="auto"/>
              <w:bottom w:val="single" w:sz="4" w:space="0" w:color="auto"/>
              <w:right w:val="single" w:sz="4" w:space="0" w:color="auto"/>
            </w:tcBorders>
            <w:noWrap/>
            <w:vAlign w:val="bottom"/>
            <w:hideMark/>
          </w:tcPr>
          <w:p w:rsidR="009E35BE" w:rsidRPr="00411F87" w:rsidRDefault="009E35BE" w:rsidP="00832031">
            <w:pPr>
              <w:spacing w:after="0"/>
              <w:jc w:val="right"/>
              <w:rPr>
                <w:rFonts w:ascii="Calibri" w:hAnsi="Calibri" w:cs="Calibri"/>
                <w:color w:val="000000"/>
                <w:sz w:val="20"/>
                <w:szCs w:val="20"/>
              </w:rPr>
            </w:pPr>
            <w:r w:rsidRPr="00411F87">
              <w:rPr>
                <w:rFonts w:ascii="Calibri" w:hAnsi="Calibri" w:cs="Calibri"/>
                <w:color w:val="000000"/>
                <w:sz w:val="20"/>
                <w:szCs w:val="20"/>
              </w:rPr>
              <w:t xml:space="preserve"> 429 </w:t>
            </w:r>
          </w:p>
        </w:tc>
        <w:tc>
          <w:tcPr>
            <w:tcW w:w="1768" w:type="dxa"/>
            <w:tcBorders>
              <w:top w:val="single" w:sz="4" w:space="0" w:color="auto"/>
              <w:left w:val="single" w:sz="4" w:space="0" w:color="auto"/>
              <w:bottom w:val="single" w:sz="4" w:space="0" w:color="auto"/>
              <w:right w:val="single" w:sz="4" w:space="0" w:color="auto"/>
            </w:tcBorders>
            <w:noWrap/>
            <w:vAlign w:val="bottom"/>
            <w:hideMark/>
          </w:tcPr>
          <w:p w:rsidR="009E35BE" w:rsidRPr="00411F87" w:rsidRDefault="009E35BE" w:rsidP="00832031">
            <w:pPr>
              <w:spacing w:after="0"/>
              <w:jc w:val="right"/>
              <w:rPr>
                <w:rFonts w:ascii="Calibri" w:hAnsi="Calibri" w:cs="Calibri"/>
                <w:color w:val="000000"/>
                <w:sz w:val="20"/>
                <w:szCs w:val="20"/>
              </w:rPr>
            </w:pPr>
            <w:r w:rsidRPr="00411F87">
              <w:rPr>
                <w:rFonts w:ascii="Calibri" w:hAnsi="Calibri" w:cs="Calibri"/>
                <w:color w:val="000000"/>
                <w:sz w:val="20"/>
                <w:szCs w:val="20"/>
              </w:rPr>
              <w:t xml:space="preserve"> 224 </w:t>
            </w:r>
          </w:p>
        </w:tc>
      </w:tr>
      <w:tr w:rsidR="009E35BE" w:rsidRPr="00E12853" w:rsidTr="00832031">
        <w:trPr>
          <w:trHeight w:val="300"/>
        </w:trPr>
        <w:tc>
          <w:tcPr>
            <w:tcW w:w="788" w:type="dxa"/>
            <w:tcBorders>
              <w:top w:val="single" w:sz="4" w:space="0" w:color="auto"/>
              <w:left w:val="single" w:sz="4" w:space="0" w:color="auto"/>
              <w:bottom w:val="single" w:sz="4" w:space="0" w:color="auto"/>
              <w:right w:val="single" w:sz="4" w:space="0" w:color="auto"/>
            </w:tcBorders>
            <w:vAlign w:val="bottom"/>
            <w:hideMark/>
          </w:tcPr>
          <w:p w:rsidR="009E35BE" w:rsidRPr="00E12853" w:rsidRDefault="009E35BE" w:rsidP="00832031">
            <w:pPr>
              <w:spacing w:after="0" w:line="240" w:lineRule="auto"/>
              <w:rPr>
                <w:rFonts w:ascii="Calibri" w:eastAsia="Times New Roman" w:hAnsi="Calibri" w:cs="Calibri"/>
                <w:color w:val="000000"/>
                <w:sz w:val="20"/>
                <w:szCs w:val="20"/>
                <w:lang w:eastAsia="it-IT"/>
              </w:rPr>
            </w:pPr>
            <w:r w:rsidRPr="00E12853">
              <w:rPr>
                <w:rFonts w:ascii="Calibri" w:eastAsia="Times New Roman" w:hAnsi="Calibri" w:cs="Calibri"/>
                <w:color w:val="000000"/>
                <w:sz w:val="20"/>
                <w:szCs w:val="20"/>
                <w:lang w:eastAsia="it-IT"/>
              </w:rPr>
              <w:t>2016</w:t>
            </w:r>
          </w:p>
        </w:tc>
        <w:tc>
          <w:tcPr>
            <w:tcW w:w="1768" w:type="dxa"/>
            <w:tcBorders>
              <w:top w:val="single" w:sz="4" w:space="0" w:color="auto"/>
              <w:left w:val="single" w:sz="4" w:space="0" w:color="auto"/>
              <w:bottom w:val="single" w:sz="4" w:space="0" w:color="auto"/>
              <w:right w:val="single" w:sz="4" w:space="0" w:color="auto"/>
            </w:tcBorders>
            <w:noWrap/>
            <w:vAlign w:val="bottom"/>
            <w:hideMark/>
          </w:tcPr>
          <w:p w:rsidR="009E35BE" w:rsidRPr="00411F87" w:rsidRDefault="009E35BE" w:rsidP="00832031">
            <w:pPr>
              <w:spacing w:after="0"/>
              <w:jc w:val="right"/>
              <w:rPr>
                <w:rFonts w:ascii="Calibri" w:hAnsi="Calibri" w:cs="Calibri"/>
                <w:color w:val="000000"/>
                <w:sz w:val="20"/>
                <w:szCs w:val="20"/>
              </w:rPr>
            </w:pPr>
            <w:r w:rsidRPr="00411F87">
              <w:rPr>
                <w:rFonts w:ascii="Calibri" w:hAnsi="Calibri" w:cs="Calibri"/>
                <w:color w:val="000000"/>
                <w:sz w:val="20"/>
                <w:szCs w:val="20"/>
              </w:rPr>
              <w:t xml:space="preserve"> 1.478 </w:t>
            </w:r>
          </w:p>
        </w:tc>
        <w:tc>
          <w:tcPr>
            <w:tcW w:w="1768" w:type="dxa"/>
            <w:tcBorders>
              <w:top w:val="single" w:sz="4" w:space="0" w:color="auto"/>
              <w:left w:val="single" w:sz="4" w:space="0" w:color="auto"/>
              <w:bottom w:val="single" w:sz="4" w:space="0" w:color="auto"/>
              <w:right w:val="single" w:sz="4" w:space="0" w:color="auto"/>
            </w:tcBorders>
            <w:noWrap/>
            <w:vAlign w:val="bottom"/>
            <w:hideMark/>
          </w:tcPr>
          <w:p w:rsidR="009E35BE" w:rsidRPr="00411F87" w:rsidRDefault="009E35BE" w:rsidP="00832031">
            <w:pPr>
              <w:spacing w:after="0"/>
              <w:jc w:val="right"/>
              <w:rPr>
                <w:rFonts w:ascii="Calibri" w:hAnsi="Calibri" w:cs="Calibri"/>
                <w:color w:val="000000"/>
                <w:sz w:val="20"/>
                <w:szCs w:val="20"/>
              </w:rPr>
            </w:pPr>
            <w:r w:rsidRPr="00411F87">
              <w:rPr>
                <w:rFonts w:ascii="Calibri" w:hAnsi="Calibri" w:cs="Calibri"/>
                <w:color w:val="000000"/>
                <w:sz w:val="20"/>
                <w:szCs w:val="20"/>
              </w:rPr>
              <w:t xml:space="preserve"> 1.450 </w:t>
            </w:r>
          </w:p>
        </w:tc>
        <w:tc>
          <w:tcPr>
            <w:tcW w:w="1768" w:type="dxa"/>
            <w:tcBorders>
              <w:top w:val="single" w:sz="4" w:space="0" w:color="auto"/>
              <w:left w:val="single" w:sz="4" w:space="0" w:color="auto"/>
              <w:bottom w:val="single" w:sz="4" w:space="0" w:color="auto"/>
              <w:right w:val="single" w:sz="4" w:space="0" w:color="auto"/>
            </w:tcBorders>
            <w:noWrap/>
            <w:vAlign w:val="bottom"/>
            <w:hideMark/>
          </w:tcPr>
          <w:p w:rsidR="009E35BE" w:rsidRPr="00411F87" w:rsidRDefault="009E35BE" w:rsidP="00832031">
            <w:pPr>
              <w:spacing w:after="0"/>
              <w:jc w:val="right"/>
              <w:rPr>
                <w:rFonts w:ascii="Calibri" w:hAnsi="Calibri" w:cs="Calibri"/>
                <w:color w:val="000000"/>
                <w:sz w:val="20"/>
                <w:szCs w:val="20"/>
              </w:rPr>
            </w:pPr>
            <w:r w:rsidRPr="00411F87">
              <w:rPr>
                <w:rFonts w:ascii="Calibri" w:hAnsi="Calibri" w:cs="Calibri"/>
                <w:color w:val="000000"/>
                <w:sz w:val="20"/>
                <w:szCs w:val="20"/>
              </w:rPr>
              <w:t xml:space="preserve"> 606 </w:t>
            </w:r>
          </w:p>
        </w:tc>
        <w:tc>
          <w:tcPr>
            <w:tcW w:w="1768" w:type="dxa"/>
            <w:tcBorders>
              <w:top w:val="single" w:sz="4" w:space="0" w:color="auto"/>
              <w:left w:val="single" w:sz="4" w:space="0" w:color="auto"/>
              <w:bottom w:val="single" w:sz="4" w:space="0" w:color="auto"/>
              <w:right w:val="single" w:sz="4" w:space="0" w:color="auto"/>
            </w:tcBorders>
            <w:noWrap/>
            <w:vAlign w:val="bottom"/>
            <w:hideMark/>
          </w:tcPr>
          <w:p w:rsidR="009E35BE" w:rsidRPr="00411F87" w:rsidRDefault="009E35BE" w:rsidP="00832031">
            <w:pPr>
              <w:spacing w:after="0"/>
              <w:jc w:val="right"/>
              <w:rPr>
                <w:rFonts w:ascii="Calibri" w:hAnsi="Calibri" w:cs="Calibri"/>
                <w:color w:val="000000"/>
                <w:sz w:val="20"/>
                <w:szCs w:val="20"/>
              </w:rPr>
            </w:pPr>
            <w:r w:rsidRPr="00411F87">
              <w:rPr>
                <w:rFonts w:ascii="Calibri" w:hAnsi="Calibri" w:cs="Calibri"/>
                <w:color w:val="000000"/>
                <w:sz w:val="20"/>
                <w:szCs w:val="20"/>
              </w:rPr>
              <w:t xml:space="preserve"> 334 </w:t>
            </w:r>
          </w:p>
        </w:tc>
        <w:tc>
          <w:tcPr>
            <w:tcW w:w="1768" w:type="dxa"/>
            <w:tcBorders>
              <w:top w:val="single" w:sz="4" w:space="0" w:color="auto"/>
              <w:left w:val="single" w:sz="4" w:space="0" w:color="auto"/>
              <w:bottom w:val="single" w:sz="4" w:space="0" w:color="auto"/>
              <w:right w:val="single" w:sz="4" w:space="0" w:color="auto"/>
            </w:tcBorders>
            <w:noWrap/>
            <w:vAlign w:val="bottom"/>
            <w:hideMark/>
          </w:tcPr>
          <w:p w:rsidR="009E35BE" w:rsidRPr="00411F87" w:rsidRDefault="009E35BE" w:rsidP="00832031">
            <w:pPr>
              <w:spacing w:after="0"/>
              <w:jc w:val="right"/>
              <w:rPr>
                <w:rFonts w:ascii="Calibri" w:hAnsi="Calibri" w:cs="Calibri"/>
                <w:color w:val="000000"/>
                <w:sz w:val="20"/>
                <w:szCs w:val="20"/>
              </w:rPr>
            </w:pPr>
            <w:r w:rsidRPr="00411F87">
              <w:rPr>
                <w:rFonts w:ascii="Calibri" w:hAnsi="Calibri" w:cs="Calibri"/>
                <w:color w:val="000000"/>
                <w:sz w:val="20"/>
                <w:szCs w:val="20"/>
              </w:rPr>
              <w:t xml:space="preserve"> 28 </w:t>
            </w:r>
          </w:p>
        </w:tc>
      </w:tr>
      <w:tr w:rsidR="009E35BE" w:rsidRPr="00E12853" w:rsidTr="00832031">
        <w:trPr>
          <w:trHeight w:val="300"/>
        </w:trPr>
        <w:tc>
          <w:tcPr>
            <w:tcW w:w="788" w:type="dxa"/>
            <w:tcBorders>
              <w:top w:val="single" w:sz="4" w:space="0" w:color="auto"/>
              <w:left w:val="single" w:sz="4" w:space="0" w:color="auto"/>
              <w:bottom w:val="single" w:sz="4" w:space="0" w:color="auto"/>
              <w:right w:val="single" w:sz="4" w:space="0" w:color="auto"/>
            </w:tcBorders>
            <w:vAlign w:val="bottom"/>
            <w:hideMark/>
          </w:tcPr>
          <w:p w:rsidR="009E35BE" w:rsidRPr="00001F1B" w:rsidRDefault="009E35BE" w:rsidP="00832031">
            <w:pPr>
              <w:spacing w:after="0" w:line="240" w:lineRule="auto"/>
              <w:rPr>
                <w:rFonts w:ascii="Calibri" w:eastAsia="Times New Roman" w:hAnsi="Calibri" w:cs="Calibri"/>
                <w:b/>
                <w:color w:val="000000"/>
                <w:sz w:val="20"/>
                <w:szCs w:val="20"/>
                <w:lang w:eastAsia="it-IT"/>
              </w:rPr>
            </w:pPr>
            <w:r w:rsidRPr="00001F1B">
              <w:rPr>
                <w:rFonts w:ascii="Calibri" w:eastAsia="Times New Roman" w:hAnsi="Calibri" w:cs="Calibri"/>
                <w:b/>
                <w:color w:val="000000"/>
                <w:sz w:val="20"/>
                <w:szCs w:val="20"/>
                <w:lang w:eastAsia="it-IT"/>
              </w:rPr>
              <w:t>Totale</w:t>
            </w:r>
          </w:p>
        </w:tc>
        <w:tc>
          <w:tcPr>
            <w:tcW w:w="1768" w:type="dxa"/>
            <w:tcBorders>
              <w:top w:val="single" w:sz="4" w:space="0" w:color="auto"/>
              <w:left w:val="single" w:sz="4" w:space="0" w:color="auto"/>
              <w:bottom w:val="single" w:sz="4" w:space="0" w:color="auto"/>
              <w:right w:val="single" w:sz="4" w:space="0" w:color="auto"/>
            </w:tcBorders>
            <w:noWrap/>
            <w:vAlign w:val="bottom"/>
            <w:hideMark/>
          </w:tcPr>
          <w:p w:rsidR="009E35BE" w:rsidRPr="00411F87" w:rsidRDefault="009E35BE" w:rsidP="00832031">
            <w:pPr>
              <w:spacing w:after="0"/>
              <w:jc w:val="right"/>
              <w:rPr>
                <w:rFonts w:ascii="Calibri" w:hAnsi="Calibri" w:cs="Calibri"/>
                <w:b/>
                <w:color w:val="000000"/>
                <w:sz w:val="20"/>
                <w:szCs w:val="20"/>
              </w:rPr>
            </w:pPr>
            <w:r w:rsidRPr="00411F87">
              <w:rPr>
                <w:rFonts w:ascii="Calibri" w:hAnsi="Calibri" w:cs="Calibri"/>
                <w:b/>
                <w:color w:val="000000"/>
                <w:sz w:val="20"/>
                <w:szCs w:val="20"/>
              </w:rPr>
              <w:t xml:space="preserve"> 7.844 </w:t>
            </w:r>
          </w:p>
        </w:tc>
        <w:tc>
          <w:tcPr>
            <w:tcW w:w="1768" w:type="dxa"/>
            <w:tcBorders>
              <w:top w:val="single" w:sz="4" w:space="0" w:color="auto"/>
              <w:left w:val="single" w:sz="4" w:space="0" w:color="auto"/>
              <w:bottom w:val="single" w:sz="4" w:space="0" w:color="auto"/>
              <w:right w:val="single" w:sz="4" w:space="0" w:color="auto"/>
            </w:tcBorders>
            <w:noWrap/>
            <w:vAlign w:val="bottom"/>
            <w:hideMark/>
          </w:tcPr>
          <w:p w:rsidR="009E35BE" w:rsidRPr="00411F87" w:rsidRDefault="009E35BE" w:rsidP="00832031">
            <w:pPr>
              <w:spacing w:after="0"/>
              <w:jc w:val="right"/>
              <w:rPr>
                <w:rFonts w:ascii="Calibri" w:hAnsi="Calibri" w:cs="Calibri"/>
                <w:b/>
                <w:color w:val="000000"/>
                <w:sz w:val="20"/>
                <w:szCs w:val="20"/>
              </w:rPr>
            </w:pPr>
            <w:r w:rsidRPr="00411F87">
              <w:rPr>
                <w:rFonts w:ascii="Calibri" w:hAnsi="Calibri" w:cs="Calibri"/>
                <w:b/>
                <w:color w:val="000000"/>
                <w:sz w:val="20"/>
                <w:szCs w:val="20"/>
              </w:rPr>
              <w:t xml:space="preserve"> 7.687 </w:t>
            </w:r>
          </w:p>
        </w:tc>
        <w:tc>
          <w:tcPr>
            <w:tcW w:w="1768" w:type="dxa"/>
            <w:tcBorders>
              <w:top w:val="single" w:sz="4" w:space="0" w:color="auto"/>
              <w:left w:val="single" w:sz="4" w:space="0" w:color="auto"/>
              <w:bottom w:val="single" w:sz="4" w:space="0" w:color="auto"/>
              <w:right w:val="single" w:sz="4" w:space="0" w:color="auto"/>
            </w:tcBorders>
            <w:noWrap/>
            <w:vAlign w:val="bottom"/>
            <w:hideMark/>
          </w:tcPr>
          <w:p w:rsidR="009E35BE" w:rsidRPr="00411F87" w:rsidRDefault="009E35BE" w:rsidP="00832031">
            <w:pPr>
              <w:spacing w:after="0"/>
              <w:jc w:val="right"/>
              <w:rPr>
                <w:rFonts w:ascii="Calibri" w:hAnsi="Calibri" w:cs="Calibri"/>
                <w:b/>
                <w:color w:val="000000"/>
                <w:sz w:val="20"/>
                <w:szCs w:val="20"/>
              </w:rPr>
            </w:pPr>
            <w:r w:rsidRPr="00411F87">
              <w:rPr>
                <w:rFonts w:ascii="Calibri" w:hAnsi="Calibri" w:cs="Calibri"/>
                <w:b/>
                <w:color w:val="000000"/>
                <w:sz w:val="20"/>
                <w:szCs w:val="20"/>
              </w:rPr>
              <w:t xml:space="preserve"> 2.652 </w:t>
            </w:r>
          </w:p>
        </w:tc>
        <w:tc>
          <w:tcPr>
            <w:tcW w:w="1768" w:type="dxa"/>
            <w:tcBorders>
              <w:top w:val="single" w:sz="4" w:space="0" w:color="auto"/>
              <w:left w:val="single" w:sz="4" w:space="0" w:color="auto"/>
              <w:bottom w:val="single" w:sz="4" w:space="0" w:color="auto"/>
              <w:right w:val="single" w:sz="4" w:space="0" w:color="auto"/>
            </w:tcBorders>
            <w:noWrap/>
            <w:vAlign w:val="bottom"/>
            <w:hideMark/>
          </w:tcPr>
          <w:p w:rsidR="009E35BE" w:rsidRPr="00411F87" w:rsidRDefault="009E35BE" w:rsidP="00832031">
            <w:pPr>
              <w:spacing w:after="0"/>
              <w:jc w:val="right"/>
              <w:rPr>
                <w:rFonts w:ascii="Calibri" w:hAnsi="Calibri" w:cs="Calibri"/>
                <w:b/>
                <w:color w:val="000000"/>
                <w:sz w:val="20"/>
                <w:szCs w:val="20"/>
              </w:rPr>
            </w:pPr>
            <w:r w:rsidRPr="00411F87">
              <w:rPr>
                <w:rFonts w:ascii="Calibri" w:hAnsi="Calibri" w:cs="Calibri"/>
                <w:b/>
                <w:color w:val="000000"/>
                <w:sz w:val="20"/>
                <w:szCs w:val="20"/>
              </w:rPr>
              <w:t xml:space="preserve"> 2.428 </w:t>
            </w:r>
          </w:p>
        </w:tc>
        <w:tc>
          <w:tcPr>
            <w:tcW w:w="1768" w:type="dxa"/>
            <w:tcBorders>
              <w:top w:val="single" w:sz="4" w:space="0" w:color="auto"/>
              <w:left w:val="single" w:sz="4" w:space="0" w:color="auto"/>
              <w:bottom w:val="single" w:sz="4" w:space="0" w:color="auto"/>
              <w:right w:val="single" w:sz="4" w:space="0" w:color="auto"/>
            </w:tcBorders>
            <w:noWrap/>
            <w:vAlign w:val="bottom"/>
            <w:hideMark/>
          </w:tcPr>
          <w:p w:rsidR="009E35BE" w:rsidRPr="00411F87" w:rsidRDefault="009E35BE" w:rsidP="00832031">
            <w:pPr>
              <w:spacing w:after="0"/>
              <w:jc w:val="right"/>
              <w:rPr>
                <w:rFonts w:ascii="Calibri" w:hAnsi="Calibri" w:cs="Calibri"/>
                <w:b/>
                <w:color w:val="000000"/>
                <w:sz w:val="20"/>
                <w:szCs w:val="20"/>
              </w:rPr>
            </w:pPr>
            <w:r w:rsidRPr="00411F87">
              <w:rPr>
                <w:rFonts w:ascii="Calibri" w:hAnsi="Calibri" w:cs="Calibri"/>
                <w:b/>
                <w:color w:val="000000"/>
                <w:sz w:val="20"/>
                <w:szCs w:val="20"/>
              </w:rPr>
              <w:t xml:space="preserve"> 157 </w:t>
            </w:r>
          </w:p>
        </w:tc>
      </w:tr>
    </w:tbl>
    <w:p w:rsidR="009E35BE" w:rsidRPr="00A956C1" w:rsidRDefault="009E35BE" w:rsidP="009E35BE">
      <w:pPr>
        <w:rPr>
          <w:b/>
        </w:rPr>
      </w:pPr>
    </w:p>
    <w:p w:rsidR="009E35BE" w:rsidRDefault="009E35BE" w:rsidP="009E35BE">
      <w:pPr>
        <w:jc w:val="both"/>
      </w:pPr>
      <w:r>
        <w:t>Gli avviamenti dal 2011 al 2016 sono cresciuti del 67%, mentre le cessazioni sono aumentate del 24,5%. In crescita anche le proroghe che sono quasi raddoppiate (+161,2%). Di contro, sono diminuite le trasformazioni che spesso determinano il passaggio dal tempo determinato a tempo indeterminato di ben il 47,2%. Il saldo del periodo è comunque leggermente positivo (+157 unità). Si noti la variazione negativa del saldo avviamenti e cessazioni fra il 2015 e il 2016 pari a -88%</w:t>
      </w:r>
    </w:p>
    <w:p w:rsidR="009E35BE" w:rsidRDefault="009E35BE" w:rsidP="009E35BE">
      <w:pPr>
        <w:jc w:val="both"/>
      </w:pPr>
      <w:r>
        <w:t xml:space="preserve">I dati rendono evidente il processo di </w:t>
      </w:r>
      <w:proofErr w:type="spellStart"/>
      <w:r>
        <w:t>flessibilizzazione</w:t>
      </w:r>
      <w:proofErr w:type="spellEnd"/>
      <w:r>
        <w:t xml:space="preserve"> del lavoro in atto, ormai da qualche decennio: infatti, il </w:t>
      </w:r>
      <w:proofErr w:type="spellStart"/>
      <w:r>
        <w:t>MdL</w:t>
      </w:r>
      <w:proofErr w:type="spellEnd"/>
      <w:r>
        <w:t xml:space="preserve"> orafo – nonostante i saldi negativi di alcune annualità – rimane vivace. Crescono gli avviamenti ma – al contempo – aumentano le cessazioni. Tuttavia, sembra che il raggiungimento della stabilizzazione sia un fenomeno sempre più raro (si vedano i dati esposti di seguito e la diminuzione delle trasformazioni di cui sopra pari a oltre il 47%</w:t>
      </w:r>
      <w:r>
        <w:rPr>
          <w:rStyle w:val="Rimandonotaapidipagina"/>
        </w:rPr>
        <w:footnoteReference w:id="11"/>
      </w:r>
      <w:r>
        <w:t>).</w:t>
      </w:r>
    </w:p>
    <w:p w:rsidR="009E35BE" w:rsidRPr="00766B5E" w:rsidRDefault="009E35BE" w:rsidP="009E35BE">
      <w:pPr>
        <w:jc w:val="both"/>
      </w:pPr>
      <w:r>
        <w:t>Quanto detto, trova conferma nella tabella seguente in cui gli avviamenti, le cessazioni e i saldi occupazionali sono stati disaggregati per tipologia contrattuale</w:t>
      </w:r>
      <w:r w:rsidR="00014E77">
        <w:rPr>
          <w:rStyle w:val="Rimandonotaapidipagina"/>
        </w:rPr>
        <w:footnoteReference w:id="12"/>
      </w:r>
      <w:r>
        <w:t>.</w:t>
      </w:r>
    </w:p>
    <w:p w:rsidR="009E35BE" w:rsidRDefault="009E35BE" w:rsidP="009E35BE">
      <w:pPr>
        <w:jc w:val="both"/>
      </w:pPr>
      <w:r w:rsidRPr="00623404">
        <w:rPr>
          <w:u w:val="single"/>
        </w:rPr>
        <w:t>Per quanto concerne gli avviamenti</w:t>
      </w:r>
      <w:r>
        <w:t xml:space="preserve">, prevalgono quelli regolati da contratti di lavoro a tempo </w:t>
      </w:r>
      <w:r w:rsidRPr="00CD0367">
        <w:t xml:space="preserve">determinato </w:t>
      </w:r>
      <w:r>
        <w:t>(761 nel 2016)</w:t>
      </w:r>
      <w:r w:rsidRPr="00CD0367">
        <w:t>: la loro crescita nel tempo è stata esponenziale</w:t>
      </w:r>
      <w:r>
        <w:t xml:space="preserve">. Infatti, dal 2011 al 2016 sono cresciuti dell’86,1%. </w:t>
      </w:r>
    </w:p>
    <w:p w:rsidR="009E35BE" w:rsidRDefault="009E35BE" w:rsidP="009E35BE">
      <w:pPr>
        <w:jc w:val="both"/>
      </w:pPr>
      <w:r>
        <w:t xml:space="preserve">Un poco di meno, in termini percentuali, crescono i rapporti di lavoro a tempo indeterminato (410 nel 2016): dal 2011 al 2016 la crescita è stata del 73,7%, con punte del 172,9% nel 2015. </w:t>
      </w:r>
    </w:p>
    <w:p w:rsidR="009E35BE" w:rsidRDefault="009E35BE" w:rsidP="009E35BE">
      <w:pPr>
        <w:jc w:val="both"/>
      </w:pPr>
      <w:r>
        <w:t xml:space="preserve">La forte crescita degli avviamenti a tempo indeterminato che caratterizza il 2015 (+47% rispetto al 2014) è probabilmente collegata anche agli incentivi </w:t>
      </w:r>
      <w:proofErr w:type="spellStart"/>
      <w:r>
        <w:t>assunzionali</w:t>
      </w:r>
      <w:proofErr w:type="spellEnd"/>
      <w:r>
        <w:t xml:space="preserve"> introdotti dalla Legge di stabilità 2015 che stabilisce la decontribuzione totale (fino ad un limite massimo di 8.060 euro annuo) per i 36 mesi successivi all’assunzione. A tale proposito, è indicativo che il raffronto, fra il 2016 e il 2015, mostri una flessione degli avviamenti a tempo indeterminato del -36,3%. Si noti che, anche nel 2016, la Legge di stabilità aveva previsto agevolazioni previdenziali a favore dei datori di lavoro che avessero assunto a tempo indeterminato un lavoratore, ma l’entità dell’incentivazione era più che dimezzata</w:t>
      </w:r>
      <w:r>
        <w:rPr>
          <w:rStyle w:val="Rimandonotaapidipagina"/>
        </w:rPr>
        <w:footnoteReference w:id="13"/>
      </w:r>
      <w:r>
        <w:t>.</w:t>
      </w:r>
    </w:p>
    <w:p w:rsidR="009E35BE" w:rsidRDefault="009E35BE" w:rsidP="009E35BE">
      <w:pPr>
        <w:jc w:val="both"/>
      </w:pPr>
      <w:r>
        <w:t>Anche i contratti di apprendistato crescono nei 6 anni di osservazione del 138,5%, passando da 117 nel 2011 a 279 nel 2016.</w:t>
      </w:r>
    </w:p>
    <w:p w:rsidR="009E35BE" w:rsidRDefault="009E35BE" w:rsidP="009E35BE">
      <w:pPr>
        <w:jc w:val="both"/>
      </w:pPr>
      <w:r>
        <w:t>Diminuiscono, invece, i sistemi di regolazione del rapporto del lavoro più instabili (contratti di lavoro interinale, intermittente, occasionale, etc.) che, tuttavia, in valore assoluto, risultavano del tutto marginali anche nei primi anni di osservazione.</w:t>
      </w:r>
    </w:p>
    <w:p w:rsidR="009E35BE" w:rsidRDefault="009E35BE" w:rsidP="009E35BE">
      <w:pPr>
        <w:jc w:val="both"/>
      </w:pPr>
      <w:r>
        <w:t>I dati della tabella precedente, quindi, mostrano una crescita dei contratti di buona / media qualità ed una diminuzione di quelli più precari.</w:t>
      </w:r>
    </w:p>
    <w:p w:rsidR="009E35BE" w:rsidRDefault="009E35BE" w:rsidP="009E35BE">
      <w:pPr>
        <w:jc w:val="both"/>
      </w:pPr>
      <w:r w:rsidRPr="00623404">
        <w:rPr>
          <w:u w:val="single"/>
        </w:rPr>
        <w:t>Per quanto concerne le cessazioni</w:t>
      </w:r>
      <w:r>
        <w:t xml:space="preserve"> (ed il loro raffronto con gli avviamenti), il dato sui 6 anni di osservazione mostra saldi (avviamenti – cessazioni) positivi su quasi tutte le voci contrattuali, tuttavia, è proprio la tipologia contrattuale più stabile, il tempo indeterminato, a presentare valori in controtendenza: nel periodo d’analisi il saldo avviamenti – cessazioni è pari a -1.433 unità. Inoltre, in tutti i 6 anni analizzati la differenza fra lavoratori assunti e cessati è stata negativa. Anche nel 2015, quando gli incentivi governativi sono stati massimi, il saldo occupazionale si è mantenuto negativo (-13 unità). Dunque, sembra che nel settore orafo, l’introduzione di bonus </w:t>
      </w:r>
      <w:proofErr w:type="spellStart"/>
      <w:r>
        <w:t>assunzionali</w:t>
      </w:r>
      <w:proofErr w:type="spellEnd"/>
      <w:r>
        <w:t xml:space="preserve"> di tipo previdenziale abbiano solo attenuato – provvisoriamente </w:t>
      </w:r>
      <w:proofErr w:type="gramStart"/>
      <w:r>
        <w:t>–  l’emorragia</w:t>
      </w:r>
      <w:proofErr w:type="gramEnd"/>
      <w:r>
        <w:t xml:space="preserve"> che caratterizza i contratti a tempo indeterminato, senza, tuttavia, arrestarla</w:t>
      </w:r>
      <w:r w:rsidR="00014E77">
        <w:t>.</w:t>
      </w:r>
      <w:r>
        <w:t xml:space="preserve"> </w:t>
      </w:r>
    </w:p>
    <w:p w:rsidR="009E35BE" w:rsidRDefault="009E35BE" w:rsidP="009E35BE">
      <w:pPr>
        <w:jc w:val="both"/>
      </w:pPr>
      <w:r>
        <w:t>Infine, qualche considerazione sull’apprendistato: nel sessennio il saldo avviamenti cessazioni è stato piuttosto positivo (+549 unità), si tratta di una media di circa 92 contratti di apprendistato avviati all’anno, rispetto a quelli cessati. Il dato appare significativo poiché sembra confermare l’esistenza di un processo di riproduzione professionale del settore fondata sul ricorso a tale tipologia contrattuale.</w:t>
      </w:r>
    </w:p>
    <w:p w:rsidR="009E35BE" w:rsidRPr="00766B5E" w:rsidRDefault="009E35BE" w:rsidP="009E35BE">
      <w:pPr>
        <w:jc w:val="both"/>
        <w:sectPr w:rsidR="009E35BE" w:rsidRPr="00766B5E">
          <w:footerReference w:type="default" r:id="rId16"/>
          <w:pgSz w:w="11906" w:h="16838"/>
          <w:pgMar w:top="1417" w:right="1134" w:bottom="1134" w:left="1134" w:header="708" w:footer="708" w:gutter="0"/>
          <w:cols w:space="708"/>
          <w:docGrid w:linePitch="360"/>
        </w:sectPr>
      </w:pPr>
    </w:p>
    <w:p w:rsidR="009E35BE" w:rsidRDefault="009E35BE" w:rsidP="009E35BE">
      <w:pPr>
        <w:rPr>
          <w:b/>
          <w:sz w:val="20"/>
          <w:szCs w:val="20"/>
        </w:rPr>
      </w:pPr>
      <w:proofErr w:type="spellStart"/>
      <w:r w:rsidRPr="00695901">
        <w:rPr>
          <w:b/>
          <w:sz w:val="20"/>
          <w:szCs w:val="20"/>
        </w:rPr>
        <w:t>Tab</w:t>
      </w:r>
      <w:proofErr w:type="spellEnd"/>
      <w:r w:rsidRPr="00695901">
        <w:rPr>
          <w:b/>
          <w:sz w:val="20"/>
          <w:szCs w:val="20"/>
        </w:rPr>
        <w:t xml:space="preserve">. </w:t>
      </w:r>
      <w:r w:rsidR="00CD214C">
        <w:rPr>
          <w:b/>
          <w:sz w:val="20"/>
          <w:szCs w:val="20"/>
        </w:rPr>
        <w:t>3.</w:t>
      </w:r>
      <w:r w:rsidRPr="00695901">
        <w:rPr>
          <w:b/>
          <w:sz w:val="20"/>
          <w:szCs w:val="20"/>
        </w:rPr>
        <w:t xml:space="preserve">2 – Distribuzione degli avviamenti </w:t>
      </w:r>
      <w:r>
        <w:rPr>
          <w:b/>
          <w:sz w:val="20"/>
          <w:szCs w:val="20"/>
        </w:rPr>
        <w:t xml:space="preserve">cessazioni e saldi </w:t>
      </w:r>
      <w:r w:rsidRPr="00695901">
        <w:rPr>
          <w:b/>
          <w:sz w:val="20"/>
          <w:szCs w:val="20"/>
        </w:rPr>
        <w:t>per tipologia contrattuale (2011-2016)</w:t>
      </w:r>
      <w:r>
        <w:rPr>
          <w:b/>
          <w:sz w:val="20"/>
          <w:szCs w:val="20"/>
        </w:rPr>
        <w:t>.</w:t>
      </w:r>
    </w:p>
    <w:tbl>
      <w:tblPr>
        <w:tblW w:w="52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70" w:type="dxa"/>
          <w:bottom w:w="15" w:type="dxa"/>
          <w:right w:w="70" w:type="dxa"/>
        </w:tblCellMar>
        <w:tblLook w:val="04A0" w:firstRow="1" w:lastRow="0" w:firstColumn="1" w:lastColumn="0" w:noHBand="0" w:noVBand="1"/>
      </w:tblPr>
      <w:tblGrid>
        <w:gridCol w:w="1695"/>
        <w:gridCol w:w="627"/>
        <w:gridCol w:w="628"/>
        <w:gridCol w:w="628"/>
        <w:gridCol w:w="628"/>
        <w:gridCol w:w="628"/>
        <w:gridCol w:w="628"/>
        <w:gridCol w:w="628"/>
        <w:gridCol w:w="628"/>
        <w:gridCol w:w="628"/>
        <w:gridCol w:w="628"/>
        <w:gridCol w:w="628"/>
        <w:gridCol w:w="628"/>
        <w:gridCol w:w="628"/>
        <w:gridCol w:w="628"/>
        <w:gridCol w:w="628"/>
        <w:gridCol w:w="628"/>
        <w:gridCol w:w="628"/>
        <w:gridCol w:w="628"/>
        <w:gridCol w:w="628"/>
        <w:gridCol w:w="628"/>
        <w:gridCol w:w="625"/>
      </w:tblGrid>
      <w:tr w:rsidR="009E35BE" w:rsidRPr="00023136" w:rsidTr="00832031">
        <w:trPr>
          <w:trHeight w:val="300"/>
        </w:trPr>
        <w:tc>
          <w:tcPr>
            <w:tcW w:w="570" w:type="pct"/>
            <w:shd w:val="clear" w:color="D9E1F2" w:fill="D9E1F2"/>
            <w:vAlign w:val="bottom"/>
            <w:hideMark/>
          </w:tcPr>
          <w:p w:rsidR="009E35BE" w:rsidRPr="00023136" w:rsidRDefault="009E35BE" w:rsidP="00832031">
            <w:pPr>
              <w:spacing w:after="0" w:line="240" w:lineRule="auto"/>
              <w:jc w:val="center"/>
              <w:rPr>
                <w:rFonts w:ascii="Calibri" w:eastAsia="Times New Roman" w:hAnsi="Calibri" w:cs="Calibri"/>
                <w:b/>
                <w:bCs/>
                <w:color w:val="000000"/>
                <w:sz w:val="18"/>
                <w:szCs w:val="18"/>
                <w:lang w:eastAsia="it-IT"/>
              </w:rPr>
            </w:pPr>
          </w:p>
        </w:tc>
        <w:tc>
          <w:tcPr>
            <w:tcW w:w="633" w:type="pct"/>
            <w:gridSpan w:val="3"/>
            <w:shd w:val="clear" w:color="D9E1F2" w:fill="D9E1F2"/>
            <w:noWrap/>
            <w:vAlign w:val="bottom"/>
            <w:hideMark/>
          </w:tcPr>
          <w:p w:rsidR="009E35BE" w:rsidRPr="00023136" w:rsidRDefault="009E35BE" w:rsidP="00832031">
            <w:pPr>
              <w:spacing w:after="0" w:line="240" w:lineRule="auto"/>
              <w:jc w:val="center"/>
              <w:rPr>
                <w:rFonts w:ascii="Calibri" w:eastAsia="Times New Roman" w:hAnsi="Calibri" w:cs="Calibri"/>
                <w:b/>
                <w:bCs/>
                <w:color w:val="000000"/>
                <w:sz w:val="18"/>
                <w:szCs w:val="18"/>
                <w:lang w:eastAsia="it-IT"/>
              </w:rPr>
            </w:pPr>
            <w:r w:rsidRPr="00023136">
              <w:rPr>
                <w:rFonts w:ascii="Calibri" w:eastAsia="Times New Roman" w:hAnsi="Calibri" w:cs="Calibri"/>
                <w:b/>
                <w:bCs/>
                <w:color w:val="000000"/>
                <w:sz w:val="18"/>
                <w:szCs w:val="18"/>
                <w:lang w:eastAsia="it-IT"/>
              </w:rPr>
              <w:t>2011</w:t>
            </w:r>
          </w:p>
        </w:tc>
        <w:tc>
          <w:tcPr>
            <w:tcW w:w="633" w:type="pct"/>
            <w:gridSpan w:val="3"/>
            <w:shd w:val="clear" w:color="D9E1F2" w:fill="D9E1F2"/>
            <w:noWrap/>
            <w:vAlign w:val="bottom"/>
            <w:hideMark/>
          </w:tcPr>
          <w:p w:rsidR="009E35BE" w:rsidRPr="00023136" w:rsidRDefault="009E35BE" w:rsidP="00832031">
            <w:pPr>
              <w:spacing w:after="0" w:line="240" w:lineRule="auto"/>
              <w:jc w:val="center"/>
              <w:rPr>
                <w:rFonts w:ascii="Calibri" w:eastAsia="Times New Roman" w:hAnsi="Calibri" w:cs="Calibri"/>
                <w:b/>
                <w:bCs/>
                <w:color w:val="000000"/>
                <w:sz w:val="18"/>
                <w:szCs w:val="18"/>
                <w:lang w:eastAsia="it-IT"/>
              </w:rPr>
            </w:pPr>
            <w:r w:rsidRPr="00023136">
              <w:rPr>
                <w:rFonts w:ascii="Calibri" w:eastAsia="Times New Roman" w:hAnsi="Calibri" w:cs="Calibri"/>
                <w:b/>
                <w:bCs/>
                <w:color w:val="000000"/>
                <w:sz w:val="18"/>
                <w:szCs w:val="18"/>
                <w:lang w:eastAsia="it-IT"/>
              </w:rPr>
              <w:t>2012</w:t>
            </w:r>
          </w:p>
        </w:tc>
        <w:tc>
          <w:tcPr>
            <w:tcW w:w="633" w:type="pct"/>
            <w:gridSpan w:val="3"/>
            <w:shd w:val="clear" w:color="D9E1F2" w:fill="D9E1F2"/>
            <w:noWrap/>
            <w:vAlign w:val="bottom"/>
            <w:hideMark/>
          </w:tcPr>
          <w:p w:rsidR="009E35BE" w:rsidRPr="00023136" w:rsidRDefault="009E35BE" w:rsidP="00832031">
            <w:pPr>
              <w:spacing w:after="0" w:line="240" w:lineRule="auto"/>
              <w:jc w:val="center"/>
              <w:rPr>
                <w:rFonts w:ascii="Calibri" w:eastAsia="Times New Roman" w:hAnsi="Calibri" w:cs="Calibri"/>
                <w:b/>
                <w:bCs/>
                <w:color w:val="000000"/>
                <w:sz w:val="18"/>
                <w:szCs w:val="18"/>
                <w:lang w:eastAsia="it-IT"/>
              </w:rPr>
            </w:pPr>
            <w:r w:rsidRPr="00023136">
              <w:rPr>
                <w:rFonts w:ascii="Calibri" w:eastAsia="Times New Roman" w:hAnsi="Calibri" w:cs="Calibri"/>
                <w:b/>
                <w:bCs/>
                <w:color w:val="000000"/>
                <w:sz w:val="18"/>
                <w:szCs w:val="18"/>
                <w:lang w:eastAsia="it-IT"/>
              </w:rPr>
              <w:t>2013</w:t>
            </w:r>
          </w:p>
        </w:tc>
        <w:tc>
          <w:tcPr>
            <w:tcW w:w="633" w:type="pct"/>
            <w:gridSpan w:val="3"/>
            <w:shd w:val="clear" w:color="D9E1F2" w:fill="D9E1F2"/>
            <w:noWrap/>
            <w:vAlign w:val="bottom"/>
            <w:hideMark/>
          </w:tcPr>
          <w:p w:rsidR="009E35BE" w:rsidRPr="00023136" w:rsidRDefault="009E35BE" w:rsidP="00832031">
            <w:pPr>
              <w:spacing w:after="0" w:line="240" w:lineRule="auto"/>
              <w:jc w:val="center"/>
              <w:rPr>
                <w:rFonts w:ascii="Calibri" w:eastAsia="Times New Roman" w:hAnsi="Calibri" w:cs="Calibri"/>
                <w:b/>
                <w:bCs/>
                <w:color w:val="000000"/>
                <w:sz w:val="18"/>
                <w:szCs w:val="18"/>
                <w:lang w:eastAsia="it-IT"/>
              </w:rPr>
            </w:pPr>
            <w:r w:rsidRPr="00023136">
              <w:rPr>
                <w:rFonts w:ascii="Calibri" w:eastAsia="Times New Roman" w:hAnsi="Calibri" w:cs="Calibri"/>
                <w:b/>
                <w:bCs/>
                <w:color w:val="000000"/>
                <w:sz w:val="18"/>
                <w:szCs w:val="18"/>
                <w:lang w:eastAsia="it-IT"/>
              </w:rPr>
              <w:t>2014</w:t>
            </w:r>
          </w:p>
        </w:tc>
        <w:tc>
          <w:tcPr>
            <w:tcW w:w="633" w:type="pct"/>
            <w:gridSpan w:val="3"/>
            <w:shd w:val="clear" w:color="D9E1F2" w:fill="D9E1F2"/>
            <w:noWrap/>
            <w:vAlign w:val="bottom"/>
            <w:hideMark/>
          </w:tcPr>
          <w:p w:rsidR="009E35BE" w:rsidRPr="00023136" w:rsidRDefault="009E35BE" w:rsidP="00832031">
            <w:pPr>
              <w:spacing w:after="0" w:line="240" w:lineRule="auto"/>
              <w:jc w:val="center"/>
              <w:rPr>
                <w:rFonts w:ascii="Calibri" w:eastAsia="Times New Roman" w:hAnsi="Calibri" w:cs="Calibri"/>
                <w:b/>
                <w:bCs/>
                <w:color w:val="000000"/>
                <w:sz w:val="18"/>
                <w:szCs w:val="18"/>
                <w:lang w:eastAsia="it-IT"/>
              </w:rPr>
            </w:pPr>
            <w:r w:rsidRPr="00023136">
              <w:rPr>
                <w:rFonts w:ascii="Calibri" w:eastAsia="Times New Roman" w:hAnsi="Calibri" w:cs="Calibri"/>
                <w:b/>
                <w:bCs/>
                <w:color w:val="000000"/>
                <w:sz w:val="18"/>
                <w:szCs w:val="18"/>
                <w:lang w:eastAsia="it-IT"/>
              </w:rPr>
              <w:t>2015</w:t>
            </w:r>
          </w:p>
        </w:tc>
        <w:tc>
          <w:tcPr>
            <w:tcW w:w="633" w:type="pct"/>
            <w:gridSpan w:val="3"/>
            <w:shd w:val="clear" w:color="D9E1F2" w:fill="D9E1F2"/>
            <w:noWrap/>
            <w:vAlign w:val="bottom"/>
            <w:hideMark/>
          </w:tcPr>
          <w:p w:rsidR="009E35BE" w:rsidRPr="00023136" w:rsidRDefault="009E35BE" w:rsidP="00832031">
            <w:pPr>
              <w:spacing w:after="0" w:line="240" w:lineRule="auto"/>
              <w:jc w:val="center"/>
              <w:rPr>
                <w:rFonts w:ascii="Calibri" w:eastAsia="Times New Roman" w:hAnsi="Calibri" w:cs="Calibri"/>
                <w:b/>
                <w:bCs/>
                <w:color w:val="000000"/>
                <w:sz w:val="18"/>
                <w:szCs w:val="18"/>
                <w:lang w:eastAsia="it-IT"/>
              </w:rPr>
            </w:pPr>
            <w:r w:rsidRPr="00023136">
              <w:rPr>
                <w:rFonts w:ascii="Calibri" w:eastAsia="Times New Roman" w:hAnsi="Calibri" w:cs="Calibri"/>
                <w:b/>
                <w:bCs/>
                <w:color w:val="000000"/>
                <w:sz w:val="18"/>
                <w:szCs w:val="18"/>
                <w:lang w:eastAsia="it-IT"/>
              </w:rPr>
              <w:t>2016</w:t>
            </w:r>
          </w:p>
        </w:tc>
        <w:tc>
          <w:tcPr>
            <w:tcW w:w="633" w:type="pct"/>
            <w:gridSpan w:val="3"/>
            <w:shd w:val="clear" w:color="D9E1F2" w:fill="D9E1F2"/>
            <w:noWrap/>
            <w:vAlign w:val="bottom"/>
            <w:hideMark/>
          </w:tcPr>
          <w:p w:rsidR="009E35BE" w:rsidRPr="00023136" w:rsidRDefault="009E35BE" w:rsidP="00832031">
            <w:pPr>
              <w:spacing w:after="0" w:line="240" w:lineRule="auto"/>
              <w:jc w:val="center"/>
              <w:rPr>
                <w:rFonts w:ascii="Calibri" w:eastAsia="Times New Roman" w:hAnsi="Calibri" w:cs="Calibri"/>
                <w:b/>
                <w:bCs/>
                <w:color w:val="000000"/>
                <w:sz w:val="18"/>
                <w:szCs w:val="18"/>
                <w:lang w:eastAsia="it-IT"/>
              </w:rPr>
            </w:pPr>
            <w:r w:rsidRPr="00023136">
              <w:rPr>
                <w:rFonts w:ascii="Calibri" w:eastAsia="Times New Roman" w:hAnsi="Calibri" w:cs="Calibri"/>
                <w:b/>
                <w:bCs/>
                <w:color w:val="000000"/>
                <w:sz w:val="18"/>
                <w:szCs w:val="18"/>
                <w:lang w:eastAsia="it-IT"/>
              </w:rPr>
              <w:t>Totale</w:t>
            </w:r>
          </w:p>
        </w:tc>
      </w:tr>
      <w:tr w:rsidR="009E35BE" w:rsidRPr="00023136" w:rsidTr="00832031">
        <w:trPr>
          <w:trHeight w:val="300"/>
        </w:trPr>
        <w:tc>
          <w:tcPr>
            <w:tcW w:w="570" w:type="pct"/>
            <w:shd w:val="clear" w:color="D9E1F2" w:fill="D9E1F2"/>
            <w:vAlign w:val="center"/>
            <w:hideMark/>
          </w:tcPr>
          <w:p w:rsidR="009E35BE" w:rsidRPr="00023136" w:rsidRDefault="009E35BE" w:rsidP="00832031">
            <w:pPr>
              <w:spacing w:after="0" w:line="240" w:lineRule="auto"/>
              <w:rPr>
                <w:rFonts w:ascii="Calibri" w:eastAsia="Times New Roman" w:hAnsi="Calibri" w:cs="Calibri"/>
                <w:b/>
                <w:bCs/>
                <w:color w:val="000000"/>
                <w:sz w:val="18"/>
                <w:szCs w:val="18"/>
                <w:lang w:eastAsia="it-IT"/>
              </w:rPr>
            </w:pPr>
            <w:r w:rsidRPr="00023136">
              <w:rPr>
                <w:rFonts w:ascii="Calibri" w:eastAsia="Times New Roman" w:hAnsi="Calibri" w:cs="Calibri"/>
                <w:b/>
                <w:bCs/>
                <w:color w:val="000000"/>
                <w:sz w:val="18"/>
                <w:szCs w:val="18"/>
                <w:lang w:eastAsia="it-IT"/>
              </w:rPr>
              <w:t>Tipologia contrattuale</w:t>
            </w:r>
          </w:p>
        </w:tc>
        <w:tc>
          <w:tcPr>
            <w:tcW w:w="211" w:type="pct"/>
            <w:noWrap/>
            <w:vAlign w:val="bottom"/>
            <w:hideMark/>
          </w:tcPr>
          <w:p w:rsidR="009E35BE" w:rsidRPr="00023136" w:rsidRDefault="009E35BE" w:rsidP="00832031">
            <w:pPr>
              <w:spacing w:after="0" w:line="240" w:lineRule="auto"/>
              <w:jc w:val="center"/>
              <w:rPr>
                <w:rFonts w:ascii="Calibri" w:eastAsia="Times New Roman" w:hAnsi="Calibri" w:cs="Calibri"/>
                <w:b/>
                <w:bCs/>
                <w:color w:val="000000"/>
                <w:sz w:val="18"/>
                <w:szCs w:val="18"/>
                <w:lang w:eastAsia="it-IT"/>
              </w:rPr>
            </w:pPr>
            <w:r w:rsidRPr="00023136">
              <w:rPr>
                <w:rFonts w:ascii="Calibri" w:eastAsia="Times New Roman" w:hAnsi="Calibri" w:cs="Calibri"/>
                <w:b/>
                <w:bCs/>
                <w:color w:val="000000"/>
                <w:sz w:val="18"/>
                <w:szCs w:val="18"/>
                <w:lang w:eastAsia="it-IT"/>
              </w:rPr>
              <w:t>Avviamenti</w:t>
            </w:r>
          </w:p>
        </w:tc>
        <w:tc>
          <w:tcPr>
            <w:tcW w:w="211" w:type="pct"/>
            <w:noWrap/>
            <w:vAlign w:val="bottom"/>
            <w:hideMark/>
          </w:tcPr>
          <w:p w:rsidR="009E35BE" w:rsidRPr="00023136" w:rsidRDefault="009E35BE" w:rsidP="00832031">
            <w:pPr>
              <w:spacing w:after="0" w:line="240" w:lineRule="auto"/>
              <w:jc w:val="center"/>
              <w:rPr>
                <w:rFonts w:ascii="Calibri" w:eastAsia="Times New Roman" w:hAnsi="Calibri" w:cs="Calibri"/>
                <w:b/>
                <w:bCs/>
                <w:color w:val="000000"/>
                <w:sz w:val="18"/>
                <w:szCs w:val="18"/>
                <w:lang w:eastAsia="it-IT"/>
              </w:rPr>
            </w:pPr>
            <w:r w:rsidRPr="00023136">
              <w:rPr>
                <w:rFonts w:ascii="Calibri" w:eastAsia="Times New Roman" w:hAnsi="Calibri" w:cs="Calibri"/>
                <w:b/>
                <w:bCs/>
                <w:color w:val="000000"/>
                <w:sz w:val="18"/>
                <w:szCs w:val="18"/>
                <w:lang w:eastAsia="it-IT"/>
              </w:rPr>
              <w:t>Cessazioni</w:t>
            </w:r>
          </w:p>
        </w:tc>
        <w:tc>
          <w:tcPr>
            <w:tcW w:w="211" w:type="pct"/>
            <w:noWrap/>
            <w:vAlign w:val="bottom"/>
            <w:hideMark/>
          </w:tcPr>
          <w:p w:rsidR="009E35BE" w:rsidRPr="00023136" w:rsidRDefault="009E35BE" w:rsidP="00832031">
            <w:pPr>
              <w:spacing w:after="0" w:line="240" w:lineRule="auto"/>
              <w:jc w:val="center"/>
              <w:rPr>
                <w:rFonts w:ascii="Calibri" w:eastAsia="Times New Roman" w:hAnsi="Calibri" w:cs="Calibri"/>
                <w:b/>
                <w:bCs/>
                <w:color w:val="000000"/>
                <w:sz w:val="18"/>
                <w:szCs w:val="18"/>
                <w:lang w:eastAsia="it-IT"/>
              </w:rPr>
            </w:pPr>
            <w:r w:rsidRPr="00023136">
              <w:rPr>
                <w:rFonts w:ascii="Calibri" w:eastAsia="Times New Roman" w:hAnsi="Calibri" w:cs="Calibri"/>
                <w:b/>
                <w:bCs/>
                <w:color w:val="000000"/>
                <w:sz w:val="18"/>
                <w:szCs w:val="18"/>
                <w:lang w:eastAsia="it-IT"/>
              </w:rPr>
              <w:t>Saldo</w:t>
            </w:r>
          </w:p>
        </w:tc>
        <w:tc>
          <w:tcPr>
            <w:tcW w:w="211" w:type="pct"/>
            <w:noWrap/>
            <w:vAlign w:val="bottom"/>
            <w:hideMark/>
          </w:tcPr>
          <w:p w:rsidR="009E35BE" w:rsidRPr="00023136" w:rsidRDefault="009E35BE" w:rsidP="00832031">
            <w:pPr>
              <w:spacing w:after="0" w:line="240" w:lineRule="auto"/>
              <w:jc w:val="center"/>
              <w:rPr>
                <w:rFonts w:ascii="Calibri" w:eastAsia="Times New Roman" w:hAnsi="Calibri" w:cs="Calibri"/>
                <w:b/>
                <w:bCs/>
                <w:color w:val="000000"/>
                <w:sz w:val="18"/>
                <w:szCs w:val="18"/>
                <w:lang w:eastAsia="it-IT"/>
              </w:rPr>
            </w:pPr>
            <w:r w:rsidRPr="00023136">
              <w:rPr>
                <w:rFonts w:ascii="Calibri" w:eastAsia="Times New Roman" w:hAnsi="Calibri" w:cs="Calibri"/>
                <w:b/>
                <w:bCs/>
                <w:color w:val="000000"/>
                <w:sz w:val="18"/>
                <w:szCs w:val="18"/>
                <w:lang w:eastAsia="it-IT"/>
              </w:rPr>
              <w:t>Avviamenti</w:t>
            </w:r>
          </w:p>
        </w:tc>
        <w:tc>
          <w:tcPr>
            <w:tcW w:w="211" w:type="pct"/>
            <w:noWrap/>
            <w:vAlign w:val="bottom"/>
            <w:hideMark/>
          </w:tcPr>
          <w:p w:rsidR="009E35BE" w:rsidRPr="00023136" w:rsidRDefault="009E35BE" w:rsidP="00832031">
            <w:pPr>
              <w:spacing w:after="0" w:line="240" w:lineRule="auto"/>
              <w:jc w:val="center"/>
              <w:rPr>
                <w:rFonts w:ascii="Calibri" w:eastAsia="Times New Roman" w:hAnsi="Calibri" w:cs="Calibri"/>
                <w:b/>
                <w:bCs/>
                <w:color w:val="000000"/>
                <w:sz w:val="18"/>
                <w:szCs w:val="18"/>
                <w:lang w:eastAsia="it-IT"/>
              </w:rPr>
            </w:pPr>
            <w:r w:rsidRPr="00023136">
              <w:rPr>
                <w:rFonts w:ascii="Calibri" w:eastAsia="Times New Roman" w:hAnsi="Calibri" w:cs="Calibri"/>
                <w:b/>
                <w:bCs/>
                <w:color w:val="000000"/>
                <w:sz w:val="18"/>
                <w:szCs w:val="18"/>
                <w:lang w:eastAsia="it-IT"/>
              </w:rPr>
              <w:t>Cessazioni</w:t>
            </w:r>
          </w:p>
        </w:tc>
        <w:tc>
          <w:tcPr>
            <w:tcW w:w="211" w:type="pct"/>
            <w:noWrap/>
            <w:vAlign w:val="bottom"/>
            <w:hideMark/>
          </w:tcPr>
          <w:p w:rsidR="009E35BE" w:rsidRPr="00023136" w:rsidRDefault="009E35BE" w:rsidP="00832031">
            <w:pPr>
              <w:spacing w:after="0" w:line="240" w:lineRule="auto"/>
              <w:jc w:val="center"/>
              <w:rPr>
                <w:rFonts w:ascii="Calibri" w:eastAsia="Times New Roman" w:hAnsi="Calibri" w:cs="Calibri"/>
                <w:b/>
                <w:bCs/>
                <w:color w:val="000000"/>
                <w:sz w:val="18"/>
                <w:szCs w:val="18"/>
                <w:lang w:eastAsia="it-IT"/>
              </w:rPr>
            </w:pPr>
            <w:r w:rsidRPr="00023136">
              <w:rPr>
                <w:rFonts w:ascii="Calibri" w:eastAsia="Times New Roman" w:hAnsi="Calibri" w:cs="Calibri"/>
                <w:b/>
                <w:bCs/>
                <w:color w:val="000000"/>
                <w:sz w:val="18"/>
                <w:szCs w:val="18"/>
                <w:lang w:eastAsia="it-IT"/>
              </w:rPr>
              <w:t>Saldo</w:t>
            </w:r>
          </w:p>
        </w:tc>
        <w:tc>
          <w:tcPr>
            <w:tcW w:w="211" w:type="pct"/>
            <w:noWrap/>
            <w:vAlign w:val="bottom"/>
            <w:hideMark/>
          </w:tcPr>
          <w:p w:rsidR="009E35BE" w:rsidRPr="00023136" w:rsidRDefault="009E35BE" w:rsidP="00832031">
            <w:pPr>
              <w:spacing w:after="0" w:line="240" w:lineRule="auto"/>
              <w:jc w:val="center"/>
              <w:rPr>
                <w:rFonts w:ascii="Calibri" w:eastAsia="Times New Roman" w:hAnsi="Calibri" w:cs="Calibri"/>
                <w:b/>
                <w:bCs/>
                <w:color w:val="000000"/>
                <w:sz w:val="18"/>
                <w:szCs w:val="18"/>
                <w:lang w:eastAsia="it-IT"/>
              </w:rPr>
            </w:pPr>
            <w:r w:rsidRPr="00023136">
              <w:rPr>
                <w:rFonts w:ascii="Calibri" w:eastAsia="Times New Roman" w:hAnsi="Calibri" w:cs="Calibri"/>
                <w:b/>
                <w:bCs/>
                <w:color w:val="000000"/>
                <w:sz w:val="18"/>
                <w:szCs w:val="18"/>
                <w:lang w:eastAsia="it-IT"/>
              </w:rPr>
              <w:t>Avviamenti</w:t>
            </w:r>
          </w:p>
        </w:tc>
        <w:tc>
          <w:tcPr>
            <w:tcW w:w="211" w:type="pct"/>
            <w:noWrap/>
            <w:vAlign w:val="bottom"/>
            <w:hideMark/>
          </w:tcPr>
          <w:p w:rsidR="009E35BE" w:rsidRPr="00023136" w:rsidRDefault="009E35BE" w:rsidP="00832031">
            <w:pPr>
              <w:spacing w:after="0" w:line="240" w:lineRule="auto"/>
              <w:jc w:val="center"/>
              <w:rPr>
                <w:rFonts w:ascii="Calibri" w:eastAsia="Times New Roman" w:hAnsi="Calibri" w:cs="Calibri"/>
                <w:b/>
                <w:bCs/>
                <w:color w:val="000000"/>
                <w:sz w:val="18"/>
                <w:szCs w:val="18"/>
                <w:lang w:eastAsia="it-IT"/>
              </w:rPr>
            </w:pPr>
            <w:r w:rsidRPr="00023136">
              <w:rPr>
                <w:rFonts w:ascii="Calibri" w:eastAsia="Times New Roman" w:hAnsi="Calibri" w:cs="Calibri"/>
                <w:b/>
                <w:bCs/>
                <w:color w:val="000000"/>
                <w:sz w:val="18"/>
                <w:szCs w:val="18"/>
                <w:lang w:eastAsia="it-IT"/>
              </w:rPr>
              <w:t>Cessazioni</w:t>
            </w:r>
          </w:p>
        </w:tc>
        <w:tc>
          <w:tcPr>
            <w:tcW w:w="211" w:type="pct"/>
            <w:noWrap/>
            <w:vAlign w:val="bottom"/>
            <w:hideMark/>
          </w:tcPr>
          <w:p w:rsidR="009E35BE" w:rsidRPr="00023136" w:rsidRDefault="009E35BE" w:rsidP="00832031">
            <w:pPr>
              <w:spacing w:after="0" w:line="240" w:lineRule="auto"/>
              <w:jc w:val="center"/>
              <w:rPr>
                <w:rFonts w:ascii="Calibri" w:eastAsia="Times New Roman" w:hAnsi="Calibri" w:cs="Calibri"/>
                <w:b/>
                <w:bCs/>
                <w:color w:val="000000"/>
                <w:sz w:val="18"/>
                <w:szCs w:val="18"/>
                <w:lang w:eastAsia="it-IT"/>
              </w:rPr>
            </w:pPr>
            <w:r w:rsidRPr="00023136">
              <w:rPr>
                <w:rFonts w:ascii="Calibri" w:eastAsia="Times New Roman" w:hAnsi="Calibri" w:cs="Calibri"/>
                <w:b/>
                <w:bCs/>
                <w:color w:val="000000"/>
                <w:sz w:val="18"/>
                <w:szCs w:val="18"/>
                <w:lang w:eastAsia="it-IT"/>
              </w:rPr>
              <w:t>Saldo</w:t>
            </w:r>
          </w:p>
        </w:tc>
        <w:tc>
          <w:tcPr>
            <w:tcW w:w="211" w:type="pct"/>
            <w:noWrap/>
            <w:vAlign w:val="bottom"/>
            <w:hideMark/>
          </w:tcPr>
          <w:p w:rsidR="009E35BE" w:rsidRPr="00023136" w:rsidRDefault="009E35BE" w:rsidP="00832031">
            <w:pPr>
              <w:spacing w:after="0" w:line="240" w:lineRule="auto"/>
              <w:jc w:val="center"/>
              <w:rPr>
                <w:rFonts w:ascii="Calibri" w:eastAsia="Times New Roman" w:hAnsi="Calibri" w:cs="Calibri"/>
                <w:b/>
                <w:bCs/>
                <w:color w:val="000000"/>
                <w:sz w:val="18"/>
                <w:szCs w:val="18"/>
                <w:lang w:eastAsia="it-IT"/>
              </w:rPr>
            </w:pPr>
            <w:r w:rsidRPr="00023136">
              <w:rPr>
                <w:rFonts w:ascii="Calibri" w:eastAsia="Times New Roman" w:hAnsi="Calibri" w:cs="Calibri"/>
                <w:b/>
                <w:bCs/>
                <w:color w:val="000000"/>
                <w:sz w:val="18"/>
                <w:szCs w:val="18"/>
                <w:lang w:eastAsia="it-IT"/>
              </w:rPr>
              <w:t>Avviamenti</w:t>
            </w:r>
          </w:p>
        </w:tc>
        <w:tc>
          <w:tcPr>
            <w:tcW w:w="211" w:type="pct"/>
            <w:noWrap/>
            <w:vAlign w:val="bottom"/>
            <w:hideMark/>
          </w:tcPr>
          <w:p w:rsidR="009E35BE" w:rsidRPr="00023136" w:rsidRDefault="009E35BE" w:rsidP="00832031">
            <w:pPr>
              <w:spacing w:after="0" w:line="240" w:lineRule="auto"/>
              <w:jc w:val="center"/>
              <w:rPr>
                <w:rFonts w:ascii="Calibri" w:eastAsia="Times New Roman" w:hAnsi="Calibri" w:cs="Calibri"/>
                <w:b/>
                <w:bCs/>
                <w:color w:val="000000"/>
                <w:sz w:val="18"/>
                <w:szCs w:val="18"/>
                <w:lang w:eastAsia="it-IT"/>
              </w:rPr>
            </w:pPr>
            <w:r w:rsidRPr="00023136">
              <w:rPr>
                <w:rFonts w:ascii="Calibri" w:eastAsia="Times New Roman" w:hAnsi="Calibri" w:cs="Calibri"/>
                <w:b/>
                <w:bCs/>
                <w:color w:val="000000"/>
                <w:sz w:val="18"/>
                <w:szCs w:val="18"/>
                <w:lang w:eastAsia="it-IT"/>
              </w:rPr>
              <w:t>Cessazioni</w:t>
            </w:r>
          </w:p>
        </w:tc>
        <w:tc>
          <w:tcPr>
            <w:tcW w:w="211" w:type="pct"/>
            <w:noWrap/>
            <w:vAlign w:val="bottom"/>
            <w:hideMark/>
          </w:tcPr>
          <w:p w:rsidR="009E35BE" w:rsidRPr="00023136" w:rsidRDefault="009E35BE" w:rsidP="00832031">
            <w:pPr>
              <w:spacing w:after="0" w:line="240" w:lineRule="auto"/>
              <w:jc w:val="center"/>
              <w:rPr>
                <w:rFonts w:ascii="Calibri" w:eastAsia="Times New Roman" w:hAnsi="Calibri" w:cs="Calibri"/>
                <w:b/>
                <w:bCs/>
                <w:color w:val="000000"/>
                <w:sz w:val="18"/>
                <w:szCs w:val="18"/>
                <w:lang w:eastAsia="it-IT"/>
              </w:rPr>
            </w:pPr>
            <w:r w:rsidRPr="00023136">
              <w:rPr>
                <w:rFonts w:ascii="Calibri" w:eastAsia="Times New Roman" w:hAnsi="Calibri" w:cs="Calibri"/>
                <w:b/>
                <w:bCs/>
                <w:color w:val="000000"/>
                <w:sz w:val="18"/>
                <w:szCs w:val="18"/>
                <w:lang w:eastAsia="it-IT"/>
              </w:rPr>
              <w:t>Saldo</w:t>
            </w:r>
          </w:p>
        </w:tc>
        <w:tc>
          <w:tcPr>
            <w:tcW w:w="211" w:type="pct"/>
            <w:noWrap/>
            <w:vAlign w:val="bottom"/>
            <w:hideMark/>
          </w:tcPr>
          <w:p w:rsidR="009E35BE" w:rsidRPr="00023136" w:rsidRDefault="009E35BE" w:rsidP="00832031">
            <w:pPr>
              <w:spacing w:after="0" w:line="240" w:lineRule="auto"/>
              <w:jc w:val="center"/>
              <w:rPr>
                <w:rFonts w:ascii="Calibri" w:eastAsia="Times New Roman" w:hAnsi="Calibri" w:cs="Calibri"/>
                <w:b/>
                <w:bCs/>
                <w:color w:val="000000"/>
                <w:sz w:val="18"/>
                <w:szCs w:val="18"/>
                <w:lang w:eastAsia="it-IT"/>
              </w:rPr>
            </w:pPr>
            <w:r w:rsidRPr="00023136">
              <w:rPr>
                <w:rFonts w:ascii="Calibri" w:eastAsia="Times New Roman" w:hAnsi="Calibri" w:cs="Calibri"/>
                <w:b/>
                <w:bCs/>
                <w:color w:val="000000"/>
                <w:sz w:val="18"/>
                <w:szCs w:val="18"/>
                <w:lang w:eastAsia="it-IT"/>
              </w:rPr>
              <w:t>Avviamenti</w:t>
            </w:r>
          </w:p>
        </w:tc>
        <w:tc>
          <w:tcPr>
            <w:tcW w:w="211" w:type="pct"/>
            <w:noWrap/>
            <w:vAlign w:val="bottom"/>
            <w:hideMark/>
          </w:tcPr>
          <w:p w:rsidR="009E35BE" w:rsidRPr="00023136" w:rsidRDefault="009E35BE" w:rsidP="00832031">
            <w:pPr>
              <w:spacing w:after="0" w:line="240" w:lineRule="auto"/>
              <w:jc w:val="center"/>
              <w:rPr>
                <w:rFonts w:ascii="Calibri" w:eastAsia="Times New Roman" w:hAnsi="Calibri" w:cs="Calibri"/>
                <w:b/>
                <w:bCs/>
                <w:color w:val="000000"/>
                <w:sz w:val="18"/>
                <w:szCs w:val="18"/>
                <w:lang w:eastAsia="it-IT"/>
              </w:rPr>
            </w:pPr>
            <w:r w:rsidRPr="00023136">
              <w:rPr>
                <w:rFonts w:ascii="Calibri" w:eastAsia="Times New Roman" w:hAnsi="Calibri" w:cs="Calibri"/>
                <w:b/>
                <w:bCs/>
                <w:color w:val="000000"/>
                <w:sz w:val="18"/>
                <w:szCs w:val="18"/>
                <w:lang w:eastAsia="it-IT"/>
              </w:rPr>
              <w:t>Cessazioni</w:t>
            </w:r>
          </w:p>
        </w:tc>
        <w:tc>
          <w:tcPr>
            <w:tcW w:w="211" w:type="pct"/>
            <w:noWrap/>
            <w:vAlign w:val="bottom"/>
            <w:hideMark/>
          </w:tcPr>
          <w:p w:rsidR="009E35BE" w:rsidRPr="00023136" w:rsidRDefault="009E35BE" w:rsidP="00832031">
            <w:pPr>
              <w:spacing w:after="0" w:line="240" w:lineRule="auto"/>
              <w:jc w:val="center"/>
              <w:rPr>
                <w:rFonts w:ascii="Calibri" w:eastAsia="Times New Roman" w:hAnsi="Calibri" w:cs="Calibri"/>
                <w:b/>
                <w:bCs/>
                <w:color w:val="000000"/>
                <w:sz w:val="18"/>
                <w:szCs w:val="18"/>
                <w:lang w:eastAsia="it-IT"/>
              </w:rPr>
            </w:pPr>
            <w:r w:rsidRPr="00023136">
              <w:rPr>
                <w:rFonts w:ascii="Calibri" w:eastAsia="Times New Roman" w:hAnsi="Calibri" w:cs="Calibri"/>
                <w:b/>
                <w:bCs/>
                <w:color w:val="000000"/>
                <w:sz w:val="18"/>
                <w:szCs w:val="18"/>
                <w:lang w:eastAsia="it-IT"/>
              </w:rPr>
              <w:t>Saldo</w:t>
            </w:r>
          </w:p>
        </w:tc>
        <w:tc>
          <w:tcPr>
            <w:tcW w:w="211" w:type="pct"/>
            <w:noWrap/>
            <w:vAlign w:val="bottom"/>
            <w:hideMark/>
          </w:tcPr>
          <w:p w:rsidR="009E35BE" w:rsidRPr="00023136" w:rsidRDefault="009E35BE" w:rsidP="00832031">
            <w:pPr>
              <w:spacing w:after="0" w:line="240" w:lineRule="auto"/>
              <w:jc w:val="center"/>
              <w:rPr>
                <w:rFonts w:ascii="Calibri" w:eastAsia="Times New Roman" w:hAnsi="Calibri" w:cs="Calibri"/>
                <w:b/>
                <w:bCs/>
                <w:color w:val="000000"/>
                <w:sz w:val="18"/>
                <w:szCs w:val="18"/>
                <w:lang w:eastAsia="it-IT"/>
              </w:rPr>
            </w:pPr>
            <w:r w:rsidRPr="00023136">
              <w:rPr>
                <w:rFonts w:ascii="Calibri" w:eastAsia="Times New Roman" w:hAnsi="Calibri" w:cs="Calibri"/>
                <w:b/>
                <w:bCs/>
                <w:color w:val="000000"/>
                <w:sz w:val="18"/>
                <w:szCs w:val="18"/>
                <w:lang w:eastAsia="it-IT"/>
              </w:rPr>
              <w:t>Avviamenti</w:t>
            </w:r>
          </w:p>
        </w:tc>
        <w:tc>
          <w:tcPr>
            <w:tcW w:w="211" w:type="pct"/>
            <w:noWrap/>
            <w:vAlign w:val="bottom"/>
            <w:hideMark/>
          </w:tcPr>
          <w:p w:rsidR="009E35BE" w:rsidRPr="00023136" w:rsidRDefault="009E35BE" w:rsidP="00832031">
            <w:pPr>
              <w:spacing w:after="0" w:line="240" w:lineRule="auto"/>
              <w:jc w:val="center"/>
              <w:rPr>
                <w:rFonts w:ascii="Calibri" w:eastAsia="Times New Roman" w:hAnsi="Calibri" w:cs="Calibri"/>
                <w:b/>
                <w:bCs/>
                <w:color w:val="000000"/>
                <w:sz w:val="18"/>
                <w:szCs w:val="18"/>
                <w:lang w:eastAsia="it-IT"/>
              </w:rPr>
            </w:pPr>
            <w:r w:rsidRPr="00023136">
              <w:rPr>
                <w:rFonts w:ascii="Calibri" w:eastAsia="Times New Roman" w:hAnsi="Calibri" w:cs="Calibri"/>
                <w:b/>
                <w:bCs/>
                <w:color w:val="000000"/>
                <w:sz w:val="18"/>
                <w:szCs w:val="18"/>
                <w:lang w:eastAsia="it-IT"/>
              </w:rPr>
              <w:t>Cessazioni</w:t>
            </w:r>
          </w:p>
        </w:tc>
        <w:tc>
          <w:tcPr>
            <w:tcW w:w="211" w:type="pct"/>
            <w:noWrap/>
            <w:vAlign w:val="bottom"/>
            <w:hideMark/>
          </w:tcPr>
          <w:p w:rsidR="009E35BE" w:rsidRPr="00023136" w:rsidRDefault="009E35BE" w:rsidP="00832031">
            <w:pPr>
              <w:spacing w:after="0" w:line="240" w:lineRule="auto"/>
              <w:jc w:val="center"/>
              <w:rPr>
                <w:rFonts w:ascii="Calibri" w:eastAsia="Times New Roman" w:hAnsi="Calibri" w:cs="Calibri"/>
                <w:b/>
                <w:bCs/>
                <w:color w:val="000000"/>
                <w:sz w:val="18"/>
                <w:szCs w:val="18"/>
                <w:lang w:eastAsia="it-IT"/>
              </w:rPr>
            </w:pPr>
            <w:r w:rsidRPr="00023136">
              <w:rPr>
                <w:rFonts w:ascii="Calibri" w:eastAsia="Times New Roman" w:hAnsi="Calibri" w:cs="Calibri"/>
                <w:b/>
                <w:bCs/>
                <w:color w:val="000000"/>
                <w:sz w:val="18"/>
                <w:szCs w:val="18"/>
                <w:lang w:eastAsia="it-IT"/>
              </w:rPr>
              <w:t>Saldo</w:t>
            </w:r>
          </w:p>
        </w:tc>
        <w:tc>
          <w:tcPr>
            <w:tcW w:w="211" w:type="pct"/>
            <w:noWrap/>
            <w:vAlign w:val="bottom"/>
            <w:hideMark/>
          </w:tcPr>
          <w:p w:rsidR="009E35BE" w:rsidRPr="00023136" w:rsidRDefault="009E35BE" w:rsidP="00832031">
            <w:pPr>
              <w:spacing w:after="0" w:line="240" w:lineRule="auto"/>
              <w:jc w:val="center"/>
              <w:rPr>
                <w:rFonts w:ascii="Calibri" w:eastAsia="Times New Roman" w:hAnsi="Calibri" w:cs="Calibri"/>
                <w:b/>
                <w:bCs/>
                <w:color w:val="000000"/>
                <w:sz w:val="18"/>
                <w:szCs w:val="18"/>
                <w:lang w:eastAsia="it-IT"/>
              </w:rPr>
            </w:pPr>
            <w:r w:rsidRPr="00023136">
              <w:rPr>
                <w:rFonts w:ascii="Calibri" w:eastAsia="Times New Roman" w:hAnsi="Calibri" w:cs="Calibri"/>
                <w:b/>
                <w:bCs/>
                <w:color w:val="000000"/>
                <w:sz w:val="18"/>
                <w:szCs w:val="18"/>
                <w:lang w:eastAsia="it-IT"/>
              </w:rPr>
              <w:t>Avviamenti</w:t>
            </w:r>
          </w:p>
        </w:tc>
        <w:tc>
          <w:tcPr>
            <w:tcW w:w="211" w:type="pct"/>
            <w:noWrap/>
            <w:vAlign w:val="bottom"/>
            <w:hideMark/>
          </w:tcPr>
          <w:p w:rsidR="009E35BE" w:rsidRPr="00023136" w:rsidRDefault="009E35BE" w:rsidP="00832031">
            <w:pPr>
              <w:spacing w:after="0" w:line="240" w:lineRule="auto"/>
              <w:jc w:val="center"/>
              <w:rPr>
                <w:rFonts w:ascii="Calibri" w:eastAsia="Times New Roman" w:hAnsi="Calibri" w:cs="Calibri"/>
                <w:b/>
                <w:bCs/>
                <w:color w:val="000000"/>
                <w:sz w:val="18"/>
                <w:szCs w:val="18"/>
                <w:lang w:eastAsia="it-IT"/>
              </w:rPr>
            </w:pPr>
            <w:r w:rsidRPr="00023136">
              <w:rPr>
                <w:rFonts w:ascii="Calibri" w:eastAsia="Times New Roman" w:hAnsi="Calibri" w:cs="Calibri"/>
                <w:b/>
                <w:bCs/>
                <w:color w:val="000000"/>
                <w:sz w:val="18"/>
                <w:szCs w:val="18"/>
                <w:lang w:eastAsia="it-IT"/>
              </w:rPr>
              <w:t>Cessazioni</w:t>
            </w:r>
          </w:p>
        </w:tc>
        <w:tc>
          <w:tcPr>
            <w:tcW w:w="211" w:type="pct"/>
            <w:noWrap/>
            <w:vAlign w:val="bottom"/>
            <w:hideMark/>
          </w:tcPr>
          <w:p w:rsidR="009E35BE" w:rsidRPr="00023136" w:rsidRDefault="009E35BE" w:rsidP="00832031">
            <w:pPr>
              <w:spacing w:after="0" w:line="240" w:lineRule="auto"/>
              <w:jc w:val="center"/>
              <w:rPr>
                <w:rFonts w:ascii="Calibri" w:eastAsia="Times New Roman" w:hAnsi="Calibri" w:cs="Calibri"/>
                <w:b/>
                <w:bCs/>
                <w:color w:val="000000"/>
                <w:sz w:val="18"/>
                <w:szCs w:val="18"/>
                <w:lang w:eastAsia="it-IT"/>
              </w:rPr>
            </w:pPr>
            <w:r w:rsidRPr="00023136">
              <w:rPr>
                <w:rFonts w:ascii="Calibri" w:eastAsia="Times New Roman" w:hAnsi="Calibri" w:cs="Calibri"/>
                <w:b/>
                <w:bCs/>
                <w:color w:val="000000"/>
                <w:sz w:val="18"/>
                <w:szCs w:val="18"/>
                <w:lang w:eastAsia="it-IT"/>
              </w:rPr>
              <w:t>Saldo</w:t>
            </w:r>
          </w:p>
        </w:tc>
      </w:tr>
      <w:tr w:rsidR="009E35BE" w:rsidRPr="00023136" w:rsidTr="00832031">
        <w:trPr>
          <w:trHeight w:val="300"/>
        </w:trPr>
        <w:tc>
          <w:tcPr>
            <w:tcW w:w="570" w:type="pct"/>
            <w:vAlign w:val="bottom"/>
          </w:tcPr>
          <w:p w:rsidR="009E35BE" w:rsidRPr="00116509" w:rsidRDefault="009E35BE" w:rsidP="00832031">
            <w:pPr>
              <w:spacing w:after="0" w:line="240" w:lineRule="auto"/>
              <w:rPr>
                <w:rFonts w:ascii="Calibri" w:hAnsi="Calibri" w:cs="Calibri"/>
                <w:color w:val="000000"/>
                <w:sz w:val="18"/>
                <w:szCs w:val="18"/>
              </w:rPr>
            </w:pPr>
            <w:r w:rsidRPr="00116509">
              <w:rPr>
                <w:rFonts w:ascii="Calibri" w:hAnsi="Calibri" w:cs="Calibri"/>
                <w:color w:val="000000"/>
                <w:sz w:val="18"/>
                <w:szCs w:val="18"/>
              </w:rPr>
              <w:t>LAVORO A TEMPO DETERMINATO</w:t>
            </w:r>
          </w:p>
        </w:tc>
        <w:tc>
          <w:tcPr>
            <w:tcW w:w="211" w:type="pct"/>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409 </w:t>
            </w:r>
          </w:p>
        </w:tc>
        <w:tc>
          <w:tcPr>
            <w:tcW w:w="211" w:type="pct"/>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252 </w:t>
            </w:r>
          </w:p>
        </w:tc>
        <w:tc>
          <w:tcPr>
            <w:tcW w:w="211" w:type="pct"/>
            <w:noWrap/>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157 </w:t>
            </w:r>
          </w:p>
        </w:tc>
        <w:tc>
          <w:tcPr>
            <w:tcW w:w="211" w:type="pct"/>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511 </w:t>
            </w:r>
          </w:p>
        </w:tc>
        <w:tc>
          <w:tcPr>
            <w:tcW w:w="211" w:type="pct"/>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307 </w:t>
            </w:r>
          </w:p>
        </w:tc>
        <w:tc>
          <w:tcPr>
            <w:tcW w:w="211" w:type="pct"/>
            <w:noWrap/>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204 </w:t>
            </w:r>
          </w:p>
        </w:tc>
        <w:tc>
          <w:tcPr>
            <w:tcW w:w="211" w:type="pct"/>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643 </w:t>
            </w:r>
          </w:p>
        </w:tc>
        <w:tc>
          <w:tcPr>
            <w:tcW w:w="211" w:type="pct"/>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448 </w:t>
            </w:r>
          </w:p>
        </w:tc>
        <w:tc>
          <w:tcPr>
            <w:tcW w:w="211" w:type="pct"/>
            <w:noWrap/>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195 </w:t>
            </w:r>
          </w:p>
        </w:tc>
        <w:tc>
          <w:tcPr>
            <w:tcW w:w="211" w:type="pct"/>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813 </w:t>
            </w:r>
          </w:p>
        </w:tc>
        <w:tc>
          <w:tcPr>
            <w:tcW w:w="211" w:type="pct"/>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629 </w:t>
            </w:r>
          </w:p>
        </w:tc>
        <w:tc>
          <w:tcPr>
            <w:tcW w:w="211" w:type="pct"/>
            <w:noWrap/>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184 </w:t>
            </w:r>
          </w:p>
        </w:tc>
        <w:tc>
          <w:tcPr>
            <w:tcW w:w="211" w:type="pct"/>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703 </w:t>
            </w:r>
          </w:p>
        </w:tc>
        <w:tc>
          <w:tcPr>
            <w:tcW w:w="211" w:type="pct"/>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562 </w:t>
            </w:r>
          </w:p>
        </w:tc>
        <w:tc>
          <w:tcPr>
            <w:tcW w:w="211" w:type="pct"/>
            <w:noWrap/>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141 </w:t>
            </w:r>
          </w:p>
        </w:tc>
        <w:tc>
          <w:tcPr>
            <w:tcW w:w="211" w:type="pct"/>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761 </w:t>
            </w:r>
          </w:p>
        </w:tc>
        <w:tc>
          <w:tcPr>
            <w:tcW w:w="211" w:type="pct"/>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603 </w:t>
            </w:r>
          </w:p>
        </w:tc>
        <w:tc>
          <w:tcPr>
            <w:tcW w:w="211" w:type="pct"/>
            <w:noWrap/>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158 </w:t>
            </w:r>
          </w:p>
        </w:tc>
        <w:tc>
          <w:tcPr>
            <w:tcW w:w="211" w:type="pct"/>
            <w:noWrap/>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3.840 </w:t>
            </w:r>
          </w:p>
        </w:tc>
        <w:tc>
          <w:tcPr>
            <w:tcW w:w="211" w:type="pct"/>
            <w:noWrap/>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2.801 </w:t>
            </w:r>
          </w:p>
        </w:tc>
        <w:tc>
          <w:tcPr>
            <w:tcW w:w="211" w:type="pct"/>
            <w:noWrap/>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1.039 </w:t>
            </w:r>
          </w:p>
        </w:tc>
      </w:tr>
      <w:tr w:rsidR="009E35BE" w:rsidRPr="00023136" w:rsidTr="00832031">
        <w:trPr>
          <w:trHeight w:val="600"/>
        </w:trPr>
        <w:tc>
          <w:tcPr>
            <w:tcW w:w="570" w:type="pct"/>
            <w:vAlign w:val="bottom"/>
          </w:tcPr>
          <w:p w:rsidR="009E35BE" w:rsidRPr="00116509" w:rsidRDefault="009E35BE" w:rsidP="00832031">
            <w:pPr>
              <w:spacing w:after="0" w:line="240" w:lineRule="auto"/>
              <w:rPr>
                <w:rFonts w:ascii="Calibri" w:hAnsi="Calibri" w:cs="Calibri"/>
                <w:color w:val="000000"/>
                <w:sz w:val="18"/>
                <w:szCs w:val="18"/>
              </w:rPr>
            </w:pPr>
            <w:r w:rsidRPr="00116509">
              <w:rPr>
                <w:rFonts w:ascii="Calibri" w:hAnsi="Calibri" w:cs="Calibri"/>
                <w:color w:val="000000"/>
                <w:sz w:val="18"/>
                <w:szCs w:val="18"/>
              </w:rPr>
              <w:t>LAVORO A TEMPO INDETERMINATO</w:t>
            </w:r>
          </w:p>
        </w:tc>
        <w:tc>
          <w:tcPr>
            <w:tcW w:w="211" w:type="pct"/>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236 </w:t>
            </w:r>
          </w:p>
        </w:tc>
        <w:tc>
          <w:tcPr>
            <w:tcW w:w="211" w:type="pct"/>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686 </w:t>
            </w:r>
          </w:p>
        </w:tc>
        <w:tc>
          <w:tcPr>
            <w:tcW w:w="211" w:type="pct"/>
            <w:noWrap/>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-450 </w:t>
            </w:r>
          </w:p>
        </w:tc>
        <w:tc>
          <w:tcPr>
            <w:tcW w:w="211" w:type="pct"/>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254 </w:t>
            </w:r>
          </w:p>
        </w:tc>
        <w:tc>
          <w:tcPr>
            <w:tcW w:w="211" w:type="pct"/>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794 </w:t>
            </w:r>
          </w:p>
        </w:tc>
        <w:tc>
          <w:tcPr>
            <w:tcW w:w="211" w:type="pct"/>
            <w:noWrap/>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-540 </w:t>
            </w:r>
          </w:p>
        </w:tc>
        <w:tc>
          <w:tcPr>
            <w:tcW w:w="211" w:type="pct"/>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338 </w:t>
            </w:r>
          </w:p>
        </w:tc>
        <w:tc>
          <w:tcPr>
            <w:tcW w:w="211" w:type="pct"/>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460 </w:t>
            </w:r>
          </w:p>
        </w:tc>
        <w:tc>
          <w:tcPr>
            <w:tcW w:w="211" w:type="pct"/>
            <w:noWrap/>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-122 </w:t>
            </w:r>
          </w:p>
        </w:tc>
        <w:tc>
          <w:tcPr>
            <w:tcW w:w="211" w:type="pct"/>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439 </w:t>
            </w:r>
          </w:p>
        </w:tc>
        <w:tc>
          <w:tcPr>
            <w:tcW w:w="211" w:type="pct"/>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499 </w:t>
            </w:r>
          </w:p>
        </w:tc>
        <w:tc>
          <w:tcPr>
            <w:tcW w:w="211" w:type="pct"/>
            <w:noWrap/>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-60 </w:t>
            </w:r>
          </w:p>
        </w:tc>
        <w:tc>
          <w:tcPr>
            <w:tcW w:w="211" w:type="pct"/>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644 </w:t>
            </w:r>
          </w:p>
        </w:tc>
        <w:tc>
          <w:tcPr>
            <w:tcW w:w="211" w:type="pct"/>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657 </w:t>
            </w:r>
          </w:p>
        </w:tc>
        <w:tc>
          <w:tcPr>
            <w:tcW w:w="211" w:type="pct"/>
            <w:noWrap/>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-13 </w:t>
            </w:r>
          </w:p>
        </w:tc>
        <w:tc>
          <w:tcPr>
            <w:tcW w:w="211" w:type="pct"/>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410 </w:t>
            </w:r>
          </w:p>
        </w:tc>
        <w:tc>
          <w:tcPr>
            <w:tcW w:w="211" w:type="pct"/>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658 </w:t>
            </w:r>
          </w:p>
        </w:tc>
        <w:tc>
          <w:tcPr>
            <w:tcW w:w="211" w:type="pct"/>
            <w:noWrap/>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-248 </w:t>
            </w:r>
          </w:p>
        </w:tc>
        <w:tc>
          <w:tcPr>
            <w:tcW w:w="211" w:type="pct"/>
            <w:noWrap/>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2.321 </w:t>
            </w:r>
          </w:p>
        </w:tc>
        <w:tc>
          <w:tcPr>
            <w:tcW w:w="211" w:type="pct"/>
            <w:noWrap/>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3.754 </w:t>
            </w:r>
          </w:p>
        </w:tc>
        <w:tc>
          <w:tcPr>
            <w:tcW w:w="211" w:type="pct"/>
            <w:noWrap/>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-1.433 </w:t>
            </w:r>
          </w:p>
        </w:tc>
      </w:tr>
      <w:tr w:rsidR="009E35BE" w:rsidRPr="00023136" w:rsidTr="00832031">
        <w:trPr>
          <w:trHeight w:val="300"/>
        </w:trPr>
        <w:tc>
          <w:tcPr>
            <w:tcW w:w="570" w:type="pct"/>
            <w:vAlign w:val="bottom"/>
          </w:tcPr>
          <w:p w:rsidR="009E35BE" w:rsidRPr="00116509" w:rsidRDefault="009E35BE" w:rsidP="00832031">
            <w:pPr>
              <w:spacing w:after="0" w:line="240" w:lineRule="auto"/>
              <w:rPr>
                <w:rFonts w:ascii="Calibri" w:hAnsi="Calibri" w:cs="Calibri"/>
                <w:color w:val="000000"/>
                <w:sz w:val="18"/>
                <w:szCs w:val="18"/>
              </w:rPr>
            </w:pPr>
            <w:r w:rsidRPr="00116509">
              <w:rPr>
                <w:rFonts w:ascii="Calibri" w:hAnsi="Calibri" w:cs="Calibri"/>
                <w:color w:val="000000"/>
                <w:sz w:val="18"/>
                <w:szCs w:val="18"/>
              </w:rPr>
              <w:t>APPRENDISTATO</w:t>
            </w:r>
          </w:p>
        </w:tc>
        <w:tc>
          <w:tcPr>
            <w:tcW w:w="211" w:type="pct"/>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117 </w:t>
            </w:r>
          </w:p>
        </w:tc>
        <w:tc>
          <w:tcPr>
            <w:tcW w:w="211" w:type="pct"/>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114 </w:t>
            </w:r>
          </w:p>
        </w:tc>
        <w:tc>
          <w:tcPr>
            <w:tcW w:w="211" w:type="pct"/>
            <w:noWrap/>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3 </w:t>
            </w:r>
          </w:p>
        </w:tc>
        <w:tc>
          <w:tcPr>
            <w:tcW w:w="211" w:type="pct"/>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142 </w:t>
            </w:r>
          </w:p>
        </w:tc>
        <w:tc>
          <w:tcPr>
            <w:tcW w:w="211" w:type="pct"/>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84 </w:t>
            </w:r>
          </w:p>
        </w:tc>
        <w:tc>
          <w:tcPr>
            <w:tcW w:w="211" w:type="pct"/>
            <w:noWrap/>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58 </w:t>
            </w:r>
          </w:p>
        </w:tc>
        <w:tc>
          <w:tcPr>
            <w:tcW w:w="211" w:type="pct"/>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182 </w:t>
            </w:r>
          </w:p>
        </w:tc>
        <w:tc>
          <w:tcPr>
            <w:tcW w:w="211" w:type="pct"/>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74 </w:t>
            </w:r>
          </w:p>
        </w:tc>
        <w:tc>
          <w:tcPr>
            <w:tcW w:w="211" w:type="pct"/>
            <w:noWrap/>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108 </w:t>
            </w:r>
          </w:p>
        </w:tc>
        <w:tc>
          <w:tcPr>
            <w:tcW w:w="211" w:type="pct"/>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241 </w:t>
            </w:r>
          </w:p>
        </w:tc>
        <w:tc>
          <w:tcPr>
            <w:tcW w:w="211" w:type="pct"/>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92 </w:t>
            </w:r>
          </w:p>
        </w:tc>
        <w:tc>
          <w:tcPr>
            <w:tcW w:w="211" w:type="pct"/>
            <w:noWrap/>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149 </w:t>
            </w:r>
          </w:p>
        </w:tc>
        <w:tc>
          <w:tcPr>
            <w:tcW w:w="211" w:type="pct"/>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241 </w:t>
            </w:r>
          </w:p>
        </w:tc>
        <w:tc>
          <w:tcPr>
            <w:tcW w:w="211" w:type="pct"/>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130 </w:t>
            </w:r>
          </w:p>
        </w:tc>
        <w:tc>
          <w:tcPr>
            <w:tcW w:w="211" w:type="pct"/>
            <w:noWrap/>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111 </w:t>
            </w:r>
          </w:p>
        </w:tc>
        <w:tc>
          <w:tcPr>
            <w:tcW w:w="211" w:type="pct"/>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279 </w:t>
            </w:r>
          </w:p>
        </w:tc>
        <w:tc>
          <w:tcPr>
            <w:tcW w:w="211" w:type="pct"/>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159 </w:t>
            </w:r>
          </w:p>
        </w:tc>
        <w:tc>
          <w:tcPr>
            <w:tcW w:w="211" w:type="pct"/>
            <w:noWrap/>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120 </w:t>
            </w:r>
          </w:p>
        </w:tc>
        <w:tc>
          <w:tcPr>
            <w:tcW w:w="211" w:type="pct"/>
            <w:noWrap/>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1.202 </w:t>
            </w:r>
          </w:p>
        </w:tc>
        <w:tc>
          <w:tcPr>
            <w:tcW w:w="211" w:type="pct"/>
            <w:noWrap/>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653 </w:t>
            </w:r>
          </w:p>
        </w:tc>
        <w:tc>
          <w:tcPr>
            <w:tcW w:w="211" w:type="pct"/>
            <w:noWrap/>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549 </w:t>
            </w:r>
          </w:p>
        </w:tc>
      </w:tr>
      <w:tr w:rsidR="009E35BE" w:rsidRPr="00023136" w:rsidTr="00832031">
        <w:trPr>
          <w:trHeight w:val="300"/>
        </w:trPr>
        <w:tc>
          <w:tcPr>
            <w:tcW w:w="570" w:type="pct"/>
            <w:vAlign w:val="bottom"/>
          </w:tcPr>
          <w:p w:rsidR="009E35BE" w:rsidRPr="00116509" w:rsidRDefault="009E35BE" w:rsidP="00832031">
            <w:pPr>
              <w:spacing w:after="0" w:line="240" w:lineRule="auto"/>
              <w:rPr>
                <w:rFonts w:ascii="Calibri" w:hAnsi="Calibri" w:cs="Calibri"/>
                <w:color w:val="000000"/>
                <w:sz w:val="18"/>
                <w:szCs w:val="18"/>
              </w:rPr>
            </w:pPr>
            <w:r w:rsidRPr="00116509">
              <w:rPr>
                <w:rFonts w:ascii="Calibri" w:hAnsi="Calibri" w:cs="Calibri"/>
                <w:color w:val="000000"/>
                <w:sz w:val="18"/>
                <w:szCs w:val="18"/>
              </w:rPr>
              <w:t xml:space="preserve">CONTRATTO DI </w:t>
            </w:r>
            <w:r>
              <w:rPr>
                <w:rFonts w:ascii="Calibri" w:hAnsi="Calibri" w:cs="Calibri"/>
                <w:color w:val="000000"/>
                <w:sz w:val="18"/>
                <w:szCs w:val="18"/>
              </w:rPr>
              <w:t>SOMMINISTRAZIONE</w:t>
            </w:r>
          </w:p>
        </w:tc>
        <w:tc>
          <w:tcPr>
            <w:tcW w:w="211" w:type="pct"/>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66 </w:t>
            </w:r>
          </w:p>
        </w:tc>
        <w:tc>
          <w:tcPr>
            <w:tcW w:w="211" w:type="pct"/>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53 </w:t>
            </w:r>
          </w:p>
        </w:tc>
        <w:tc>
          <w:tcPr>
            <w:tcW w:w="211" w:type="pct"/>
            <w:noWrap/>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13 </w:t>
            </w:r>
          </w:p>
        </w:tc>
        <w:tc>
          <w:tcPr>
            <w:tcW w:w="211" w:type="pct"/>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101 </w:t>
            </w:r>
          </w:p>
        </w:tc>
        <w:tc>
          <w:tcPr>
            <w:tcW w:w="211" w:type="pct"/>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123 </w:t>
            </w:r>
          </w:p>
        </w:tc>
        <w:tc>
          <w:tcPr>
            <w:tcW w:w="211" w:type="pct"/>
            <w:noWrap/>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-22 </w:t>
            </w:r>
          </w:p>
        </w:tc>
        <w:tc>
          <w:tcPr>
            <w:tcW w:w="211" w:type="pct"/>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7 </w:t>
            </w:r>
          </w:p>
        </w:tc>
        <w:tc>
          <w:tcPr>
            <w:tcW w:w="211" w:type="pct"/>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7 </w:t>
            </w:r>
          </w:p>
        </w:tc>
        <w:tc>
          <w:tcPr>
            <w:tcW w:w="211" w:type="pct"/>
            <w:noWrap/>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   </w:t>
            </w:r>
          </w:p>
        </w:tc>
        <w:tc>
          <w:tcPr>
            <w:tcW w:w="211" w:type="pct"/>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1 </w:t>
            </w:r>
          </w:p>
        </w:tc>
        <w:tc>
          <w:tcPr>
            <w:tcW w:w="211" w:type="pct"/>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   </w:t>
            </w:r>
          </w:p>
        </w:tc>
        <w:tc>
          <w:tcPr>
            <w:tcW w:w="211" w:type="pct"/>
            <w:noWrap/>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1 </w:t>
            </w:r>
          </w:p>
        </w:tc>
        <w:tc>
          <w:tcPr>
            <w:tcW w:w="211" w:type="pct"/>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   </w:t>
            </w:r>
          </w:p>
        </w:tc>
        <w:tc>
          <w:tcPr>
            <w:tcW w:w="211" w:type="pct"/>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2 </w:t>
            </w:r>
          </w:p>
        </w:tc>
        <w:tc>
          <w:tcPr>
            <w:tcW w:w="211" w:type="pct"/>
            <w:noWrap/>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-2 </w:t>
            </w:r>
          </w:p>
        </w:tc>
        <w:tc>
          <w:tcPr>
            <w:tcW w:w="211" w:type="pct"/>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   </w:t>
            </w:r>
          </w:p>
        </w:tc>
        <w:tc>
          <w:tcPr>
            <w:tcW w:w="211" w:type="pct"/>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1 </w:t>
            </w:r>
          </w:p>
        </w:tc>
        <w:tc>
          <w:tcPr>
            <w:tcW w:w="211" w:type="pct"/>
            <w:noWrap/>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-1 </w:t>
            </w:r>
          </w:p>
        </w:tc>
        <w:tc>
          <w:tcPr>
            <w:tcW w:w="211" w:type="pct"/>
            <w:noWrap/>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175 </w:t>
            </w:r>
          </w:p>
        </w:tc>
        <w:tc>
          <w:tcPr>
            <w:tcW w:w="211" w:type="pct"/>
            <w:noWrap/>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186 </w:t>
            </w:r>
          </w:p>
        </w:tc>
        <w:tc>
          <w:tcPr>
            <w:tcW w:w="211" w:type="pct"/>
            <w:noWrap/>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-11 </w:t>
            </w:r>
          </w:p>
        </w:tc>
      </w:tr>
      <w:tr w:rsidR="009E35BE" w:rsidRPr="00023136" w:rsidTr="00832031">
        <w:trPr>
          <w:trHeight w:val="900"/>
        </w:trPr>
        <w:tc>
          <w:tcPr>
            <w:tcW w:w="570" w:type="pct"/>
            <w:vAlign w:val="bottom"/>
          </w:tcPr>
          <w:p w:rsidR="009E35BE" w:rsidRPr="00116509" w:rsidRDefault="009E35BE" w:rsidP="00832031">
            <w:pPr>
              <w:spacing w:after="0" w:line="240" w:lineRule="auto"/>
              <w:rPr>
                <w:rFonts w:ascii="Calibri" w:hAnsi="Calibri" w:cs="Calibri"/>
                <w:color w:val="000000"/>
                <w:sz w:val="18"/>
                <w:szCs w:val="18"/>
              </w:rPr>
            </w:pPr>
            <w:r w:rsidRPr="00116509">
              <w:rPr>
                <w:rFonts w:ascii="Calibri" w:hAnsi="Calibri" w:cs="Calibri"/>
                <w:color w:val="000000"/>
                <w:sz w:val="18"/>
                <w:szCs w:val="18"/>
              </w:rPr>
              <w:t>LAVORO A PROGETTO / COLLABORAZIONE COORDINATA E CONTINUATIVA</w:t>
            </w:r>
          </w:p>
        </w:tc>
        <w:tc>
          <w:tcPr>
            <w:tcW w:w="211" w:type="pct"/>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39 </w:t>
            </w:r>
          </w:p>
        </w:tc>
        <w:tc>
          <w:tcPr>
            <w:tcW w:w="211" w:type="pct"/>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38 </w:t>
            </w:r>
          </w:p>
        </w:tc>
        <w:tc>
          <w:tcPr>
            <w:tcW w:w="211" w:type="pct"/>
            <w:noWrap/>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1 </w:t>
            </w:r>
          </w:p>
        </w:tc>
        <w:tc>
          <w:tcPr>
            <w:tcW w:w="211" w:type="pct"/>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34 </w:t>
            </w:r>
          </w:p>
        </w:tc>
        <w:tc>
          <w:tcPr>
            <w:tcW w:w="211" w:type="pct"/>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39 </w:t>
            </w:r>
          </w:p>
        </w:tc>
        <w:tc>
          <w:tcPr>
            <w:tcW w:w="211" w:type="pct"/>
            <w:noWrap/>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-5 </w:t>
            </w:r>
          </w:p>
        </w:tc>
        <w:tc>
          <w:tcPr>
            <w:tcW w:w="211" w:type="pct"/>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28 </w:t>
            </w:r>
          </w:p>
        </w:tc>
        <w:tc>
          <w:tcPr>
            <w:tcW w:w="211" w:type="pct"/>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24 </w:t>
            </w:r>
          </w:p>
        </w:tc>
        <w:tc>
          <w:tcPr>
            <w:tcW w:w="211" w:type="pct"/>
            <w:noWrap/>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4 </w:t>
            </w:r>
          </w:p>
        </w:tc>
        <w:tc>
          <w:tcPr>
            <w:tcW w:w="211" w:type="pct"/>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28 </w:t>
            </w:r>
          </w:p>
        </w:tc>
        <w:tc>
          <w:tcPr>
            <w:tcW w:w="211" w:type="pct"/>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26 </w:t>
            </w:r>
          </w:p>
        </w:tc>
        <w:tc>
          <w:tcPr>
            <w:tcW w:w="211" w:type="pct"/>
            <w:noWrap/>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2 </w:t>
            </w:r>
          </w:p>
        </w:tc>
        <w:tc>
          <w:tcPr>
            <w:tcW w:w="211" w:type="pct"/>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12 </w:t>
            </w:r>
          </w:p>
        </w:tc>
        <w:tc>
          <w:tcPr>
            <w:tcW w:w="211" w:type="pct"/>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27 </w:t>
            </w:r>
          </w:p>
        </w:tc>
        <w:tc>
          <w:tcPr>
            <w:tcW w:w="211" w:type="pct"/>
            <w:noWrap/>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-15 </w:t>
            </w:r>
          </w:p>
        </w:tc>
        <w:tc>
          <w:tcPr>
            <w:tcW w:w="211" w:type="pct"/>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16 </w:t>
            </w:r>
          </w:p>
        </w:tc>
        <w:tc>
          <w:tcPr>
            <w:tcW w:w="211" w:type="pct"/>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14 </w:t>
            </w:r>
          </w:p>
        </w:tc>
        <w:tc>
          <w:tcPr>
            <w:tcW w:w="211" w:type="pct"/>
            <w:noWrap/>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2 </w:t>
            </w:r>
          </w:p>
        </w:tc>
        <w:tc>
          <w:tcPr>
            <w:tcW w:w="211" w:type="pct"/>
            <w:noWrap/>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157 </w:t>
            </w:r>
          </w:p>
        </w:tc>
        <w:tc>
          <w:tcPr>
            <w:tcW w:w="211" w:type="pct"/>
            <w:noWrap/>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168 </w:t>
            </w:r>
          </w:p>
        </w:tc>
        <w:tc>
          <w:tcPr>
            <w:tcW w:w="211" w:type="pct"/>
            <w:noWrap/>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-11 </w:t>
            </w:r>
          </w:p>
        </w:tc>
      </w:tr>
      <w:tr w:rsidR="009E35BE" w:rsidRPr="00023136" w:rsidTr="00832031">
        <w:trPr>
          <w:trHeight w:val="300"/>
        </w:trPr>
        <w:tc>
          <w:tcPr>
            <w:tcW w:w="570" w:type="pct"/>
            <w:vAlign w:val="bottom"/>
          </w:tcPr>
          <w:p w:rsidR="009E35BE" w:rsidRPr="00116509" w:rsidRDefault="009E35BE" w:rsidP="00832031">
            <w:pPr>
              <w:spacing w:after="0" w:line="240" w:lineRule="auto"/>
              <w:rPr>
                <w:rFonts w:ascii="Calibri" w:hAnsi="Calibri" w:cs="Calibri"/>
                <w:color w:val="000000"/>
                <w:sz w:val="18"/>
                <w:szCs w:val="18"/>
              </w:rPr>
            </w:pPr>
            <w:r w:rsidRPr="00116509">
              <w:rPr>
                <w:rFonts w:ascii="Calibri" w:hAnsi="Calibri" w:cs="Calibri"/>
                <w:color w:val="000000"/>
                <w:sz w:val="18"/>
                <w:szCs w:val="18"/>
              </w:rPr>
              <w:t>LAVORO A DOMICILIO</w:t>
            </w:r>
          </w:p>
        </w:tc>
        <w:tc>
          <w:tcPr>
            <w:tcW w:w="211" w:type="pct"/>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8 </w:t>
            </w:r>
          </w:p>
        </w:tc>
        <w:tc>
          <w:tcPr>
            <w:tcW w:w="211" w:type="pct"/>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13 </w:t>
            </w:r>
          </w:p>
        </w:tc>
        <w:tc>
          <w:tcPr>
            <w:tcW w:w="211" w:type="pct"/>
            <w:noWrap/>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-5 </w:t>
            </w:r>
          </w:p>
        </w:tc>
        <w:tc>
          <w:tcPr>
            <w:tcW w:w="211" w:type="pct"/>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17 </w:t>
            </w:r>
          </w:p>
        </w:tc>
        <w:tc>
          <w:tcPr>
            <w:tcW w:w="211" w:type="pct"/>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11 </w:t>
            </w:r>
          </w:p>
        </w:tc>
        <w:tc>
          <w:tcPr>
            <w:tcW w:w="211" w:type="pct"/>
            <w:noWrap/>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6 </w:t>
            </w:r>
          </w:p>
        </w:tc>
        <w:tc>
          <w:tcPr>
            <w:tcW w:w="211" w:type="pct"/>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26 </w:t>
            </w:r>
          </w:p>
        </w:tc>
        <w:tc>
          <w:tcPr>
            <w:tcW w:w="211" w:type="pct"/>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16 </w:t>
            </w:r>
          </w:p>
        </w:tc>
        <w:tc>
          <w:tcPr>
            <w:tcW w:w="211" w:type="pct"/>
            <w:noWrap/>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10 </w:t>
            </w:r>
          </w:p>
        </w:tc>
        <w:tc>
          <w:tcPr>
            <w:tcW w:w="211" w:type="pct"/>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16 </w:t>
            </w:r>
          </w:p>
        </w:tc>
        <w:tc>
          <w:tcPr>
            <w:tcW w:w="211" w:type="pct"/>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12 </w:t>
            </w:r>
          </w:p>
        </w:tc>
        <w:tc>
          <w:tcPr>
            <w:tcW w:w="211" w:type="pct"/>
            <w:noWrap/>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4 </w:t>
            </w:r>
          </w:p>
        </w:tc>
        <w:tc>
          <w:tcPr>
            <w:tcW w:w="211" w:type="pct"/>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15 </w:t>
            </w:r>
          </w:p>
        </w:tc>
        <w:tc>
          <w:tcPr>
            <w:tcW w:w="211" w:type="pct"/>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11 </w:t>
            </w:r>
          </w:p>
        </w:tc>
        <w:tc>
          <w:tcPr>
            <w:tcW w:w="211" w:type="pct"/>
            <w:noWrap/>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4 </w:t>
            </w:r>
          </w:p>
        </w:tc>
        <w:tc>
          <w:tcPr>
            <w:tcW w:w="211" w:type="pct"/>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9 </w:t>
            </w:r>
          </w:p>
        </w:tc>
        <w:tc>
          <w:tcPr>
            <w:tcW w:w="211" w:type="pct"/>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9 </w:t>
            </w:r>
          </w:p>
        </w:tc>
        <w:tc>
          <w:tcPr>
            <w:tcW w:w="211" w:type="pct"/>
            <w:noWrap/>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   </w:t>
            </w:r>
          </w:p>
        </w:tc>
        <w:tc>
          <w:tcPr>
            <w:tcW w:w="211" w:type="pct"/>
            <w:noWrap/>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91 </w:t>
            </w:r>
          </w:p>
        </w:tc>
        <w:tc>
          <w:tcPr>
            <w:tcW w:w="211" w:type="pct"/>
            <w:noWrap/>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72 </w:t>
            </w:r>
          </w:p>
        </w:tc>
        <w:tc>
          <w:tcPr>
            <w:tcW w:w="211" w:type="pct"/>
            <w:noWrap/>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19 </w:t>
            </w:r>
          </w:p>
        </w:tc>
      </w:tr>
      <w:tr w:rsidR="009E35BE" w:rsidRPr="00023136" w:rsidTr="00832031">
        <w:trPr>
          <w:trHeight w:val="300"/>
        </w:trPr>
        <w:tc>
          <w:tcPr>
            <w:tcW w:w="570" w:type="pct"/>
            <w:vAlign w:val="bottom"/>
          </w:tcPr>
          <w:p w:rsidR="009E35BE" w:rsidRPr="00116509" w:rsidRDefault="009E35BE" w:rsidP="00832031">
            <w:pPr>
              <w:spacing w:after="0" w:line="240" w:lineRule="auto"/>
              <w:rPr>
                <w:rFonts w:ascii="Calibri" w:hAnsi="Calibri" w:cs="Calibri"/>
                <w:color w:val="000000"/>
                <w:sz w:val="18"/>
                <w:szCs w:val="18"/>
              </w:rPr>
            </w:pPr>
            <w:r w:rsidRPr="00116509">
              <w:rPr>
                <w:rFonts w:ascii="Calibri" w:hAnsi="Calibri" w:cs="Calibri"/>
                <w:color w:val="000000"/>
                <w:sz w:val="18"/>
                <w:szCs w:val="18"/>
              </w:rPr>
              <w:t>LAVORO INTERMITTENTE</w:t>
            </w:r>
          </w:p>
        </w:tc>
        <w:tc>
          <w:tcPr>
            <w:tcW w:w="211" w:type="pct"/>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5 </w:t>
            </w:r>
          </w:p>
        </w:tc>
        <w:tc>
          <w:tcPr>
            <w:tcW w:w="211" w:type="pct"/>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3 </w:t>
            </w:r>
          </w:p>
        </w:tc>
        <w:tc>
          <w:tcPr>
            <w:tcW w:w="211" w:type="pct"/>
            <w:noWrap/>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2 </w:t>
            </w:r>
          </w:p>
        </w:tc>
        <w:tc>
          <w:tcPr>
            <w:tcW w:w="211" w:type="pct"/>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10 </w:t>
            </w:r>
          </w:p>
        </w:tc>
        <w:tc>
          <w:tcPr>
            <w:tcW w:w="211" w:type="pct"/>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8 </w:t>
            </w:r>
          </w:p>
        </w:tc>
        <w:tc>
          <w:tcPr>
            <w:tcW w:w="211" w:type="pct"/>
            <w:noWrap/>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2 </w:t>
            </w:r>
          </w:p>
        </w:tc>
        <w:tc>
          <w:tcPr>
            <w:tcW w:w="211" w:type="pct"/>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5 </w:t>
            </w:r>
          </w:p>
        </w:tc>
        <w:tc>
          <w:tcPr>
            <w:tcW w:w="211" w:type="pct"/>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1 </w:t>
            </w:r>
          </w:p>
        </w:tc>
        <w:tc>
          <w:tcPr>
            <w:tcW w:w="211" w:type="pct"/>
            <w:noWrap/>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4 </w:t>
            </w:r>
          </w:p>
        </w:tc>
        <w:tc>
          <w:tcPr>
            <w:tcW w:w="211" w:type="pct"/>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1 </w:t>
            </w:r>
          </w:p>
        </w:tc>
        <w:tc>
          <w:tcPr>
            <w:tcW w:w="211" w:type="pct"/>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1 </w:t>
            </w:r>
          </w:p>
        </w:tc>
        <w:tc>
          <w:tcPr>
            <w:tcW w:w="211" w:type="pct"/>
            <w:noWrap/>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   </w:t>
            </w:r>
          </w:p>
        </w:tc>
        <w:tc>
          <w:tcPr>
            <w:tcW w:w="211" w:type="pct"/>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2 </w:t>
            </w:r>
          </w:p>
        </w:tc>
        <w:tc>
          <w:tcPr>
            <w:tcW w:w="211" w:type="pct"/>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1 </w:t>
            </w:r>
          </w:p>
        </w:tc>
        <w:tc>
          <w:tcPr>
            <w:tcW w:w="211" w:type="pct"/>
            <w:noWrap/>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1 </w:t>
            </w:r>
          </w:p>
        </w:tc>
        <w:tc>
          <w:tcPr>
            <w:tcW w:w="211" w:type="pct"/>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2 </w:t>
            </w:r>
          </w:p>
        </w:tc>
        <w:tc>
          <w:tcPr>
            <w:tcW w:w="211" w:type="pct"/>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1 </w:t>
            </w:r>
          </w:p>
        </w:tc>
        <w:tc>
          <w:tcPr>
            <w:tcW w:w="211" w:type="pct"/>
            <w:noWrap/>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1 </w:t>
            </w:r>
          </w:p>
        </w:tc>
        <w:tc>
          <w:tcPr>
            <w:tcW w:w="211" w:type="pct"/>
            <w:noWrap/>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25 </w:t>
            </w:r>
          </w:p>
        </w:tc>
        <w:tc>
          <w:tcPr>
            <w:tcW w:w="211" w:type="pct"/>
            <w:noWrap/>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15 </w:t>
            </w:r>
          </w:p>
        </w:tc>
        <w:tc>
          <w:tcPr>
            <w:tcW w:w="211" w:type="pct"/>
            <w:noWrap/>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10 </w:t>
            </w:r>
          </w:p>
        </w:tc>
      </w:tr>
      <w:tr w:rsidR="009E35BE" w:rsidRPr="00023136" w:rsidTr="00832031">
        <w:trPr>
          <w:trHeight w:val="300"/>
        </w:trPr>
        <w:tc>
          <w:tcPr>
            <w:tcW w:w="570" w:type="pct"/>
            <w:vAlign w:val="bottom"/>
          </w:tcPr>
          <w:p w:rsidR="009E35BE" w:rsidRPr="00116509" w:rsidRDefault="009E35BE" w:rsidP="00832031">
            <w:pPr>
              <w:spacing w:after="0" w:line="240" w:lineRule="auto"/>
              <w:rPr>
                <w:rFonts w:ascii="Calibri" w:hAnsi="Calibri" w:cs="Calibri"/>
                <w:color w:val="000000"/>
                <w:sz w:val="18"/>
                <w:szCs w:val="18"/>
              </w:rPr>
            </w:pPr>
            <w:r w:rsidRPr="00116509">
              <w:rPr>
                <w:rFonts w:ascii="Calibri" w:hAnsi="Calibri" w:cs="Calibri"/>
                <w:color w:val="000000"/>
                <w:sz w:val="18"/>
                <w:szCs w:val="18"/>
              </w:rPr>
              <w:t>LAVORO OCCASIONALE</w:t>
            </w:r>
          </w:p>
        </w:tc>
        <w:tc>
          <w:tcPr>
            <w:tcW w:w="211" w:type="pct"/>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5 </w:t>
            </w:r>
          </w:p>
        </w:tc>
        <w:tc>
          <w:tcPr>
            <w:tcW w:w="211" w:type="pct"/>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5 </w:t>
            </w:r>
          </w:p>
        </w:tc>
        <w:tc>
          <w:tcPr>
            <w:tcW w:w="211" w:type="pct"/>
            <w:noWrap/>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   </w:t>
            </w:r>
          </w:p>
        </w:tc>
        <w:tc>
          <w:tcPr>
            <w:tcW w:w="211" w:type="pct"/>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5 </w:t>
            </w:r>
          </w:p>
        </w:tc>
        <w:tc>
          <w:tcPr>
            <w:tcW w:w="211" w:type="pct"/>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5 </w:t>
            </w:r>
          </w:p>
        </w:tc>
        <w:tc>
          <w:tcPr>
            <w:tcW w:w="211" w:type="pct"/>
            <w:noWrap/>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   </w:t>
            </w:r>
          </w:p>
        </w:tc>
        <w:tc>
          <w:tcPr>
            <w:tcW w:w="211" w:type="pct"/>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2 </w:t>
            </w:r>
          </w:p>
        </w:tc>
        <w:tc>
          <w:tcPr>
            <w:tcW w:w="211" w:type="pct"/>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2 </w:t>
            </w:r>
          </w:p>
        </w:tc>
        <w:tc>
          <w:tcPr>
            <w:tcW w:w="211" w:type="pct"/>
            <w:noWrap/>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   </w:t>
            </w:r>
          </w:p>
        </w:tc>
        <w:tc>
          <w:tcPr>
            <w:tcW w:w="211" w:type="pct"/>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7 </w:t>
            </w:r>
          </w:p>
        </w:tc>
        <w:tc>
          <w:tcPr>
            <w:tcW w:w="211" w:type="pct"/>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7 </w:t>
            </w:r>
          </w:p>
        </w:tc>
        <w:tc>
          <w:tcPr>
            <w:tcW w:w="211" w:type="pct"/>
            <w:noWrap/>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   </w:t>
            </w:r>
          </w:p>
        </w:tc>
        <w:tc>
          <w:tcPr>
            <w:tcW w:w="211" w:type="pct"/>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   </w:t>
            </w:r>
          </w:p>
        </w:tc>
        <w:tc>
          <w:tcPr>
            <w:tcW w:w="211" w:type="pct"/>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   </w:t>
            </w:r>
          </w:p>
        </w:tc>
        <w:tc>
          <w:tcPr>
            <w:tcW w:w="211" w:type="pct"/>
            <w:noWrap/>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   </w:t>
            </w:r>
          </w:p>
        </w:tc>
        <w:tc>
          <w:tcPr>
            <w:tcW w:w="211" w:type="pct"/>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   </w:t>
            </w:r>
          </w:p>
        </w:tc>
        <w:tc>
          <w:tcPr>
            <w:tcW w:w="211" w:type="pct"/>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   </w:t>
            </w:r>
          </w:p>
        </w:tc>
        <w:tc>
          <w:tcPr>
            <w:tcW w:w="211" w:type="pct"/>
            <w:noWrap/>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   </w:t>
            </w:r>
          </w:p>
        </w:tc>
        <w:tc>
          <w:tcPr>
            <w:tcW w:w="211" w:type="pct"/>
            <w:noWrap/>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19 </w:t>
            </w:r>
          </w:p>
        </w:tc>
        <w:tc>
          <w:tcPr>
            <w:tcW w:w="211" w:type="pct"/>
            <w:noWrap/>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19 </w:t>
            </w:r>
          </w:p>
        </w:tc>
        <w:tc>
          <w:tcPr>
            <w:tcW w:w="211" w:type="pct"/>
            <w:noWrap/>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   </w:t>
            </w:r>
          </w:p>
        </w:tc>
      </w:tr>
      <w:tr w:rsidR="009E35BE" w:rsidRPr="00023136" w:rsidTr="00832031">
        <w:trPr>
          <w:trHeight w:val="600"/>
        </w:trPr>
        <w:tc>
          <w:tcPr>
            <w:tcW w:w="570" w:type="pct"/>
            <w:vAlign w:val="bottom"/>
          </w:tcPr>
          <w:p w:rsidR="009E35BE" w:rsidRPr="00116509" w:rsidRDefault="009E35BE" w:rsidP="00832031">
            <w:pPr>
              <w:spacing w:after="0" w:line="240" w:lineRule="auto"/>
              <w:rPr>
                <w:rFonts w:ascii="Calibri" w:hAnsi="Calibri" w:cs="Calibri"/>
                <w:color w:val="000000"/>
                <w:sz w:val="18"/>
                <w:szCs w:val="18"/>
              </w:rPr>
            </w:pPr>
            <w:r w:rsidRPr="00116509">
              <w:rPr>
                <w:rFonts w:ascii="Calibri" w:hAnsi="Calibri" w:cs="Calibri"/>
                <w:color w:val="000000"/>
                <w:sz w:val="18"/>
                <w:szCs w:val="18"/>
              </w:rPr>
              <w:t>ASSOCIAZIONE IN PARTECIPAZIONE</w:t>
            </w:r>
          </w:p>
        </w:tc>
        <w:tc>
          <w:tcPr>
            <w:tcW w:w="211" w:type="pct"/>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   </w:t>
            </w:r>
          </w:p>
        </w:tc>
        <w:tc>
          <w:tcPr>
            <w:tcW w:w="211" w:type="pct"/>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1 </w:t>
            </w:r>
          </w:p>
        </w:tc>
        <w:tc>
          <w:tcPr>
            <w:tcW w:w="211" w:type="pct"/>
            <w:noWrap/>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-1 </w:t>
            </w:r>
          </w:p>
        </w:tc>
        <w:tc>
          <w:tcPr>
            <w:tcW w:w="211" w:type="pct"/>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2 </w:t>
            </w:r>
          </w:p>
        </w:tc>
        <w:tc>
          <w:tcPr>
            <w:tcW w:w="211" w:type="pct"/>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1 </w:t>
            </w:r>
          </w:p>
        </w:tc>
        <w:tc>
          <w:tcPr>
            <w:tcW w:w="211" w:type="pct"/>
            <w:noWrap/>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1 </w:t>
            </w:r>
          </w:p>
        </w:tc>
        <w:tc>
          <w:tcPr>
            <w:tcW w:w="211" w:type="pct"/>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1 </w:t>
            </w:r>
          </w:p>
        </w:tc>
        <w:tc>
          <w:tcPr>
            <w:tcW w:w="211" w:type="pct"/>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2 </w:t>
            </w:r>
          </w:p>
        </w:tc>
        <w:tc>
          <w:tcPr>
            <w:tcW w:w="211" w:type="pct"/>
            <w:noWrap/>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-1 </w:t>
            </w:r>
          </w:p>
        </w:tc>
        <w:tc>
          <w:tcPr>
            <w:tcW w:w="211" w:type="pct"/>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5 </w:t>
            </w:r>
          </w:p>
        </w:tc>
        <w:tc>
          <w:tcPr>
            <w:tcW w:w="211" w:type="pct"/>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1 </w:t>
            </w:r>
          </w:p>
        </w:tc>
        <w:tc>
          <w:tcPr>
            <w:tcW w:w="211" w:type="pct"/>
            <w:noWrap/>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4 </w:t>
            </w:r>
          </w:p>
        </w:tc>
        <w:tc>
          <w:tcPr>
            <w:tcW w:w="211" w:type="pct"/>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2 </w:t>
            </w:r>
          </w:p>
        </w:tc>
        <w:tc>
          <w:tcPr>
            <w:tcW w:w="211" w:type="pct"/>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5 </w:t>
            </w:r>
          </w:p>
        </w:tc>
        <w:tc>
          <w:tcPr>
            <w:tcW w:w="211" w:type="pct"/>
            <w:noWrap/>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-3 </w:t>
            </w:r>
          </w:p>
        </w:tc>
        <w:tc>
          <w:tcPr>
            <w:tcW w:w="211" w:type="pct"/>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   </w:t>
            </w:r>
          </w:p>
        </w:tc>
        <w:tc>
          <w:tcPr>
            <w:tcW w:w="211" w:type="pct"/>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4 </w:t>
            </w:r>
          </w:p>
        </w:tc>
        <w:tc>
          <w:tcPr>
            <w:tcW w:w="211" w:type="pct"/>
            <w:noWrap/>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-4 </w:t>
            </w:r>
          </w:p>
        </w:tc>
        <w:tc>
          <w:tcPr>
            <w:tcW w:w="211" w:type="pct"/>
            <w:noWrap/>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10 </w:t>
            </w:r>
          </w:p>
        </w:tc>
        <w:tc>
          <w:tcPr>
            <w:tcW w:w="211" w:type="pct"/>
            <w:noWrap/>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14 </w:t>
            </w:r>
          </w:p>
        </w:tc>
        <w:tc>
          <w:tcPr>
            <w:tcW w:w="211" w:type="pct"/>
            <w:noWrap/>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-4 </w:t>
            </w:r>
          </w:p>
        </w:tc>
      </w:tr>
      <w:tr w:rsidR="009E35BE" w:rsidRPr="00023136" w:rsidTr="00832031">
        <w:trPr>
          <w:trHeight w:val="600"/>
        </w:trPr>
        <w:tc>
          <w:tcPr>
            <w:tcW w:w="570" w:type="pct"/>
            <w:vAlign w:val="bottom"/>
          </w:tcPr>
          <w:p w:rsidR="009E35BE" w:rsidRPr="00116509" w:rsidRDefault="009E35BE" w:rsidP="00832031">
            <w:pPr>
              <w:spacing w:after="0" w:line="240" w:lineRule="auto"/>
              <w:rPr>
                <w:rFonts w:ascii="Calibri" w:hAnsi="Calibri" w:cs="Calibri"/>
                <w:color w:val="000000"/>
                <w:sz w:val="18"/>
                <w:szCs w:val="18"/>
              </w:rPr>
            </w:pPr>
            <w:r w:rsidRPr="00116509">
              <w:rPr>
                <w:rFonts w:ascii="Calibri" w:hAnsi="Calibri" w:cs="Calibri"/>
                <w:color w:val="000000"/>
                <w:sz w:val="18"/>
                <w:szCs w:val="18"/>
              </w:rPr>
              <w:t>CONTRATTO DI INSERIMENTO LAVORATIVO</w:t>
            </w:r>
          </w:p>
        </w:tc>
        <w:tc>
          <w:tcPr>
            <w:tcW w:w="211" w:type="pct"/>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   </w:t>
            </w:r>
          </w:p>
        </w:tc>
        <w:tc>
          <w:tcPr>
            <w:tcW w:w="211" w:type="pct"/>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   </w:t>
            </w:r>
          </w:p>
        </w:tc>
        <w:tc>
          <w:tcPr>
            <w:tcW w:w="211" w:type="pct"/>
            <w:noWrap/>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   </w:t>
            </w:r>
          </w:p>
        </w:tc>
        <w:tc>
          <w:tcPr>
            <w:tcW w:w="211" w:type="pct"/>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1 </w:t>
            </w:r>
          </w:p>
        </w:tc>
        <w:tc>
          <w:tcPr>
            <w:tcW w:w="211" w:type="pct"/>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   </w:t>
            </w:r>
          </w:p>
        </w:tc>
        <w:tc>
          <w:tcPr>
            <w:tcW w:w="211" w:type="pct"/>
            <w:noWrap/>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1 </w:t>
            </w:r>
          </w:p>
        </w:tc>
        <w:tc>
          <w:tcPr>
            <w:tcW w:w="211" w:type="pct"/>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   </w:t>
            </w:r>
          </w:p>
        </w:tc>
        <w:tc>
          <w:tcPr>
            <w:tcW w:w="211" w:type="pct"/>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   </w:t>
            </w:r>
          </w:p>
        </w:tc>
        <w:tc>
          <w:tcPr>
            <w:tcW w:w="211" w:type="pct"/>
            <w:noWrap/>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   </w:t>
            </w:r>
          </w:p>
        </w:tc>
        <w:tc>
          <w:tcPr>
            <w:tcW w:w="211" w:type="pct"/>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   </w:t>
            </w:r>
          </w:p>
        </w:tc>
        <w:tc>
          <w:tcPr>
            <w:tcW w:w="211" w:type="pct"/>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   </w:t>
            </w:r>
          </w:p>
        </w:tc>
        <w:tc>
          <w:tcPr>
            <w:tcW w:w="211" w:type="pct"/>
            <w:noWrap/>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   </w:t>
            </w:r>
          </w:p>
        </w:tc>
        <w:tc>
          <w:tcPr>
            <w:tcW w:w="211" w:type="pct"/>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   </w:t>
            </w:r>
          </w:p>
        </w:tc>
        <w:tc>
          <w:tcPr>
            <w:tcW w:w="211" w:type="pct"/>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   </w:t>
            </w:r>
          </w:p>
        </w:tc>
        <w:tc>
          <w:tcPr>
            <w:tcW w:w="211" w:type="pct"/>
            <w:noWrap/>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   </w:t>
            </w:r>
          </w:p>
        </w:tc>
        <w:tc>
          <w:tcPr>
            <w:tcW w:w="211" w:type="pct"/>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   </w:t>
            </w:r>
          </w:p>
        </w:tc>
        <w:tc>
          <w:tcPr>
            <w:tcW w:w="211" w:type="pct"/>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   </w:t>
            </w:r>
          </w:p>
        </w:tc>
        <w:tc>
          <w:tcPr>
            <w:tcW w:w="211" w:type="pct"/>
            <w:noWrap/>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   </w:t>
            </w:r>
          </w:p>
        </w:tc>
        <w:tc>
          <w:tcPr>
            <w:tcW w:w="211" w:type="pct"/>
            <w:noWrap/>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1 </w:t>
            </w:r>
          </w:p>
        </w:tc>
        <w:tc>
          <w:tcPr>
            <w:tcW w:w="211" w:type="pct"/>
            <w:noWrap/>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   </w:t>
            </w:r>
          </w:p>
        </w:tc>
        <w:tc>
          <w:tcPr>
            <w:tcW w:w="211" w:type="pct"/>
            <w:noWrap/>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1 </w:t>
            </w:r>
          </w:p>
        </w:tc>
      </w:tr>
      <w:tr w:rsidR="009E35BE" w:rsidRPr="00023136" w:rsidTr="00832031">
        <w:trPr>
          <w:trHeight w:val="600"/>
        </w:trPr>
        <w:tc>
          <w:tcPr>
            <w:tcW w:w="570" w:type="pct"/>
            <w:vAlign w:val="bottom"/>
          </w:tcPr>
          <w:p w:rsidR="009E35BE" w:rsidRPr="00116509" w:rsidRDefault="009E35BE" w:rsidP="00832031">
            <w:pPr>
              <w:spacing w:after="0" w:line="240" w:lineRule="auto"/>
              <w:rPr>
                <w:rFonts w:ascii="Calibri" w:hAnsi="Calibri" w:cs="Calibri"/>
                <w:color w:val="000000"/>
                <w:sz w:val="18"/>
                <w:szCs w:val="18"/>
              </w:rPr>
            </w:pPr>
            <w:r w:rsidRPr="00116509">
              <w:rPr>
                <w:rFonts w:ascii="Calibri" w:hAnsi="Calibri" w:cs="Calibri"/>
                <w:color w:val="000000"/>
                <w:sz w:val="18"/>
                <w:szCs w:val="18"/>
              </w:rPr>
              <w:t>LAVORO RIPARTITO</w:t>
            </w:r>
          </w:p>
        </w:tc>
        <w:tc>
          <w:tcPr>
            <w:tcW w:w="211" w:type="pct"/>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   </w:t>
            </w:r>
          </w:p>
        </w:tc>
        <w:tc>
          <w:tcPr>
            <w:tcW w:w="211" w:type="pct"/>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   </w:t>
            </w:r>
          </w:p>
        </w:tc>
        <w:tc>
          <w:tcPr>
            <w:tcW w:w="211" w:type="pct"/>
            <w:noWrap/>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   </w:t>
            </w:r>
          </w:p>
        </w:tc>
        <w:tc>
          <w:tcPr>
            <w:tcW w:w="211" w:type="pct"/>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   </w:t>
            </w:r>
          </w:p>
        </w:tc>
        <w:tc>
          <w:tcPr>
            <w:tcW w:w="211" w:type="pct"/>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   </w:t>
            </w:r>
          </w:p>
        </w:tc>
        <w:tc>
          <w:tcPr>
            <w:tcW w:w="211" w:type="pct"/>
            <w:noWrap/>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   </w:t>
            </w:r>
          </w:p>
        </w:tc>
        <w:tc>
          <w:tcPr>
            <w:tcW w:w="211" w:type="pct"/>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   </w:t>
            </w:r>
          </w:p>
        </w:tc>
        <w:tc>
          <w:tcPr>
            <w:tcW w:w="211" w:type="pct"/>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   </w:t>
            </w:r>
          </w:p>
        </w:tc>
        <w:tc>
          <w:tcPr>
            <w:tcW w:w="211" w:type="pct"/>
            <w:noWrap/>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   </w:t>
            </w:r>
          </w:p>
        </w:tc>
        <w:tc>
          <w:tcPr>
            <w:tcW w:w="211" w:type="pct"/>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   </w:t>
            </w:r>
          </w:p>
        </w:tc>
        <w:tc>
          <w:tcPr>
            <w:tcW w:w="211" w:type="pct"/>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   </w:t>
            </w:r>
          </w:p>
        </w:tc>
        <w:tc>
          <w:tcPr>
            <w:tcW w:w="211" w:type="pct"/>
            <w:noWrap/>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   </w:t>
            </w:r>
          </w:p>
        </w:tc>
        <w:tc>
          <w:tcPr>
            <w:tcW w:w="211" w:type="pct"/>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   </w:t>
            </w:r>
          </w:p>
        </w:tc>
        <w:tc>
          <w:tcPr>
            <w:tcW w:w="211" w:type="pct"/>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   </w:t>
            </w:r>
          </w:p>
        </w:tc>
        <w:tc>
          <w:tcPr>
            <w:tcW w:w="211" w:type="pct"/>
            <w:noWrap/>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   </w:t>
            </w:r>
          </w:p>
        </w:tc>
        <w:tc>
          <w:tcPr>
            <w:tcW w:w="211" w:type="pct"/>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   </w:t>
            </w:r>
          </w:p>
        </w:tc>
        <w:tc>
          <w:tcPr>
            <w:tcW w:w="211" w:type="pct"/>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   </w:t>
            </w:r>
          </w:p>
        </w:tc>
        <w:tc>
          <w:tcPr>
            <w:tcW w:w="211" w:type="pct"/>
            <w:noWrap/>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   </w:t>
            </w:r>
          </w:p>
        </w:tc>
        <w:tc>
          <w:tcPr>
            <w:tcW w:w="211" w:type="pct"/>
            <w:noWrap/>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   </w:t>
            </w:r>
          </w:p>
        </w:tc>
        <w:tc>
          <w:tcPr>
            <w:tcW w:w="211" w:type="pct"/>
            <w:noWrap/>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   </w:t>
            </w:r>
          </w:p>
        </w:tc>
        <w:tc>
          <w:tcPr>
            <w:tcW w:w="211" w:type="pct"/>
            <w:noWrap/>
            <w:vAlign w:val="bottom"/>
          </w:tcPr>
          <w:p w:rsidR="009E35BE" w:rsidRPr="00116509" w:rsidRDefault="009E35BE" w:rsidP="00832031">
            <w:pPr>
              <w:spacing w:after="0" w:line="240" w:lineRule="auto"/>
              <w:jc w:val="right"/>
              <w:rPr>
                <w:rFonts w:ascii="Calibri" w:hAnsi="Calibri" w:cs="Calibri"/>
                <w:color w:val="000000"/>
                <w:sz w:val="18"/>
                <w:szCs w:val="18"/>
              </w:rPr>
            </w:pPr>
            <w:r w:rsidRPr="00116509">
              <w:rPr>
                <w:rFonts w:ascii="Calibri" w:hAnsi="Calibri" w:cs="Calibri"/>
                <w:color w:val="000000"/>
                <w:sz w:val="18"/>
                <w:szCs w:val="18"/>
              </w:rPr>
              <w:t xml:space="preserve"> -   </w:t>
            </w:r>
          </w:p>
        </w:tc>
      </w:tr>
      <w:tr w:rsidR="009E35BE" w:rsidRPr="00023136" w:rsidTr="00832031">
        <w:trPr>
          <w:trHeight w:val="600"/>
        </w:trPr>
        <w:tc>
          <w:tcPr>
            <w:tcW w:w="570" w:type="pct"/>
            <w:vAlign w:val="bottom"/>
          </w:tcPr>
          <w:p w:rsidR="009E35BE" w:rsidRPr="00116509" w:rsidRDefault="009E35BE" w:rsidP="00832031">
            <w:pPr>
              <w:spacing w:after="0" w:line="240" w:lineRule="auto"/>
              <w:rPr>
                <w:rFonts w:ascii="Calibri" w:hAnsi="Calibri" w:cs="Calibri"/>
                <w:b/>
                <w:bCs/>
                <w:color w:val="000000"/>
                <w:sz w:val="18"/>
                <w:szCs w:val="18"/>
              </w:rPr>
            </w:pPr>
            <w:r w:rsidRPr="00116509">
              <w:rPr>
                <w:rFonts w:ascii="Calibri" w:hAnsi="Calibri" w:cs="Calibri"/>
                <w:b/>
                <w:bCs/>
                <w:color w:val="000000"/>
                <w:sz w:val="18"/>
                <w:szCs w:val="18"/>
              </w:rPr>
              <w:t>Totale</w:t>
            </w:r>
          </w:p>
        </w:tc>
        <w:tc>
          <w:tcPr>
            <w:tcW w:w="211" w:type="pct"/>
            <w:vAlign w:val="bottom"/>
          </w:tcPr>
          <w:p w:rsidR="009E35BE" w:rsidRPr="00116509" w:rsidRDefault="009E35BE" w:rsidP="00832031">
            <w:pPr>
              <w:spacing w:after="0" w:line="240" w:lineRule="auto"/>
              <w:jc w:val="right"/>
              <w:rPr>
                <w:rFonts w:ascii="Calibri" w:hAnsi="Calibri" w:cs="Calibri"/>
                <w:b/>
                <w:bCs/>
                <w:color w:val="000000"/>
                <w:sz w:val="18"/>
                <w:szCs w:val="18"/>
              </w:rPr>
            </w:pPr>
            <w:r w:rsidRPr="00116509">
              <w:rPr>
                <w:rFonts w:ascii="Calibri" w:hAnsi="Calibri" w:cs="Calibri"/>
                <w:b/>
                <w:bCs/>
                <w:color w:val="000000"/>
                <w:sz w:val="18"/>
                <w:szCs w:val="18"/>
              </w:rPr>
              <w:t xml:space="preserve"> 885 </w:t>
            </w:r>
          </w:p>
        </w:tc>
        <w:tc>
          <w:tcPr>
            <w:tcW w:w="211" w:type="pct"/>
            <w:vAlign w:val="bottom"/>
          </w:tcPr>
          <w:p w:rsidR="009E35BE" w:rsidRPr="00116509" w:rsidRDefault="009E35BE" w:rsidP="00832031">
            <w:pPr>
              <w:spacing w:after="0" w:line="240" w:lineRule="auto"/>
              <w:jc w:val="right"/>
              <w:rPr>
                <w:rFonts w:ascii="Calibri" w:hAnsi="Calibri" w:cs="Calibri"/>
                <w:b/>
                <w:bCs/>
                <w:color w:val="000000"/>
                <w:sz w:val="18"/>
                <w:szCs w:val="18"/>
              </w:rPr>
            </w:pPr>
            <w:r w:rsidRPr="00116509">
              <w:rPr>
                <w:rFonts w:ascii="Calibri" w:hAnsi="Calibri" w:cs="Calibri"/>
                <w:b/>
                <w:bCs/>
                <w:color w:val="000000"/>
                <w:sz w:val="18"/>
                <w:szCs w:val="18"/>
              </w:rPr>
              <w:t xml:space="preserve"> 1.165 </w:t>
            </w:r>
          </w:p>
        </w:tc>
        <w:tc>
          <w:tcPr>
            <w:tcW w:w="211" w:type="pct"/>
            <w:noWrap/>
            <w:vAlign w:val="bottom"/>
          </w:tcPr>
          <w:p w:rsidR="009E35BE" w:rsidRPr="00116509" w:rsidRDefault="009E35BE" w:rsidP="00832031">
            <w:pPr>
              <w:spacing w:after="0" w:line="240" w:lineRule="auto"/>
              <w:jc w:val="right"/>
              <w:rPr>
                <w:rFonts w:ascii="Calibri" w:hAnsi="Calibri" w:cs="Calibri"/>
                <w:b/>
                <w:bCs/>
                <w:color w:val="000000"/>
                <w:sz w:val="18"/>
                <w:szCs w:val="18"/>
              </w:rPr>
            </w:pPr>
            <w:r w:rsidRPr="00116509">
              <w:rPr>
                <w:rFonts w:ascii="Calibri" w:hAnsi="Calibri" w:cs="Calibri"/>
                <w:b/>
                <w:bCs/>
                <w:color w:val="000000"/>
                <w:sz w:val="18"/>
                <w:szCs w:val="18"/>
              </w:rPr>
              <w:t xml:space="preserve">-280 </w:t>
            </w:r>
          </w:p>
        </w:tc>
        <w:tc>
          <w:tcPr>
            <w:tcW w:w="211" w:type="pct"/>
            <w:vAlign w:val="bottom"/>
          </w:tcPr>
          <w:p w:rsidR="009E35BE" w:rsidRPr="00116509" w:rsidRDefault="009E35BE" w:rsidP="00832031">
            <w:pPr>
              <w:spacing w:after="0" w:line="240" w:lineRule="auto"/>
              <w:jc w:val="right"/>
              <w:rPr>
                <w:rFonts w:ascii="Calibri" w:hAnsi="Calibri" w:cs="Calibri"/>
                <w:b/>
                <w:bCs/>
                <w:color w:val="000000"/>
                <w:sz w:val="18"/>
                <w:szCs w:val="18"/>
              </w:rPr>
            </w:pPr>
            <w:r w:rsidRPr="00116509">
              <w:rPr>
                <w:rFonts w:ascii="Calibri" w:hAnsi="Calibri" w:cs="Calibri"/>
                <w:b/>
                <w:bCs/>
                <w:color w:val="000000"/>
                <w:sz w:val="18"/>
                <w:szCs w:val="18"/>
              </w:rPr>
              <w:t xml:space="preserve"> 1.079 </w:t>
            </w:r>
          </w:p>
        </w:tc>
        <w:tc>
          <w:tcPr>
            <w:tcW w:w="211" w:type="pct"/>
            <w:vAlign w:val="bottom"/>
          </w:tcPr>
          <w:p w:rsidR="009E35BE" w:rsidRPr="00116509" w:rsidRDefault="009E35BE" w:rsidP="00832031">
            <w:pPr>
              <w:spacing w:after="0" w:line="240" w:lineRule="auto"/>
              <w:jc w:val="right"/>
              <w:rPr>
                <w:rFonts w:ascii="Calibri" w:hAnsi="Calibri" w:cs="Calibri"/>
                <w:b/>
                <w:bCs/>
                <w:color w:val="000000"/>
                <w:sz w:val="18"/>
                <w:szCs w:val="18"/>
              </w:rPr>
            </w:pPr>
            <w:r w:rsidRPr="00116509">
              <w:rPr>
                <w:rFonts w:ascii="Calibri" w:hAnsi="Calibri" w:cs="Calibri"/>
                <w:b/>
                <w:bCs/>
                <w:color w:val="000000"/>
                <w:sz w:val="18"/>
                <w:szCs w:val="18"/>
              </w:rPr>
              <w:t xml:space="preserve"> 1.374 </w:t>
            </w:r>
          </w:p>
        </w:tc>
        <w:tc>
          <w:tcPr>
            <w:tcW w:w="211" w:type="pct"/>
            <w:noWrap/>
            <w:vAlign w:val="bottom"/>
          </w:tcPr>
          <w:p w:rsidR="009E35BE" w:rsidRPr="00116509" w:rsidRDefault="009E35BE" w:rsidP="00832031">
            <w:pPr>
              <w:spacing w:after="0" w:line="240" w:lineRule="auto"/>
              <w:jc w:val="right"/>
              <w:rPr>
                <w:rFonts w:ascii="Calibri" w:hAnsi="Calibri" w:cs="Calibri"/>
                <w:b/>
                <w:bCs/>
                <w:color w:val="000000"/>
                <w:sz w:val="18"/>
                <w:szCs w:val="18"/>
              </w:rPr>
            </w:pPr>
            <w:r w:rsidRPr="00116509">
              <w:rPr>
                <w:rFonts w:ascii="Calibri" w:hAnsi="Calibri" w:cs="Calibri"/>
                <w:b/>
                <w:bCs/>
                <w:color w:val="000000"/>
                <w:sz w:val="18"/>
                <w:szCs w:val="18"/>
              </w:rPr>
              <w:t xml:space="preserve">-295 </w:t>
            </w:r>
          </w:p>
        </w:tc>
        <w:tc>
          <w:tcPr>
            <w:tcW w:w="211" w:type="pct"/>
            <w:vAlign w:val="bottom"/>
          </w:tcPr>
          <w:p w:rsidR="009E35BE" w:rsidRPr="00116509" w:rsidRDefault="009E35BE" w:rsidP="00832031">
            <w:pPr>
              <w:spacing w:after="0" w:line="240" w:lineRule="auto"/>
              <w:jc w:val="right"/>
              <w:rPr>
                <w:rFonts w:ascii="Calibri" w:hAnsi="Calibri" w:cs="Calibri"/>
                <w:b/>
                <w:bCs/>
                <w:color w:val="000000"/>
                <w:sz w:val="18"/>
                <w:szCs w:val="18"/>
              </w:rPr>
            </w:pPr>
            <w:r w:rsidRPr="00116509">
              <w:rPr>
                <w:rFonts w:ascii="Calibri" w:hAnsi="Calibri" w:cs="Calibri"/>
                <w:b/>
                <w:bCs/>
                <w:color w:val="000000"/>
                <w:sz w:val="18"/>
                <w:szCs w:val="18"/>
              </w:rPr>
              <w:t xml:space="preserve"> 1.232 </w:t>
            </w:r>
          </w:p>
        </w:tc>
        <w:tc>
          <w:tcPr>
            <w:tcW w:w="211" w:type="pct"/>
            <w:vAlign w:val="bottom"/>
          </w:tcPr>
          <w:p w:rsidR="009E35BE" w:rsidRPr="00116509" w:rsidRDefault="009E35BE" w:rsidP="00832031">
            <w:pPr>
              <w:spacing w:after="0" w:line="240" w:lineRule="auto"/>
              <w:jc w:val="right"/>
              <w:rPr>
                <w:rFonts w:ascii="Calibri" w:hAnsi="Calibri" w:cs="Calibri"/>
                <w:b/>
                <w:bCs/>
                <w:color w:val="000000"/>
                <w:sz w:val="18"/>
                <w:szCs w:val="18"/>
              </w:rPr>
            </w:pPr>
            <w:r w:rsidRPr="00116509">
              <w:rPr>
                <w:rFonts w:ascii="Calibri" w:hAnsi="Calibri" w:cs="Calibri"/>
                <w:b/>
                <w:bCs/>
                <w:color w:val="000000"/>
                <w:sz w:val="18"/>
                <w:szCs w:val="18"/>
              </w:rPr>
              <w:t xml:space="preserve"> 1.034 </w:t>
            </w:r>
          </w:p>
        </w:tc>
        <w:tc>
          <w:tcPr>
            <w:tcW w:w="211" w:type="pct"/>
            <w:noWrap/>
            <w:vAlign w:val="bottom"/>
          </w:tcPr>
          <w:p w:rsidR="009E35BE" w:rsidRPr="00116509" w:rsidRDefault="009E35BE" w:rsidP="00832031">
            <w:pPr>
              <w:spacing w:after="0" w:line="240" w:lineRule="auto"/>
              <w:jc w:val="right"/>
              <w:rPr>
                <w:rFonts w:ascii="Calibri" w:hAnsi="Calibri" w:cs="Calibri"/>
                <w:b/>
                <w:bCs/>
                <w:color w:val="000000"/>
                <w:sz w:val="18"/>
                <w:szCs w:val="18"/>
              </w:rPr>
            </w:pPr>
            <w:r w:rsidRPr="00116509">
              <w:rPr>
                <w:rFonts w:ascii="Calibri" w:hAnsi="Calibri" w:cs="Calibri"/>
                <w:b/>
                <w:bCs/>
                <w:color w:val="000000"/>
                <w:sz w:val="18"/>
                <w:szCs w:val="18"/>
              </w:rPr>
              <w:t xml:space="preserve"> 198 </w:t>
            </w:r>
          </w:p>
        </w:tc>
        <w:tc>
          <w:tcPr>
            <w:tcW w:w="211" w:type="pct"/>
            <w:vAlign w:val="bottom"/>
          </w:tcPr>
          <w:p w:rsidR="009E35BE" w:rsidRPr="00116509" w:rsidRDefault="009E35BE" w:rsidP="00832031">
            <w:pPr>
              <w:spacing w:after="0" w:line="240" w:lineRule="auto"/>
              <w:jc w:val="right"/>
              <w:rPr>
                <w:rFonts w:ascii="Calibri" w:hAnsi="Calibri" w:cs="Calibri"/>
                <w:b/>
                <w:bCs/>
                <w:color w:val="000000"/>
                <w:sz w:val="18"/>
                <w:szCs w:val="18"/>
              </w:rPr>
            </w:pPr>
            <w:r w:rsidRPr="00116509">
              <w:rPr>
                <w:rFonts w:ascii="Calibri" w:hAnsi="Calibri" w:cs="Calibri"/>
                <w:b/>
                <w:bCs/>
                <w:color w:val="000000"/>
                <w:sz w:val="18"/>
                <w:szCs w:val="18"/>
              </w:rPr>
              <w:t xml:space="preserve"> 1.551 </w:t>
            </w:r>
          </w:p>
        </w:tc>
        <w:tc>
          <w:tcPr>
            <w:tcW w:w="211" w:type="pct"/>
            <w:vAlign w:val="bottom"/>
          </w:tcPr>
          <w:p w:rsidR="009E35BE" w:rsidRPr="00116509" w:rsidRDefault="009E35BE" w:rsidP="00832031">
            <w:pPr>
              <w:spacing w:after="0" w:line="240" w:lineRule="auto"/>
              <w:jc w:val="right"/>
              <w:rPr>
                <w:rFonts w:ascii="Calibri" w:hAnsi="Calibri" w:cs="Calibri"/>
                <w:b/>
                <w:bCs/>
                <w:color w:val="000000"/>
                <w:sz w:val="18"/>
                <w:szCs w:val="18"/>
              </w:rPr>
            </w:pPr>
            <w:r w:rsidRPr="00116509">
              <w:rPr>
                <w:rFonts w:ascii="Calibri" w:hAnsi="Calibri" w:cs="Calibri"/>
                <w:b/>
                <w:bCs/>
                <w:color w:val="000000"/>
                <w:sz w:val="18"/>
                <w:szCs w:val="18"/>
              </w:rPr>
              <w:t xml:space="preserve"> 1.269 </w:t>
            </w:r>
          </w:p>
        </w:tc>
        <w:tc>
          <w:tcPr>
            <w:tcW w:w="211" w:type="pct"/>
            <w:noWrap/>
            <w:vAlign w:val="bottom"/>
          </w:tcPr>
          <w:p w:rsidR="009E35BE" w:rsidRPr="00116509" w:rsidRDefault="009E35BE" w:rsidP="00832031">
            <w:pPr>
              <w:spacing w:after="0" w:line="240" w:lineRule="auto"/>
              <w:jc w:val="right"/>
              <w:rPr>
                <w:rFonts w:ascii="Calibri" w:hAnsi="Calibri" w:cs="Calibri"/>
                <w:b/>
                <w:bCs/>
                <w:color w:val="000000"/>
                <w:sz w:val="18"/>
                <w:szCs w:val="18"/>
              </w:rPr>
            </w:pPr>
            <w:r w:rsidRPr="00116509">
              <w:rPr>
                <w:rFonts w:ascii="Calibri" w:hAnsi="Calibri" w:cs="Calibri"/>
                <w:b/>
                <w:bCs/>
                <w:color w:val="000000"/>
                <w:sz w:val="18"/>
                <w:szCs w:val="18"/>
              </w:rPr>
              <w:t xml:space="preserve"> 282 </w:t>
            </w:r>
          </w:p>
        </w:tc>
        <w:tc>
          <w:tcPr>
            <w:tcW w:w="211" w:type="pct"/>
            <w:vAlign w:val="bottom"/>
          </w:tcPr>
          <w:p w:rsidR="009E35BE" w:rsidRPr="00116509" w:rsidRDefault="009E35BE" w:rsidP="00832031">
            <w:pPr>
              <w:spacing w:after="0" w:line="240" w:lineRule="auto"/>
              <w:jc w:val="right"/>
              <w:rPr>
                <w:rFonts w:ascii="Calibri" w:hAnsi="Calibri" w:cs="Calibri"/>
                <w:b/>
                <w:bCs/>
                <w:color w:val="000000"/>
                <w:sz w:val="18"/>
                <w:szCs w:val="18"/>
              </w:rPr>
            </w:pPr>
            <w:r w:rsidRPr="00116509">
              <w:rPr>
                <w:rFonts w:ascii="Calibri" w:hAnsi="Calibri" w:cs="Calibri"/>
                <w:b/>
                <w:bCs/>
                <w:color w:val="000000"/>
                <w:sz w:val="18"/>
                <w:szCs w:val="18"/>
              </w:rPr>
              <w:t xml:space="preserve"> 1.619 </w:t>
            </w:r>
          </w:p>
        </w:tc>
        <w:tc>
          <w:tcPr>
            <w:tcW w:w="211" w:type="pct"/>
            <w:vAlign w:val="bottom"/>
          </w:tcPr>
          <w:p w:rsidR="009E35BE" w:rsidRPr="00116509" w:rsidRDefault="009E35BE" w:rsidP="00832031">
            <w:pPr>
              <w:spacing w:after="0" w:line="240" w:lineRule="auto"/>
              <w:jc w:val="right"/>
              <w:rPr>
                <w:rFonts w:ascii="Calibri" w:hAnsi="Calibri" w:cs="Calibri"/>
                <w:b/>
                <w:bCs/>
                <w:color w:val="000000"/>
                <w:sz w:val="18"/>
                <w:szCs w:val="18"/>
              </w:rPr>
            </w:pPr>
            <w:r w:rsidRPr="00116509">
              <w:rPr>
                <w:rFonts w:ascii="Calibri" w:hAnsi="Calibri" w:cs="Calibri"/>
                <w:b/>
                <w:bCs/>
                <w:color w:val="000000"/>
                <w:sz w:val="18"/>
                <w:szCs w:val="18"/>
              </w:rPr>
              <w:t xml:space="preserve"> 1.395 </w:t>
            </w:r>
          </w:p>
        </w:tc>
        <w:tc>
          <w:tcPr>
            <w:tcW w:w="211" w:type="pct"/>
            <w:noWrap/>
            <w:vAlign w:val="bottom"/>
          </w:tcPr>
          <w:p w:rsidR="009E35BE" w:rsidRPr="00116509" w:rsidRDefault="009E35BE" w:rsidP="00832031">
            <w:pPr>
              <w:spacing w:after="0" w:line="240" w:lineRule="auto"/>
              <w:jc w:val="right"/>
              <w:rPr>
                <w:rFonts w:ascii="Calibri" w:hAnsi="Calibri" w:cs="Calibri"/>
                <w:b/>
                <w:bCs/>
                <w:color w:val="000000"/>
                <w:sz w:val="18"/>
                <w:szCs w:val="18"/>
              </w:rPr>
            </w:pPr>
            <w:r w:rsidRPr="00116509">
              <w:rPr>
                <w:rFonts w:ascii="Calibri" w:hAnsi="Calibri" w:cs="Calibri"/>
                <w:b/>
                <w:bCs/>
                <w:color w:val="000000"/>
                <w:sz w:val="18"/>
                <w:szCs w:val="18"/>
              </w:rPr>
              <w:t xml:space="preserve"> 224 </w:t>
            </w:r>
          </w:p>
        </w:tc>
        <w:tc>
          <w:tcPr>
            <w:tcW w:w="211" w:type="pct"/>
            <w:vAlign w:val="bottom"/>
          </w:tcPr>
          <w:p w:rsidR="009E35BE" w:rsidRPr="00116509" w:rsidRDefault="009E35BE" w:rsidP="00832031">
            <w:pPr>
              <w:spacing w:after="0" w:line="240" w:lineRule="auto"/>
              <w:jc w:val="right"/>
              <w:rPr>
                <w:rFonts w:ascii="Calibri" w:hAnsi="Calibri" w:cs="Calibri"/>
                <w:b/>
                <w:bCs/>
                <w:color w:val="000000"/>
                <w:sz w:val="18"/>
                <w:szCs w:val="18"/>
              </w:rPr>
            </w:pPr>
            <w:r w:rsidRPr="00116509">
              <w:rPr>
                <w:rFonts w:ascii="Calibri" w:hAnsi="Calibri" w:cs="Calibri"/>
                <w:b/>
                <w:bCs/>
                <w:color w:val="000000"/>
                <w:sz w:val="18"/>
                <w:szCs w:val="18"/>
              </w:rPr>
              <w:t xml:space="preserve"> 1.478 </w:t>
            </w:r>
          </w:p>
        </w:tc>
        <w:tc>
          <w:tcPr>
            <w:tcW w:w="211" w:type="pct"/>
            <w:vAlign w:val="bottom"/>
          </w:tcPr>
          <w:p w:rsidR="009E35BE" w:rsidRPr="00116509" w:rsidRDefault="009E35BE" w:rsidP="00832031">
            <w:pPr>
              <w:spacing w:after="0" w:line="240" w:lineRule="auto"/>
              <w:jc w:val="right"/>
              <w:rPr>
                <w:rFonts w:ascii="Calibri" w:hAnsi="Calibri" w:cs="Calibri"/>
                <w:b/>
                <w:bCs/>
                <w:color w:val="000000"/>
                <w:sz w:val="18"/>
                <w:szCs w:val="18"/>
              </w:rPr>
            </w:pPr>
            <w:r w:rsidRPr="00116509">
              <w:rPr>
                <w:rFonts w:ascii="Calibri" w:hAnsi="Calibri" w:cs="Calibri"/>
                <w:b/>
                <w:bCs/>
                <w:color w:val="000000"/>
                <w:sz w:val="18"/>
                <w:szCs w:val="18"/>
              </w:rPr>
              <w:t xml:space="preserve"> 1.450 </w:t>
            </w:r>
          </w:p>
        </w:tc>
        <w:tc>
          <w:tcPr>
            <w:tcW w:w="211" w:type="pct"/>
            <w:noWrap/>
            <w:vAlign w:val="bottom"/>
          </w:tcPr>
          <w:p w:rsidR="009E35BE" w:rsidRPr="00116509" w:rsidRDefault="009E35BE" w:rsidP="00832031">
            <w:pPr>
              <w:spacing w:after="0" w:line="240" w:lineRule="auto"/>
              <w:jc w:val="right"/>
              <w:rPr>
                <w:rFonts w:ascii="Calibri" w:hAnsi="Calibri" w:cs="Calibri"/>
                <w:b/>
                <w:bCs/>
                <w:color w:val="000000"/>
                <w:sz w:val="18"/>
                <w:szCs w:val="18"/>
              </w:rPr>
            </w:pPr>
            <w:r w:rsidRPr="00116509">
              <w:rPr>
                <w:rFonts w:ascii="Calibri" w:hAnsi="Calibri" w:cs="Calibri"/>
                <w:b/>
                <w:bCs/>
                <w:color w:val="000000"/>
                <w:sz w:val="18"/>
                <w:szCs w:val="18"/>
              </w:rPr>
              <w:t xml:space="preserve"> 28 </w:t>
            </w:r>
          </w:p>
        </w:tc>
        <w:tc>
          <w:tcPr>
            <w:tcW w:w="211" w:type="pct"/>
            <w:noWrap/>
            <w:vAlign w:val="bottom"/>
          </w:tcPr>
          <w:p w:rsidR="009E35BE" w:rsidRPr="00116509" w:rsidRDefault="009E35BE" w:rsidP="00832031">
            <w:pPr>
              <w:spacing w:after="0" w:line="240" w:lineRule="auto"/>
              <w:jc w:val="right"/>
              <w:rPr>
                <w:rFonts w:ascii="Calibri" w:hAnsi="Calibri" w:cs="Calibri"/>
                <w:b/>
                <w:bCs/>
                <w:color w:val="000000"/>
                <w:sz w:val="18"/>
                <w:szCs w:val="18"/>
              </w:rPr>
            </w:pPr>
            <w:r w:rsidRPr="00116509">
              <w:rPr>
                <w:rFonts w:ascii="Calibri" w:hAnsi="Calibri" w:cs="Calibri"/>
                <w:b/>
                <w:bCs/>
                <w:color w:val="000000"/>
                <w:sz w:val="18"/>
                <w:szCs w:val="18"/>
              </w:rPr>
              <w:t xml:space="preserve"> 7.844 </w:t>
            </w:r>
          </w:p>
        </w:tc>
        <w:tc>
          <w:tcPr>
            <w:tcW w:w="211" w:type="pct"/>
            <w:noWrap/>
            <w:vAlign w:val="bottom"/>
          </w:tcPr>
          <w:p w:rsidR="009E35BE" w:rsidRPr="00116509" w:rsidRDefault="009E35BE" w:rsidP="00832031">
            <w:pPr>
              <w:spacing w:after="0" w:line="240" w:lineRule="auto"/>
              <w:jc w:val="right"/>
              <w:rPr>
                <w:rFonts w:ascii="Calibri" w:hAnsi="Calibri" w:cs="Calibri"/>
                <w:b/>
                <w:bCs/>
                <w:color w:val="000000"/>
                <w:sz w:val="18"/>
                <w:szCs w:val="18"/>
              </w:rPr>
            </w:pPr>
            <w:r w:rsidRPr="00116509">
              <w:rPr>
                <w:rFonts w:ascii="Calibri" w:hAnsi="Calibri" w:cs="Calibri"/>
                <w:b/>
                <w:bCs/>
                <w:color w:val="000000"/>
                <w:sz w:val="18"/>
                <w:szCs w:val="18"/>
              </w:rPr>
              <w:t xml:space="preserve"> 7.687 </w:t>
            </w:r>
          </w:p>
        </w:tc>
        <w:tc>
          <w:tcPr>
            <w:tcW w:w="211" w:type="pct"/>
            <w:noWrap/>
            <w:vAlign w:val="bottom"/>
          </w:tcPr>
          <w:p w:rsidR="009E35BE" w:rsidRPr="00116509" w:rsidRDefault="009E35BE" w:rsidP="00832031">
            <w:pPr>
              <w:spacing w:after="0" w:line="240" w:lineRule="auto"/>
              <w:jc w:val="right"/>
              <w:rPr>
                <w:rFonts w:ascii="Calibri" w:hAnsi="Calibri" w:cs="Calibri"/>
                <w:b/>
                <w:bCs/>
                <w:color w:val="000000"/>
                <w:sz w:val="18"/>
                <w:szCs w:val="18"/>
              </w:rPr>
            </w:pPr>
            <w:r w:rsidRPr="00116509">
              <w:rPr>
                <w:rFonts w:ascii="Calibri" w:hAnsi="Calibri" w:cs="Calibri"/>
                <w:b/>
                <w:bCs/>
                <w:color w:val="000000"/>
                <w:sz w:val="18"/>
                <w:szCs w:val="18"/>
              </w:rPr>
              <w:t xml:space="preserve"> 157 </w:t>
            </w:r>
          </w:p>
        </w:tc>
      </w:tr>
    </w:tbl>
    <w:p w:rsidR="009E35BE" w:rsidRDefault="009E35BE" w:rsidP="009E35BE">
      <w:pPr>
        <w:rPr>
          <w:b/>
          <w:sz w:val="20"/>
          <w:szCs w:val="20"/>
        </w:rPr>
        <w:sectPr w:rsidR="009E35BE" w:rsidSect="00832031">
          <w:pgSz w:w="16838" w:h="11906" w:orient="landscape"/>
          <w:pgMar w:top="1134" w:right="1417" w:bottom="1134" w:left="1134" w:header="708" w:footer="708" w:gutter="0"/>
          <w:cols w:space="708"/>
          <w:docGrid w:linePitch="360"/>
        </w:sectPr>
      </w:pPr>
    </w:p>
    <w:p w:rsidR="009E35BE" w:rsidRDefault="009E35BE" w:rsidP="009E35BE">
      <w:pPr>
        <w:jc w:val="both"/>
      </w:pPr>
      <w:r>
        <w:t>Risulta significativo soffermarsi sulla qualità contrattuale. Il discorso può essere approfondito attraverso i due grafici seguenti, in cui gli avviamenti del 2016 del settore orafo sono stati disaggregati per indice della qualità contrattuale e poi per fasce di età (</w:t>
      </w:r>
      <w:proofErr w:type="spellStart"/>
      <w:r>
        <w:t>graf</w:t>
      </w:r>
      <w:proofErr w:type="spellEnd"/>
      <w:r>
        <w:t>. 1) e sesso (</w:t>
      </w:r>
      <w:proofErr w:type="spellStart"/>
      <w:r>
        <w:t>graf</w:t>
      </w:r>
      <w:proofErr w:type="spellEnd"/>
      <w:r>
        <w:t>. 2).</w:t>
      </w:r>
    </w:p>
    <w:p w:rsidR="009E35BE" w:rsidRDefault="009E35BE" w:rsidP="009E35BE">
      <w:pPr>
        <w:jc w:val="both"/>
      </w:pPr>
      <w:r>
        <w:t xml:space="preserve">Infatti, </w:t>
      </w:r>
      <w:r w:rsidRPr="007D2FDC">
        <w:t>alle tipologie contrattu</w:t>
      </w:r>
      <w:r>
        <w:t xml:space="preserve">ali sopra riportate (vedi </w:t>
      </w:r>
      <w:proofErr w:type="spellStart"/>
      <w:r>
        <w:t>tab</w:t>
      </w:r>
      <w:proofErr w:type="spellEnd"/>
      <w:r>
        <w:t>. 2</w:t>
      </w:r>
      <w:r w:rsidRPr="007D2FDC">
        <w:t>) è stato attribuito un punteggio che riflette la durata contrattuale</w:t>
      </w:r>
      <w:r>
        <w:t xml:space="preserve"> e il livello di tutele sindacali e previdenziali</w:t>
      </w:r>
      <w:r w:rsidR="00014E77">
        <w:rPr>
          <w:rStyle w:val="Rimandonotaapidipagina"/>
        </w:rPr>
        <w:footnoteReference w:id="14"/>
      </w:r>
      <w:r>
        <w:t>: si va dalla massima tutela, associata ai contratti a tempo indeterminato (</w:t>
      </w:r>
      <w:r w:rsidRPr="00BC0A50">
        <w:rPr>
          <w:i/>
        </w:rPr>
        <w:t>ranking</w:t>
      </w:r>
      <w:r>
        <w:t xml:space="preserve"> contrattuale 3 = qualità alta) a valori più bassi attribuiti ad altre tipologie di contratto (2 = qualità media e 1 = qualità bassa). I valori associati a ciascun tipo di contratto sono serviti per analizzare – in maniera sintetica – gli assetti contrattuali della popolazione osservata. </w:t>
      </w:r>
    </w:p>
    <w:p w:rsidR="009E35BE" w:rsidRDefault="009E35BE" w:rsidP="009E35BE">
      <w:pPr>
        <w:jc w:val="both"/>
      </w:pPr>
    </w:p>
    <w:p w:rsidR="009E35BE" w:rsidRPr="005B5746" w:rsidRDefault="009E35BE" w:rsidP="009E35BE">
      <w:pPr>
        <w:jc w:val="both"/>
        <w:rPr>
          <w:b/>
          <w:sz w:val="20"/>
          <w:szCs w:val="20"/>
        </w:rPr>
      </w:pPr>
      <w:r w:rsidRPr="005B5746">
        <w:rPr>
          <w:b/>
          <w:sz w:val="20"/>
          <w:szCs w:val="20"/>
        </w:rPr>
        <w:t xml:space="preserve">Graf. </w:t>
      </w:r>
      <w:r w:rsidR="00CD214C">
        <w:rPr>
          <w:b/>
          <w:sz w:val="20"/>
          <w:szCs w:val="20"/>
        </w:rPr>
        <w:t>3.</w:t>
      </w:r>
      <w:r w:rsidRPr="005B5746">
        <w:rPr>
          <w:b/>
          <w:sz w:val="20"/>
          <w:szCs w:val="20"/>
        </w:rPr>
        <w:t>1 – Distribuzione degli avviamenti (2016) per classi d’età e ranking contrattuale</w:t>
      </w:r>
      <w:r>
        <w:rPr>
          <w:b/>
          <w:sz w:val="20"/>
          <w:szCs w:val="20"/>
        </w:rPr>
        <w:t>.</w:t>
      </w:r>
    </w:p>
    <w:p w:rsidR="009E35BE" w:rsidRDefault="009E35BE" w:rsidP="009E35BE">
      <w:pPr>
        <w:jc w:val="both"/>
      </w:pPr>
      <w:r>
        <w:rPr>
          <w:noProof/>
          <w:lang w:eastAsia="it-IT"/>
        </w:rPr>
        <w:drawing>
          <wp:inline distT="0" distB="0" distL="0" distR="0" wp14:anchorId="10C90699" wp14:editId="0B0ECE03">
            <wp:extent cx="6120130" cy="1790700"/>
            <wp:effectExtent l="0" t="0" r="13970" b="0"/>
            <wp:docPr id="11" name="Grafico 11">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arto="http://schemas.microsoft.com/office/word/2006/arto"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E35BE" w:rsidRDefault="009E35BE" w:rsidP="009E35BE">
      <w:pPr>
        <w:rPr>
          <w:b/>
          <w:sz w:val="20"/>
          <w:szCs w:val="20"/>
        </w:rPr>
      </w:pPr>
    </w:p>
    <w:p w:rsidR="009E35BE" w:rsidRDefault="009E35BE" w:rsidP="009E35BE">
      <w:pPr>
        <w:rPr>
          <w:b/>
          <w:sz w:val="20"/>
          <w:szCs w:val="20"/>
        </w:rPr>
      </w:pPr>
      <w:r w:rsidRPr="005B5746">
        <w:rPr>
          <w:b/>
          <w:sz w:val="20"/>
          <w:szCs w:val="20"/>
        </w:rPr>
        <w:t xml:space="preserve">Graf. </w:t>
      </w:r>
      <w:r w:rsidR="00CD214C">
        <w:rPr>
          <w:b/>
          <w:sz w:val="20"/>
          <w:szCs w:val="20"/>
        </w:rPr>
        <w:t>3.</w:t>
      </w:r>
      <w:r w:rsidRPr="005B5746">
        <w:rPr>
          <w:b/>
          <w:sz w:val="20"/>
          <w:szCs w:val="20"/>
        </w:rPr>
        <w:t xml:space="preserve">2. Distribuzione degli avviamenti (2016) per classi d’età e </w:t>
      </w:r>
      <w:r>
        <w:rPr>
          <w:b/>
          <w:sz w:val="20"/>
          <w:szCs w:val="20"/>
        </w:rPr>
        <w:t>sesso.</w:t>
      </w:r>
    </w:p>
    <w:p w:rsidR="009E35BE" w:rsidRDefault="009E35BE" w:rsidP="009E35BE">
      <w:r>
        <w:rPr>
          <w:noProof/>
          <w:lang w:eastAsia="it-IT"/>
        </w:rPr>
        <w:drawing>
          <wp:inline distT="0" distB="0" distL="0" distR="0" wp14:anchorId="520205EE" wp14:editId="32AA682F">
            <wp:extent cx="4572000" cy="2743200"/>
            <wp:effectExtent l="0" t="0" r="0" b="0"/>
            <wp:docPr id="12" name="Grafico 12">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arto="http://schemas.microsoft.com/office/word/2006/arto" id="{A04A022C-D415-4FA4-9882-E8FAD084E31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E35BE" w:rsidRDefault="009E35BE" w:rsidP="009E35BE">
      <w:pPr>
        <w:jc w:val="both"/>
      </w:pPr>
      <w:r>
        <w:t>In termini generali, i contratti di qualità bassa sono appena 1,3% del totale (pari a solo 19 unità). I contratti di qualità media (71% pari a 1.049) sono, invece, la maggioranza. Infine, i contratti di qualità alta (tempo indeterminato) risultano essere il 27,7% del totale (pari a 410).</w:t>
      </w:r>
    </w:p>
    <w:p w:rsidR="009E35BE" w:rsidRDefault="009E35BE" w:rsidP="009E35BE">
      <w:pPr>
        <w:jc w:val="both"/>
      </w:pPr>
      <w:r>
        <w:t>Tuttavia, come mostrano i due grafici sopra riportati, la loro distribuzione fra le classi d’età e quelle di genere non è uniforme. In particolare:</w:t>
      </w:r>
    </w:p>
    <w:p w:rsidR="009E35BE" w:rsidRDefault="009E35BE" w:rsidP="009E35BE">
      <w:pPr>
        <w:pStyle w:val="Paragrafoelenco"/>
        <w:numPr>
          <w:ilvl w:val="0"/>
          <w:numId w:val="5"/>
        </w:numPr>
        <w:jc w:val="both"/>
      </w:pPr>
      <w:r w:rsidRPr="00983E47">
        <w:rPr>
          <w:u w:val="single"/>
        </w:rPr>
        <w:t xml:space="preserve">In riferimento all’età dei </w:t>
      </w:r>
      <w:proofErr w:type="gramStart"/>
      <w:r w:rsidRPr="00983E47">
        <w:rPr>
          <w:u w:val="single"/>
        </w:rPr>
        <w:t>lavoratori</w:t>
      </w:r>
      <w:r>
        <w:t xml:space="preserve"> </w:t>
      </w:r>
      <w:r>
        <w:sym w:font="Wingdings" w:char="F0E0"/>
      </w:r>
      <w:r>
        <w:t xml:space="preserve"> i</w:t>
      </w:r>
      <w:proofErr w:type="gramEnd"/>
      <w:r>
        <w:t xml:space="preserve"> contratti di qualità media prevalgono gli under 29 (44,7%). Si tratta, in prevalenza di contratti a tempo determinato in cui il tasso di rinnovo risulta estremamente elevato. Quelli di migliore qualità (contratti a tempo indeterminato), invece, si riferiscono prevalentemente alla classe d’età 30-49 anni (67.6%). Si noti, invece, che gli over 50 sono coloro che risultano essere avviati con le tipologie contrattuali peggiori (ben il 78,9% di essi è stato contrattualizzato con uno strumento di regolazione del rapporto di lavoro di qualità bassa, ma occorre avvertire che, in valori assoluti, si tratta di appena 15 avviamenti su un totale di 19. Inoltre è presumibile che in qualche caso, i soggetti avviati siano persone che hanno già raggiunto l’età della pensione e che integrino quest’ultima con un contratto atipico).</w:t>
      </w:r>
    </w:p>
    <w:p w:rsidR="009E35BE" w:rsidRDefault="009E35BE" w:rsidP="009E35BE">
      <w:pPr>
        <w:pStyle w:val="Paragrafoelenco"/>
        <w:numPr>
          <w:ilvl w:val="0"/>
          <w:numId w:val="5"/>
        </w:numPr>
        <w:jc w:val="both"/>
      </w:pPr>
      <w:r w:rsidRPr="00983E47">
        <w:rPr>
          <w:u w:val="single"/>
        </w:rPr>
        <w:t xml:space="preserve">In riferimento al </w:t>
      </w:r>
      <w:proofErr w:type="gramStart"/>
      <w:r w:rsidRPr="00983E47">
        <w:rPr>
          <w:u w:val="single"/>
        </w:rPr>
        <w:t>genere</w:t>
      </w:r>
      <w:r>
        <w:t xml:space="preserve"> </w:t>
      </w:r>
      <w:r>
        <w:sym w:font="Wingdings" w:char="F0E0"/>
      </w:r>
      <w:r>
        <w:t xml:space="preserve"> gli</w:t>
      </w:r>
      <w:proofErr w:type="gramEnd"/>
      <w:r>
        <w:t xml:space="preserve"> uomini prevalgono in tutte le tipologie contrattuali analizzate, tuttavia la disparità uomo – donna è massima nei contratti di qualità alta (i maschi sopravanzano le femmine del 61,4%). Le donne, si avvicinano di più alle percentuali maschili, invece, nei contratti di qualità media, dove la differenza % è pari a 27,8 punti.</w:t>
      </w:r>
    </w:p>
    <w:p w:rsidR="009E35BE" w:rsidRDefault="009E35BE" w:rsidP="009E35BE">
      <w:pPr>
        <w:jc w:val="both"/>
      </w:pPr>
    </w:p>
    <w:p w:rsidR="009E35BE" w:rsidRDefault="009E35BE" w:rsidP="009E35BE">
      <w:pPr>
        <w:jc w:val="both"/>
      </w:pPr>
      <w:r>
        <w:t xml:space="preserve">Quanto detto ci permette di </w:t>
      </w:r>
      <w:proofErr w:type="spellStart"/>
      <w:r w:rsidRPr="00D16C34">
        <w:rPr>
          <w:i/>
        </w:rPr>
        <w:t>clusterizzare</w:t>
      </w:r>
      <w:proofErr w:type="spellEnd"/>
      <w:r>
        <w:t xml:space="preserve"> i lavoratori assunti in riferimento alla tipologia contrattuale acquisita:</w:t>
      </w:r>
    </w:p>
    <w:p w:rsidR="009E35BE" w:rsidRDefault="009E35BE" w:rsidP="009E35BE">
      <w:pPr>
        <w:pStyle w:val="Paragrafoelenco"/>
        <w:numPr>
          <w:ilvl w:val="0"/>
          <w:numId w:val="5"/>
        </w:numPr>
        <w:jc w:val="both"/>
      </w:pPr>
      <w:r>
        <w:t>I pochissimi assunti con contratti di qualità bassa (si tratta, in termini assoluti di 23 lavoratori) risultano in prevalenza uomini di età superiore ai 50 anni.</w:t>
      </w:r>
    </w:p>
    <w:p w:rsidR="009E35BE" w:rsidRDefault="009E35BE" w:rsidP="009E35BE">
      <w:pPr>
        <w:pStyle w:val="Paragrafoelenco"/>
        <w:numPr>
          <w:ilvl w:val="0"/>
          <w:numId w:val="5"/>
        </w:numPr>
        <w:jc w:val="both"/>
      </w:pPr>
      <w:r>
        <w:t>I contratti di qualità media (che coincidono, nella maggioranza dei casi, con i tempi determinati) finiscono per caratterizzare gli avviamenti di uomini con un’età inferiore ai 29 anni, tuttavia, in questo gruppo la presenza femminile è più marcata.</w:t>
      </w:r>
    </w:p>
    <w:p w:rsidR="009E35BE" w:rsidRDefault="009E35BE" w:rsidP="009E35BE">
      <w:pPr>
        <w:pStyle w:val="Paragrafoelenco"/>
        <w:numPr>
          <w:ilvl w:val="0"/>
          <w:numId w:val="5"/>
        </w:numPr>
        <w:jc w:val="both"/>
      </w:pPr>
      <w:r>
        <w:t>Infine, i contratti di qualità elevata (a tempo indeterminato) caratterizzano prevalentemente gli uomini di età media (30-49 anni)</w:t>
      </w:r>
    </w:p>
    <w:p w:rsidR="009E35BE" w:rsidRDefault="009E35BE" w:rsidP="009E35BE">
      <w:pPr>
        <w:jc w:val="both"/>
      </w:pPr>
      <w:r>
        <w:t xml:space="preserve">Naturalmente, i tre cluster sopra discussi NON caratterizzano l’insieme degli addetti del settore orafo, ma solo coloro che vengono avviati al lavoro. Infatti, il dato analizzato costituisce un flusso (e non uno stock). </w:t>
      </w:r>
    </w:p>
    <w:p w:rsidR="009E35BE" w:rsidRDefault="009E35BE" w:rsidP="009E35BE">
      <w:pPr>
        <w:jc w:val="both"/>
      </w:pPr>
    </w:p>
    <w:p w:rsidR="009E35BE" w:rsidRDefault="00946AD8" w:rsidP="009E35BE">
      <w:pPr>
        <w:pStyle w:val="Titolo2"/>
      </w:pPr>
      <w:r>
        <w:t xml:space="preserve">3.3 </w:t>
      </w:r>
      <w:r w:rsidR="009E35BE">
        <w:t>Le transizioni contrattuali</w:t>
      </w:r>
    </w:p>
    <w:p w:rsidR="009E35BE" w:rsidRDefault="009E35BE" w:rsidP="009E35BE"/>
    <w:p w:rsidR="009E35BE" w:rsidRDefault="009E35BE" w:rsidP="009E35BE">
      <w:pPr>
        <w:jc w:val="both"/>
      </w:pPr>
      <w:r>
        <w:t>Al fine di comprendere come quali siano i percorsi che conducono (o non conducono) a contratti di buona qualità può essere utile analizzare le transizioni contrattuali, con riferimento al periodo 2011 – 2016. Nella tabella a doppia entrata seguente sono riportati in riga e colonna le tipologie contrattuali attivate su tutti i lavoratori orafi avviati nel periodo 2011-2016. La tabella riporta, in riga, il primo contratto lavorativo che ha regolamentato il rapporto di lavoro di coloro che operano nel settore orafo e, in colonna, il contratto eventualmente stipulato la volta dopo. La colonna “cesura” raccoglie le frequenze di coloro che non hanno subito, nel periodo di osservazione, alcuna modifica contrattuale. La colonna “cessazione” indica le frequenze di coloro che, dopo il contratto indicato in riga, hanno perduto il lavoro.</w:t>
      </w:r>
    </w:p>
    <w:p w:rsidR="009E35BE" w:rsidRDefault="009E35BE" w:rsidP="009E35BE">
      <w:pPr>
        <w:jc w:val="both"/>
      </w:pPr>
      <w:r>
        <w:t>La tabella seguente mostra una forte prevalenza dei contratti a tempo determinato seguiti, a distanza, da quelli a tempo indeterminato e dall’apprendistato. Forti sono anche le frequenze associate alle cessazioni.</w:t>
      </w:r>
    </w:p>
    <w:p w:rsidR="009E35BE" w:rsidRDefault="009E35BE" w:rsidP="009E35BE">
      <w:pPr>
        <w:jc w:val="both"/>
      </w:pPr>
      <w:r>
        <w:t xml:space="preserve">Riguardo i </w:t>
      </w:r>
      <w:r w:rsidRPr="00C67338">
        <w:rPr>
          <w:u w:val="single"/>
        </w:rPr>
        <w:t>contratti a tempo determinato</w:t>
      </w:r>
      <w:r>
        <w:t>, questi si rivelano sempre più delle vere e proprie gabbie contrattuali. Se qualche decennio fa, il tempo determinato costituiva il ponte per raggiungere la stabilizzazione ora questo fenomeno sembra essere fortemente attenuato: al tempo determinato, nella maggioranza dei casi (42,4%) seguono ulteriori contratti della stessa tipologia. Solo nel 13,8% il tempo determinato viene seguito (di solito attraverso una trasformazione) da un tempo indeterminato.</w:t>
      </w:r>
    </w:p>
    <w:p w:rsidR="009E35BE" w:rsidRDefault="009E35BE" w:rsidP="009E35BE">
      <w:pPr>
        <w:jc w:val="both"/>
      </w:pPr>
      <w:r>
        <w:t xml:space="preserve">Le alternative ai due </w:t>
      </w:r>
      <w:proofErr w:type="spellStart"/>
      <w:r w:rsidRPr="00005B62">
        <w:rPr>
          <w:i/>
        </w:rPr>
        <w:t>path</w:t>
      </w:r>
      <w:proofErr w:type="spellEnd"/>
      <w:r>
        <w:t xml:space="preserve"> descritti sopra sono il termine dell’esperienza lavorativa (34,6%) oppure la cesura (7,8%; dunque, il soggetto, per tutto il periodo di osservazione, mantiene il contratto a termine che ne definisce il rapporto di lavoro).</w:t>
      </w:r>
    </w:p>
    <w:p w:rsidR="009E35BE" w:rsidRDefault="009E35BE" w:rsidP="009E35BE">
      <w:pPr>
        <w:jc w:val="both"/>
      </w:pPr>
      <w:r>
        <w:t xml:space="preserve">Con riferimento ai </w:t>
      </w:r>
      <w:r w:rsidRPr="00C67338">
        <w:rPr>
          <w:u w:val="single"/>
        </w:rPr>
        <w:t>contratti a tempo indeterminato</w:t>
      </w:r>
      <w:r w:rsidRPr="00C67338">
        <w:t>, questi continuano a</w:t>
      </w:r>
      <w:r>
        <w:t xml:space="preserve"> configurarsi come un presidio della stabilità lavorativa: il 50,6% dei lavoratori, infatti, mantiene, per tutto il periodo considerato (2011-2016), tale contratto, tuttavia, in ben il 33% dei casi viene perduto dal soggetto (cessazione). Non sono amplissimi, invece, coloro che a seguito di un contratto a tempo indeterminato riescono ad ottenerne un altro (12,2%). Infine, sono solo il 3,4% coloro che, a seguito del tempo indeterminato, rientrano nel mondo del lavoro con un contratto a tempo determinato.</w:t>
      </w:r>
    </w:p>
    <w:p w:rsidR="009E35BE" w:rsidRDefault="009E35BE" w:rsidP="009E35BE">
      <w:pPr>
        <w:jc w:val="both"/>
      </w:pPr>
      <w:r>
        <w:t xml:space="preserve">Particolarmente rilevante risulta il ricorso ai contratti di </w:t>
      </w:r>
      <w:r w:rsidRPr="002F27AE">
        <w:rPr>
          <w:u w:val="single"/>
        </w:rPr>
        <w:t>apprendistato</w:t>
      </w:r>
      <w:r w:rsidRPr="002F27AE">
        <w:t xml:space="preserve">. </w:t>
      </w:r>
      <w:r>
        <w:t xml:space="preserve">Chi detiene un contratto di apprendistato, se lo perde, nel 10,4% dei casi, rientra nel </w:t>
      </w:r>
      <w:proofErr w:type="spellStart"/>
      <w:r>
        <w:t>MdL</w:t>
      </w:r>
      <w:proofErr w:type="spellEnd"/>
      <w:r>
        <w:t xml:space="preserve"> con un ulteriore ricorso all’apprendistato. Tuttavia, l’apprendistato sembra essere caratterizzato da una non ampia stabilità poiché ben il 39,4% dei 1.303 movimenti associati a tale tipologia contrattuale vede concludere il proprio rapporto di lavoro anzitempo, con una cessazione. Quest’ultima osservazione sembra contraddire lo spirito stesso del contratto di apprendistato che, nell’intenzione del legislatore, doveva – in automatico – trasformarsi in contratto a tempo indeterminato una volta terminato il periodo formativo.</w:t>
      </w:r>
    </w:p>
    <w:p w:rsidR="009E35BE" w:rsidRDefault="009E35BE" w:rsidP="009E35BE">
      <w:pPr>
        <w:jc w:val="both"/>
      </w:pPr>
      <w:r>
        <w:t xml:space="preserve">Infine, risultano rilevanti le osservazioni sui </w:t>
      </w:r>
      <w:r>
        <w:rPr>
          <w:u w:val="single"/>
        </w:rPr>
        <w:t>contratti di somministrazione</w:t>
      </w:r>
      <w:r w:rsidRPr="00D24BAE">
        <w:t>. Nella maggioranza</w:t>
      </w:r>
      <w:r>
        <w:t xml:space="preserve"> dei casi i contratti di lavoro interinale</w:t>
      </w:r>
      <w:r w:rsidRPr="00D24BAE">
        <w:t xml:space="preserve"> vengono seguiti da contratti analoghi </w:t>
      </w:r>
      <w:r>
        <w:t>(39,7</w:t>
      </w:r>
      <w:r w:rsidRPr="00D24BAE">
        <w:t>%</w:t>
      </w:r>
      <w:r>
        <w:t>). Più rare sono le trasformazioni in tipologie contrattuali più stabili come il tempo determinato (11,7% dei casi) e tempo indeterminato (appena il 2,4%). La cessazione del rapporto di lavoro caratterizza, invece, l’37% dei casi. Dunque, anche il contratto interinale si configura come una vera e propria gabbia contrattuale: chi ne viene interessato ha forti probabilità di una sua riproposizione.</w:t>
      </w:r>
    </w:p>
    <w:p w:rsidR="009E35BE" w:rsidRDefault="009E35BE" w:rsidP="009E35BE">
      <w:pPr>
        <w:jc w:val="both"/>
      </w:pPr>
      <w:r>
        <w:t xml:space="preserve">Le </w:t>
      </w:r>
      <w:r w:rsidRPr="00ED3F74">
        <w:rPr>
          <w:u w:val="single"/>
        </w:rPr>
        <w:t>altre forme contrattuali</w:t>
      </w:r>
      <w:r>
        <w:t xml:space="preserve"> risultano piuttosto residuali: nella serie storica analizzata (2011-2016) sono presenti 269 movimenti riconducibili a contratti a progetto / collaborazioni coordinate e continuative (i primi, tuttavia, non possono più essere attivati, mentre le seconde risultano</w:t>
      </w:r>
      <w:r w:rsidRPr="00697806">
        <w:t xml:space="preserve"> ancora valide se regolamentate da accordi collettivi stipulati dalle organizzazioni sindacali comparativamente più rappresentative a livello nazionale</w:t>
      </w:r>
      <w:r>
        <w:rPr>
          <w:rStyle w:val="Rimandonotaapidipagina"/>
        </w:rPr>
        <w:footnoteReference w:id="15"/>
      </w:r>
      <w:r w:rsidRPr="00697806">
        <w:t>)</w:t>
      </w:r>
      <w:r>
        <w:t>. Vi sono, poi, le altre forme contrattuali atipiche (lavoro accessorio, intermittente, a</w:t>
      </w:r>
      <w:r w:rsidRPr="00697806">
        <w:t xml:space="preserve"> </w:t>
      </w:r>
      <w:r>
        <w:t xml:space="preserve">domicilio, etc.) che, tuttavia, presentano frequenze estremamente limitate (si tratta di 225 movimenti nei 6 anni di Infine </w:t>
      </w:r>
      <w:r w:rsidRPr="00076949">
        <w:rPr>
          <w:u w:val="single"/>
        </w:rPr>
        <w:t>le cessazioni</w:t>
      </w:r>
      <w:r w:rsidRPr="00076949">
        <w:t>. C</w:t>
      </w:r>
      <w:r>
        <w:t xml:space="preserve">oloro che nel sessennio subiscono una cessazione (si tratta, complessivamente, di 5.512 soggetti) hanno altissime probabilità di non rientrare nel mercato del lavoro: infatti il 35,1% di essi non effettua alcun altro tipo di movimento nel periodo considerato (si tratta di 1.933 persone). Chi, invece accede di nuovo al </w:t>
      </w:r>
      <w:proofErr w:type="spellStart"/>
      <w:r>
        <w:t>MdL</w:t>
      </w:r>
      <w:proofErr w:type="spellEnd"/>
      <w:r>
        <w:t xml:space="preserve"> lo fa prevalentemente con contratti di lavoro a tempo determinato (33%), a tempo indeterminato (17,3%) e – in misura minore – di apprendistato (4,5%).</w:t>
      </w:r>
    </w:p>
    <w:p w:rsidR="00CD214C" w:rsidRDefault="00CD214C" w:rsidP="009E35BE">
      <w:pPr>
        <w:jc w:val="both"/>
      </w:pPr>
    </w:p>
    <w:p w:rsidR="00CD214C" w:rsidRPr="00CD214C" w:rsidRDefault="00CD214C" w:rsidP="009E35BE">
      <w:pPr>
        <w:jc w:val="both"/>
        <w:rPr>
          <w:b/>
          <w:sz w:val="20"/>
          <w:szCs w:val="20"/>
        </w:rPr>
      </w:pPr>
      <w:r w:rsidRPr="00CD214C">
        <w:rPr>
          <w:b/>
          <w:sz w:val="20"/>
          <w:szCs w:val="20"/>
        </w:rPr>
        <w:t>Graf. 3.3 Avviamenti 2011-2016 (numero indice) per contratto</w:t>
      </w:r>
    </w:p>
    <w:p w:rsidR="00242B71" w:rsidRDefault="00242B71" w:rsidP="009E35BE">
      <w:pPr>
        <w:jc w:val="both"/>
      </w:pPr>
      <w:r>
        <w:rPr>
          <w:noProof/>
          <w:lang w:eastAsia="it-IT"/>
        </w:rPr>
        <w:drawing>
          <wp:inline distT="0" distB="0" distL="0" distR="0" wp14:anchorId="633F7DA5" wp14:editId="15C4016E">
            <wp:extent cx="4486275" cy="2619375"/>
            <wp:effectExtent l="0" t="0" r="9525" b="9525"/>
            <wp:docPr id="17" name="Gra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963A6" w:rsidRDefault="004963A6" w:rsidP="009E35BE">
      <w:pPr>
        <w:jc w:val="both"/>
        <w:rPr>
          <w:b/>
          <w:sz w:val="20"/>
          <w:szCs w:val="20"/>
        </w:rPr>
      </w:pPr>
      <w:r>
        <w:rPr>
          <w:b/>
          <w:sz w:val="20"/>
          <w:szCs w:val="20"/>
        </w:rPr>
        <w:t>Graf. 3.4</w:t>
      </w:r>
      <w:r w:rsidRPr="00CD214C">
        <w:rPr>
          <w:b/>
          <w:sz w:val="20"/>
          <w:szCs w:val="20"/>
        </w:rPr>
        <w:t xml:space="preserve"> </w:t>
      </w:r>
      <w:r>
        <w:rPr>
          <w:b/>
          <w:sz w:val="20"/>
          <w:szCs w:val="20"/>
        </w:rPr>
        <w:t>Schema delle transizioni lavorative nell’orafo</w:t>
      </w:r>
    </w:p>
    <w:p w:rsidR="00B877C0" w:rsidRDefault="00B877C0" w:rsidP="009E35BE">
      <w:pPr>
        <w:jc w:val="both"/>
      </w:pPr>
      <w:r w:rsidRPr="00B877C0">
        <w:rPr>
          <w:noProof/>
          <w:lang w:eastAsia="it-IT"/>
        </w:rPr>
        <w:drawing>
          <wp:inline distT="0" distB="0" distL="0" distR="0" wp14:anchorId="1E4C3F6B" wp14:editId="4DC76B85">
            <wp:extent cx="4486275" cy="252353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504258" cy="2533645"/>
                    </a:xfrm>
                    <a:prstGeom prst="rect">
                      <a:avLst/>
                    </a:prstGeom>
                  </pic:spPr>
                </pic:pic>
              </a:graphicData>
            </a:graphic>
          </wp:inline>
        </w:drawing>
      </w:r>
    </w:p>
    <w:p w:rsidR="00B877C0" w:rsidRDefault="00B877C0" w:rsidP="009E35BE">
      <w:pPr>
        <w:jc w:val="both"/>
      </w:pPr>
      <w:r w:rsidRPr="00B877C0">
        <w:rPr>
          <w:noProof/>
          <w:lang w:eastAsia="it-IT"/>
        </w:rPr>
        <w:drawing>
          <wp:inline distT="0" distB="0" distL="0" distR="0" wp14:anchorId="717425EF" wp14:editId="24D40C06">
            <wp:extent cx="4470400" cy="2514600"/>
            <wp:effectExtent l="0" t="0" r="635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521128" cy="2543135"/>
                    </a:xfrm>
                    <a:prstGeom prst="rect">
                      <a:avLst/>
                    </a:prstGeom>
                  </pic:spPr>
                </pic:pic>
              </a:graphicData>
            </a:graphic>
          </wp:inline>
        </w:drawing>
      </w:r>
    </w:p>
    <w:p w:rsidR="009E35BE" w:rsidRDefault="009E35BE" w:rsidP="009E35BE">
      <w:pPr>
        <w:jc w:val="both"/>
      </w:pPr>
    </w:p>
    <w:p w:rsidR="009E35BE" w:rsidRDefault="009E35BE" w:rsidP="009E35BE">
      <w:pPr>
        <w:jc w:val="both"/>
        <w:sectPr w:rsidR="009E35BE">
          <w:pgSz w:w="11906" w:h="16838"/>
          <w:pgMar w:top="1417" w:right="1134" w:bottom="1134" w:left="1134" w:header="708" w:footer="708" w:gutter="0"/>
          <w:cols w:space="708"/>
          <w:docGrid w:linePitch="360"/>
        </w:sectPr>
      </w:pPr>
    </w:p>
    <w:p w:rsidR="009E35BE" w:rsidRDefault="009E35BE" w:rsidP="009E35BE">
      <w:pPr>
        <w:jc w:val="both"/>
        <w:rPr>
          <w:b/>
          <w:sz w:val="20"/>
          <w:szCs w:val="20"/>
        </w:rPr>
      </w:pPr>
      <w:proofErr w:type="spellStart"/>
      <w:r w:rsidRPr="006C3685">
        <w:rPr>
          <w:b/>
          <w:sz w:val="20"/>
          <w:szCs w:val="20"/>
        </w:rPr>
        <w:t>Tab</w:t>
      </w:r>
      <w:proofErr w:type="spellEnd"/>
      <w:r w:rsidRPr="006C3685">
        <w:rPr>
          <w:b/>
          <w:sz w:val="20"/>
          <w:szCs w:val="20"/>
        </w:rPr>
        <w:t xml:space="preserve">. </w:t>
      </w:r>
      <w:r w:rsidR="004963A6">
        <w:rPr>
          <w:b/>
          <w:sz w:val="20"/>
          <w:szCs w:val="20"/>
        </w:rPr>
        <w:t>3.</w:t>
      </w:r>
      <w:r w:rsidRPr="006C3685">
        <w:rPr>
          <w:b/>
          <w:sz w:val="20"/>
          <w:szCs w:val="20"/>
        </w:rPr>
        <w:t xml:space="preserve">3 - Transizioni contrattuali periodo 2011-2016 con settore di partenza </w:t>
      </w:r>
      <w:proofErr w:type="spellStart"/>
      <w:r w:rsidRPr="006C3685">
        <w:rPr>
          <w:b/>
          <w:sz w:val="20"/>
          <w:szCs w:val="20"/>
        </w:rPr>
        <w:t>Ateco</w:t>
      </w:r>
      <w:proofErr w:type="spellEnd"/>
      <w:r w:rsidRPr="006C3685">
        <w:rPr>
          <w:b/>
          <w:sz w:val="20"/>
          <w:szCs w:val="20"/>
        </w:rPr>
        <w:t xml:space="preserve"> 32.12, valori %.</w:t>
      </w:r>
    </w:p>
    <w:tbl>
      <w:tblPr>
        <w:tblW w:w="4963" w:type="pct"/>
        <w:tblLayout w:type="fixed"/>
        <w:tblCellMar>
          <w:top w:w="15" w:type="dxa"/>
          <w:left w:w="70" w:type="dxa"/>
          <w:bottom w:w="15" w:type="dxa"/>
          <w:right w:w="70" w:type="dxa"/>
        </w:tblCellMar>
        <w:tblLook w:val="04A0" w:firstRow="1" w:lastRow="0" w:firstColumn="1" w:lastColumn="0" w:noHBand="0" w:noVBand="1"/>
      </w:tblPr>
      <w:tblGrid>
        <w:gridCol w:w="1597"/>
        <w:gridCol w:w="839"/>
        <w:gridCol w:w="839"/>
        <w:gridCol w:w="839"/>
        <w:gridCol w:w="839"/>
        <w:gridCol w:w="839"/>
        <w:gridCol w:w="839"/>
        <w:gridCol w:w="839"/>
        <w:gridCol w:w="839"/>
        <w:gridCol w:w="839"/>
        <w:gridCol w:w="839"/>
        <w:gridCol w:w="839"/>
        <w:gridCol w:w="839"/>
        <w:gridCol w:w="839"/>
        <w:gridCol w:w="839"/>
        <w:gridCol w:w="828"/>
      </w:tblGrid>
      <w:tr w:rsidR="009E35BE" w:rsidRPr="00373182" w:rsidTr="00832031">
        <w:trPr>
          <w:trHeight w:val="900"/>
        </w:trPr>
        <w:tc>
          <w:tcPr>
            <w:tcW w:w="564" w:type="pct"/>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9E35BE" w:rsidRPr="00373182" w:rsidRDefault="009E35BE" w:rsidP="00832031">
            <w:pPr>
              <w:spacing w:after="0" w:line="240" w:lineRule="auto"/>
              <w:jc w:val="center"/>
              <w:rPr>
                <w:rFonts w:ascii="Calibri" w:eastAsia="Times New Roman" w:hAnsi="Calibri" w:cs="Calibri"/>
                <w:b/>
                <w:bCs/>
                <w:color w:val="000000"/>
                <w:sz w:val="16"/>
                <w:szCs w:val="18"/>
                <w:lang w:eastAsia="it-IT"/>
              </w:rPr>
            </w:pPr>
            <w:r w:rsidRPr="00373182">
              <w:rPr>
                <w:rFonts w:ascii="Calibri" w:eastAsia="Times New Roman" w:hAnsi="Calibri" w:cs="Calibri"/>
                <w:b/>
                <w:bCs/>
                <w:color w:val="000000"/>
                <w:sz w:val="16"/>
                <w:szCs w:val="18"/>
                <w:lang w:eastAsia="it-IT"/>
              </w:rPr>
              <w:t>Etichette di riga</w:t>
            </w:r>
          </w:p>
        </w:tc>
        <w:tc>
          <w:tcPr>
            <w:tcW w:w="296" w:type="pct"/>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9E35BE" w:rsidRPr="00373182" w:rsidRDefault="009E35BE" w:rsidP="00832031">
            <w:pPr>
              <w:spacing w:after="0" w:line="240" w:lineRule="auto"/>
              <w:jc w:val="center"/>
              <w:rPr>
                <w:rFonts w:ascii="Calibri" w:eastAsia="Times New Roman" w:hAnsi="Calibri" w:cs="Calibri"/>
                <w:b/>
                <w:bCs/>
                <w:color w:val="000000"/>
                <w:sz w:val="16"/>
                <w:szCs w:val="18"/>
                <w:lang w:eastAsia="it-IT"/>
              </w:rPr>
            </w:pPr>
            <w:r w:rsidRPr="00373182">
              <w:rPr>
                <w:rFonts w:ascii="Calibri" w:eastAsia="Times New Roman" w:hAnsi="Calibri" w:cs="Calibri"/>
                <w:b/>
                <w:bCs/>
                <w:color w:val="000000"/>
                <w:sz w:val="16"/>
                <w:szCs w:val="18"/>
                <w:lang w:eastAsia="it-IT"/>
              </w:rPr>
              <w:t>APPRENDISTATO</w:t>
            </w:r>
          </w:p>
        </w:tc>
        <w:tc>
          <w:tcPr>
            <w:tcW w:w="296" w:type="pct"/>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9E35BE" w:rsidRPr="00373182" w:rsidRDefault="009E35BE" w:rsidP="00832031">
            <w:pPr>
              <w:spacing w:after="0" w:line="240" w:lineRule="auto"/>
              <w:jc w:val="center"/>
              <w:rPr>
                <w:rFonts w:ascii="Calibri" w:eastAsia="Times New Roman" w:hAnsi="Calibri" w:cs="Calibri"/>
                <w:b/>
                <w:bCs/>
                <w:color w:val="000000"/>
                <w:sz w:val="16"/>
                <w:szCs w:val="18"/>
                <w:lang w:eastAsia="it-IT"/>
              </w:rPr>
            </w:pPr>
            <w:r w:rsidRPr="00373182">
              <w:rPr>
                <w:rFonts w:ascii="Calibri" w:eastAsia="Times New Roman" w:hAnsi="Calibri" w:cs="Calibri"/>
                <w:b/>
                <w:bCs/>
                <w:color w:val="000000"/>
                <w:sz w:val="16"/>
                <w:szCs w:val="18"/>
                <w:lang w:eastAsia="it-IT"/>
              </w:rPr>
              <w:t>ASSOCIAZIONE IN PARTECIPAZIONE</w:t>
            </w:r>
          </w:p>
        </w:tc>
        <w:tc>
          <w:tcPr>
            <w:tcW w:w="296" w:type="pct"/>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9E35BE" w:rsidRPr="00373182" w:rsidRDefault="009E35BE" w:rsidP="00832031">
            <w:pPr>
              <w:spacing w:after="0" w:line="240" w:lineRule="auto"/>
              <w:jc w:val="center"/>
              <w:rPr>
                <w:rFonts w:ascii="Calibri" w:eastAsia="Times New Roman" w:hAnsi="Calibri" w:cs="Calibri"/>
                <w:b/>
                <w:bCs/>
                <w:color w:val="000000"/>
                <w:sz w:val="16"/>
                <w:szCs w:val="18"/>
                <w:lang w:eastAsia="it-IT"/>
              </w:rPr>
            </w:pPr>
            <w:r w:rsidRPr="001E728F">
              <w:rPr>
                <w:rFonts w:ascii="Calibri" w:eastAsia="Times New Roman" w:hAnsi="Calibri" w:cs="Calibri"/>
                <w:b/>
                <w:bCs/>
                <w:color w:val="000000"/>
                <w:sz w:val="16"/>
                <w:szCs w:val="18"/>
                <w:lang w:eastAsia="it-IT"/>
              </w:rPr>
              <w:t>CONTRATTO DI SOMMINISTRAZIONE</w:t>
            </w:r>
          </w:p>
        </w:tc>
        <w:tc>
          <w:tcPr>
            <w:tcW w:w="296" w:type="pct"/>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9E35BE" w:rsidRPr="00373182" w:rsidRDefault="009E35BE" w:rsidP="00832031">
            <w:pPr>
              <w:spacing w:after="0" w:line="240" w:lineRule="auto"/>
              <w:jc w:val="center"/>
              <w:rPr>
                <w:rFonts w:ascii="Calibri" w:eastAsia="Times New Roman" w:hAnsi="Calibri" w:cs="Calibri"/>
                <w:b/>
                <w:bCs/>
                <w:color w:val="000000"/>
                <w:sz w:val="16"/>
                <w:szCs w:val="18"/>
                <w:lang w:eastAsia="it-IT"/>
              </w:rPr>
            </w:pPr>
            <w:r w:rsidRPr="00373182">
              <w:rPr>
                <w:rFonts w:ascii="Calibri" w:eastAsia="Times New Roman" w:hAnsi="Calibri" w:cs="Calibri"/>
                <w:b/>
                <w:bCs/>
                <w:color w:val="000000"/>
                <w:sz w:val="16"/>
                <w:szCs w:val="18"/>
                <w:lang w:eastAsia="it-IT"/>
              </w:rPr>
              <w:t>CONTRATTO DI INSERIMENTO LAVORATIVO</w:t>
            </w:r>
          </w:p>
        </w:tc>
        <w:tc>
          <w:tcPr>
            <w:tcW w:w="296" w:type="pct"/>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9E35BE" w:rsidRPr="00373182" w:rsidRDefault="009E35BE" w:rsidP="00832031">
            <w:pPr>
              <w:spacing w:after="0" w:line="240" w:lineRule="auto"/>
              <w:jc w:val="center"/>
              <w:rPr>
                <w:rFonts w:ascii="Calibri" w:eastAsia="Times New Roman" w:hAnsi="Calibri" w:cs="Calibri"/>
                <w:b/>
                <w:bCs/>
                <w:color w:val="000000"/>
                <w:sz w:val="16"/>
                <w:szCs w:val="18"/>
                <w:lang w:eastAsia="it-IT"/>
              </w:rPr>
            </w:pPr>
            <w:r w:rsidRPr="00373182">
              <w:rPr>
                <w:rFonts w:ascii="Calibri" w:eastAsia="Times New Roman" w:hAnsi="Calibri" w:cs="Calibri"/>
                <w:b/>
                <w:bCs/>
                <w:color w:val="000000"/>
                <w:sz w:val="16"/>
                <w:szCs w:val="18"/>
                <w:lang w:eastAsia="it-IT"/>
              </w:rPr>
              <w:t>LAVORO A DOMICILIO</w:t>
            </w:r>
          </w:p>
        </w:tc>
        <w:tc>
          <w:tcPr>
            <w:tcW w:w="296" w:type="pct"/>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9E35BE" w:rsidRPr="00373182" w:rsidRDefault="009E35BE" w:rsidP="00832031">
            <w:pPr>
              <w:spacing w:after="0" w:line="240" w:lineRule="auto"/>
              <w:jc w:val="center"/>
              <w:rPr>
                <w:rFonts w:ascii="Calibri" w:eastAsia="Times New Roman" w:hAnsi="Calibri" w:cs="Calibri"/>
                <w:b/>
                <w:bCs/>
                <w:color w:val="000000"/>
                <w:sz w:val="16"/>
                <w:szCs w:val="18"/>
                <w:lang w:eastAsia="it-IT"/>
              </w:rPr>
            </w:pPr>
            <w:r w:rsidRPr="00373182">
              <w:rPr>
                <w:rFonts w:ascii="Calibri" w:eastAsia="Times New Roman" w:hAnsi="Calibri" w:cs="Calibri"/>
                <w:b/>
                <w:bCs/>
                <w:color w:val="000000"/>
                <w:sz w:val="16"/>
                <w:szCs w:val="18"/>
                <w:lang w:eastAsia="it-IT"/>
              </w:rPr>
              <w:t>LAVORO A PROGETTO / COLLABORAZIONE COORDINATA E CONTINUATIVA</w:t>
            </w:r>
          </w:p>
        </w:tc>
        <w:tc>
          <w:tcPr>
            <w:tcW w:w="296" w:type="pct"/>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9E35BE" w:rsidRPr="00373182" w:rsidRDefault="009E35BE" w:rsidP="00832031">
            <w:pPr>
              <w:spacing w:after="0" w:line="240" w:lineRule="auto"/>
              <w:jc w:val="center"/>
              <w:rPr>
                <w:rFonts w:ascii="Calibri" w:eastAsia="Times New Roman" w:hAnsi="Calibri" w:cs="Calibri"/>
                <w:b/>
                <w:bCs/>
                <w:color w:val="000000"/>
                <w:sz w:val="16"/>
                <w:szCs w:val="18"/>
                <w:lang w:eastAsia="it-IT"/>
              </w:rPr>
            </w:pPr>
            <w:r w:rsidRPr="00373182">
              <w:rPr>
                <w:rFonts w:ascii="Calibri" w:eastAsia="Times New Roman" w:hAnsi="Calibri" w:cs="Calibri"/>
                <w:b/>
                <w:bCs/>
                <w:color w:val="000000"/>
                <w:sz w:val="16"/>
                <w:szCs w:val="18"/>
                <w:lang w:eastAsia="it-IT"/>
              </w:rPr>
              <w:t>LAVORO A TEMPO DETERMINATO</w:t>
            </w:r>
          </w:p>
        </w:tc>
        <w:tc>
          <w:tcPr>
            <w:tcW w:w="296" w:type="pct"/>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9E35BE" w:rsidRPr="00373182" w:rsidRDefault="009E35BE" w:rsidP="00832031">
            <w:pPr>
              <w:spacing w:after="0" w:line="240" w:lineRule="auto"/>
              <w:jc w:val="center"/>
              <w:rPr>
                <w:rFonts w:ascii="Calibri" w:eastAsia="Times New Roman" w:hAnsi="Calibri" w:cs="Calibri"/>
                <w:b/>
                <w:bCs/>
                <w:color w:val="000000"/>
                <w:sz w:val="16"/>
                <w:szCs w:val="18"/>
                <w:lang w:eastAsia="it-IT"/>
              </w:rPr>
            </w:pPr>
            <w:r w:rsidRPr="00373182">
              <w:rPr>
                <w:rFonts w:ascii="Calibri" w:eastAsia="Times New Roman" w:hAnsi="Calibri" w:cs="Calibri"/>
                <w:b/>
                <w:bCs/>
                <w:color w:val="000000"/>
                <w:sz w:val="16"/>
                <w:szCs w:val="18"/>
                <w:lang w:eastAsia="it-IT"/>
              </w:rPr>
              <w:t>LAVORO A TEMPO INDETERMINATO</w:t>
            </w:r>
          </w:p>
        </w:tc>
        <w:tc>
          <w:tcPr>
            <w:tcW w:w="296" w:type="pct"/>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9E35BE" w:rsidRPr="00373182" w:rsidRDefault="009E35BE" w:rsidP="00832031">
            <w:pPr>
              <w:spacing w:after="0" w:line="240" w:lineRule="auto"/>
              <w:jc w:val="center"/>
              <w:rPr>
                <w:rFonts w:ascii="Calibri" w:eastAsia="Times New Roman" w:hAnsi="Calibri" w:cs="Calibri"/>
                <w:b/>
                <w:bCs/>
                <w:color w:val="000000"/>
                <w:sz w:val="16"/>
                <w:szCs w:val="18"/>
                <w:lang w:eastAsia="it-IT"/>
              </w:rPr>
            </w:pPr>
            <w:r w:rsidRPr="00373182">
              <w:rPr>
                <w:rFonts w:ascii="Calibri" w:eastAsia="Times New Roman" w:hAnsi="Calibri" w:cs="Calibri"/>
                <w:b/>
                <w:bCs/>
                <w:color w:val="000000"/>
                <w:sz w:val="16"/>
                <w:szCs w:val="18"/>
                <w:lang w:eastAsia="it-IT"/>
              </w:rPr>
              <w:t>LAVORO INTERMITTENTE</w:t>
            </w:r>
          </w:p>
        </w:tc>
        <w:tc>
          <w:tcPr>
            <w:tcW w:w="296" w:type="pct"/>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9E35BE" w:rsidRPr="00373182" w:rsidRDefault="009E35BE" w:rsidP="00832031">
            <w:pPr>
              <w:spacing w:after="0" w:line="240" w:lineRule="auto"/>
              <w:jc w:val="center"/>
              <w:rPr>
                <w:rFonts w:ascii="Calibri" w:eastAsia="Times New Roman" w:hAnsi="Calibri" w:cs="Calibri"/>
                <w:b/>
                <w:bCs/>
                <w:color w:val="000000"/>
                <w:sz w:val="16"/>
                <w:szCs w:val="18"/>
                <w:lang w:eastAsia="it-IT"/>
              </w:rPr>
            </w:pPr>
            <w:r w:rsidRPr="00373182">
              <w:rPr>
                <w:rFonts w:ascii="Calibri" w:eastAsia="Times New Roman" w:hAnsi="Calibri" w:cs="Calibri"/>
                <w:b/>
                <w:bCs/>
                <w:color w:val="000000"/>
                <w:sz w:val="16"/>
                <w:szCs w:val="18"/>
                <w:lang w:eastAsia="it-IT"/>
              </w:rPr>
              <w:t>LAVORO OCCASIONALE</w:t>
            </w:r>
          </w:p>
        </w:tc>
        <w:tc>
          <w:tcPr>
            <w:tcW w:w="296" w:type="pct"/>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9E35BE" w:rsidRPr="00373182" w:rsidRDefault="009E35BE" w:rsidP="00832031">
            <w:pPr>
              <w:spacing w:after="0" w:line="240" w:lineRule="auto"/>
              <w:jc w:val="center"/>
              <w:rPr>
                <w:rFonts w:ascii="Calibri" w:eastAsia="Times New Roman" w:hAnsi="Calibri" w:cs="Calibri"/>
                <w:b/>
                <w:bCs/>
                <w:color w:val="000000"/>
                <w:sz w:val="16"/>
                <w:szCs w:val="18"/>
                <w:lang w:eastAsia="it-IT"/>
              </w:rPr>
            </w:pPr>
            <w:r w:rsidRPr="00373182">
              <w:rPr>
                <w:rFonts w:ascii="Calibri" w:eastAsia="Times New Roman" w:hAnsi="Calibri" w:cs="Calibri"/>
                <w:b/>
                <w:bCs/>
                <w:color w:val="000000"/>
                <w:sz w:val="16"/>
                <w:szCs w:val="18"/>
                <w:lang w:eastAsia="it-IT"/>
              </w:rPr>
              <w:t>LAVORO RIPARTITO</w:t>
            </w:r>
          </w:p>
        </w:tc>
        <w:tc>
          <w:tcPr>
            <w:tcW w:w="296" w:type="pct"/>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9E35BE" w:rsidRPr="00373182" w:rsidRDefault="009E35BE" w:rsidP="00832031">
            <w:pPr>
              <w:spacing w:after="0" w:line="240" w:lineRule="auto"/>
              <w:jc w:val="center"/>
              <w:rPr>
                <w:rFonts w:ascii="Calibri" w:eastAsia="Times New Roman" w:hAnsi="Calibri" w:cs="Calibri"/>
                <w:b/>
                <w:bCs/>
                <w:color w:val="000000"/>
                <w:sz w:val="16"/>
                <w:szCs w:val="18"/>
                <w:lang w:eastAsia="it-IT"/>
              </w:rPr>
            </w:pPr>
            <w:r w:rsidRPr="00373182">
              <w:rPr>
                <w:rFonts w:ascii="Calibri" w:eastAsia="Times New Roman" w:hAnsi="Calibri" w:cs="Calibri"/>
                <w:b/>
                <w:bCs/>
                <w:color w:val="000000"/>
                <w:sz w:val="16"/>
                <w:szCs w:val="18"/>
                <w:lang w:eastAsia="it-IT"/>
              </w:rPr>
              <w:t>TIROCINIO / BORSA LAVORO</w:t>
            </w:r>
          </w:p>
        </w:tc>
        <w:tc>
          <w:tcPr>
            <w:tcW w:w="296" w:type="pct"/>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9E35BE" w:rsidRPr="00373182" w:rsidRDefault="009E35BE" w:rsidP="00832031">
            <w:pPr>
              <w:spacing w:after="0" w:line="240" w:lineRule="auto"/>
              <w:jc w:val="center"/>
              <w:rPr>
                <w:rFonts w:ascii="Calibri" w:eastAsia="Times New Roman" w:hAnsi="Calibri" w:cs="Calibri"/>
                <w:b/>
                <w:bCs/>
                <w:color w:val="000000"/>
                <w:sz w:val="16"/>
                <w:szCs w:val="18"/>
                <w:lang w:eastAsia="it-IT"/>
              </w:rPr>
            </w:pPr>
            <w:r w:rsidRPr="00373182">
              <w:rPr>
                <w:rFonts w:ascii="Calibri" w:eastAsia="Times New Roman" w:hAnsi="Calibri" w:cs="Calibri"/>
                <w:b/>
                <w:bCs/>
                <w:color w:val="000000"/>
                <w:sz w:val="16"/>
                <w:szCs w:val="18"/>
                <w:lang w:eastAsia="it-IT"/>
              </w:rPr>
              <w:t>Cessato</w:t>
            </w:r>
          </w:p>
        </w:tc>
        <w:tc>
          <w:tcPr>
            <w:tcW w:w="296" w:type="pct"/>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9E35BE" w:rsidRPr="00373182" w:rsidRDefault="009E35BE" w:rsidP="00832031">
            <w:pPr>
              <w:spacing w:after="0" w:line="240" w:lineRule="auto"/>
              <w:jc w:val="center"/>
              <w:rPr>
                <w:rFonts w:ascii="Calibri" w:eastAsia="Times New Roman" w:hAnsi="Calibri" w:cs="Calibri"/>
                <w:b/>
                <w:bCs/>
                <w:color w:val="000000"/>
                <w:sz w:val="16"/>
                <w:szCs w:val="18"/>
                <w:lang w:eastAsia="it-IT"/>
              </w:rPr>
            </w:pPr>
            <w:proofErr w:type="gramStart"/>
            <w:r w:rsidRPr="00373182">
              <w:rPr>
                <w:rFonts w:ascii="Calibri" w:eastAsia="Times New Roman" w:hAnsi="Calibri" w:cs="Calibri"/>
                <w:b/>
                <w:bCs/>
                <w:color w:val="000000"/>
                <w:sz w:val="16"/>
                <w:szCs w:val="18"/>
                <w:lang w:eastAsia="it-IT"/>
              </w:rPr>
              <w:t>cesura</w:t>
            </w:r>
            <w:proofErr w:type="gramEnd"/>
          </w:p>
        </w:tc>
        <w:tc>
          <w:tcPr>
            <w:tcW w:w="296"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9E35BE" w:rsidRPr="00373182" w:rsidRDefault="009E35BE" w:rsidP="00832031">
            <w:pPr>
              <w:spacing w:after="0" w:line="240" w:lineRule="auto"/>
              <w:jc w:val="center"/>
              <w:rPr>
                <w:rFonts w:ascii="Calibri" w:eastAsia="Times New Roman" w:hAnsi="Calibri" w:cs="Calibri"/>
                <w:b/>
                <w:bCs/>
                <w:color w:val="000000"/>
                <w:sz w:val="16"/>
                <w:szCs w:val="18"/>
                <w:lang w:eastAsia="it-IT"/>
              </w:rPr>
            </w:pPr>
            <w:r w:rsidRPr="00373182">
              <w:rPr>
                <w:rFonts w:ascii="Calibri" w:eastAsia="Times New Roman" w:hAnsi="Calibri" w:cs="Calibri"/>
                <w:b/>
                <w:bCs/>
                <w:color w:val="000000"/>
                <w:sz w:val="16"/>
                <w:szCs w:val="18"/>
                <w:lang w:eastAsia="it-IT"/>
              </w:rPr>
              <w:t>Totale complessivo</w:t>
            </w:r>
          </w:p>
        </w:tc>
      </w:tr>
      <w:tr w:rsidR="009E35BE" w:rsidRPr="00373182" w:rsidTr="00832031">
        <w:trPr>
          <w:trHeight w:val="300"/>
        </w:trPr>
        <w:tc>
          <w:tcPr>
            <w:tcW w:w="564" w:type="pct"/>
            <w:tcBorders>
              <w:top w:val="single" w:sz="4" w:space="0" w:color="auto"/>
              <w:left w:val="single" w:sz="4" w:space="0" w:color="auto"/>
              <w:bottom w:val="single" w:sz="4" w:space="0" w:color="auto"/>
              <w:right w:val="single" w:sz="4" w:space="0" w:color="auto"/>
            </w:tcBorders>
            <w:noWrap/>
            <w:vAlign w:val="center"/>
            <w:hideMark/>
          </w:tcPr>
          <w:p w:rsidR="009E35BE" w:rsidRPr="00373182" w:rsidRDefault="009E35BE" w:rsidP="00832031">
            <w:pPr>
              <w:spacing w:after="0" w:line="240" w:lineRule="auto"/>
              <w:rPr>
                <w:rFonts w:ascii="Calibri" w:eastAsia="Times New Roman" w:hAnsi="Calibri" w:cs="Calibri"/>
                <w:color w:val="000000"/>
                <w:sz w:val="16"/>
                <w:szCs w:val="18"/>
                <w:lang w:eastAsia="it-IT"/>
              </w:rPr>
            </w:pPr>
            <w:r w:rsidRPr="00373182">
              <w:rPr>
                <w:rFonts w:ascii="Calibri" w:eastAsia="Times New Roman" w:hAnsi="Calibri" w:cs="Calibri"/>
                <w:color w:val="000000"/>
                <w:sz w:val="16"/>
                <w:szCs w:val="18"/>
                <w:lang w:eastAsia="it-IT"/>
              </w:rPr>
              <w:t>LAVORO A TEMPO DETERMINATO</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0,9%</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0,0%</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0,2%</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0,0%</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0,0%</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0,0%</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42,4%</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13,8%</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0,3%</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0,0%</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0,0%</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0,0%</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34,6%</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7,8%</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b/>
                <w:color w:val="000000"/>
                <w:sz w:val="18"/>
                <w:szCs w:val="18"/>
                <w:lang w:eastAsia="it-IT"/>
              </w:rPr>
            </w:pPr>
            <w:r w:rsidRPr="00373182">
              <w:rPr>
                <w:rFonts w:ascii="Calibri" w:eastAsia="Times New Roman" w:hAnsi="Calibri" w:cs="Calibri"/>
                <w:b/>
                <w:color w:val="000000"/>
                <w:sz w:val="18"/>
                <w:szCs w:val="18"/>
                <w:lang w:eastAsia="it-IT"/>
              </w:rPr>
              <w:t xml:space="preserve"> 8.239 </w:t>
            </w:r>
          </w:p>
        </w:tc>
      </w:tr>
      <w:tr w:rsidR="009E35BE" w:rsidRPr="00373182" w:rsidTr="00832031">
        <w:trPr>
          <w:trHeight w:val="300"/>
        </w:trPr>
        <w:tc>
          <w:tcPr>
            <w:tcW w:w="564" w:type="pct"/>
            <w:tcBorders>
              <w:top w:val="single" w:sz="4" w:space="0" w:color="auto"/>
              <w:left w:val="single" w:sz="4" w:space="0" w:color="auto"/>
              <w:bottom w:val="single" w:sz="4" w:space="0" w:color="auto"/>
              <w:right w:val="single" w:sz="4" w:space="0" w:color="auto"/>
            </w:tcBorders>
            <w:noWrap/>
            <w:vAlign w:val="center"/>
            <w:hideMark/>
          </w:tcPr>
          <w:p w:rsidR="009E35BE" w:rsidRPr="00373182" w:rsidRDefault="009E35BE" w:rsidP="00832031">
            <w:pPr>
              <w:spacing w:after="0" w:line="240" w:lineRule="auto"/>
              <w:rPr>
                <w:rFonts w:ascii="Calibri" w:eastAsia="Times New Roman" w:hAnsi="Calibri" w:cs="Calibri"/>
                <w:color w:val="000000"/>
                <w:sz w:val="16"/>
                <w:szCs w:val="18"/>
                <w:lang w:eastAsia="it-IT"/>
              </w:rPr>
            </w:pPr>
            <w:r w:rsidRPr="00373182">
              <w:rPr>
                <w:rFonts w:ascii="Calibri" w:eastAsia="Times New Roman" w:hAnsi="Calibri" w:cs="Calibri"/>
                <w:color w:val="000000"/>
                <w:sz w:val="16"/>
                <w:szCs w:val="18"/>
                <w:lang w:eastAsia="it-IT"/>
              </w:rPr>
              <w:t>LAVORO A TEMPO INDETERMINATO</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0,2%</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0,0%</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0,0%</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0,0%</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0,0%</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0,0%</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3,4%</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12,2%</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0,4%</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0,0%</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0,0%</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0,0%</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33,0%</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50,6%</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b/>
                <w:color w:val="000000"/>
                <w:sz w:val="18"/>
                <w:szCs w:val="18"/>
                <w:lang w:eastAsia="it-IT"/>
              </w:rPr>
            </w:pPr>
            <w:r w:rsidRPr="00373182">
              <w:rPr>
                <w:rFonts w:ascii="Calibri" w:eastAsia="Times New Roman" w:hAnsi="Calibri" w:cs="Calibri"/>
                <w:b/>
                <w:color w:val="000000"/>
                <w:sz w:val="18"/>
                <w:szCs w:val="18"/>
                <w:lang w:eastAsia="it-IT"/>
              </w:rPr>
              <w:t xml:space="preserve"> 4.569 </w:t>
            </w:r>
          </w:p>
        </w:tc>
      </w:tr>
      <w:tr w:rsidR="009E35BE" w:rsidRPr="00373182" w:rsidTr="00832031">
        <w:trPr>
          <w:trHeight w:val="300"/>
        </w:trPr>
        <w:tc>
          <w:tcPr>
            <w:tcW w:w="564" w:type="pct"/>
            <w:tcBorders>
              <w:top w:val="single" w:sz="4" w:space="0" w:color="auto"/>
              <w:left w:val="single" w:sz="4" w:space="0" w:color="auto"/>
              <w:bottom w:val="single" w:sz="4" w:space="0" w:color="auto"/>
              <w:right w:val="single" w:sz="4" w:space="0" w:color="auto"/>
            </w:tcBorders>
            <w:noWrap/>
            <w:vAlign w:val="center"/>
            <w:hideMark/>
          </w:tcPr>
          <w:p w:rsidR="009E35BE" w:rsidRPr="00373182" w:rsidRDefault="009E35BE" w:rsidP="00832031">
            <w:pPr>
              <w:spacing w:after="0" w:line="240" w:lineRule="auto"/>
              <w:rPr>
                <w:rFonts w:ascii="Calibri" w:eastAsia="Times New Roman" w:hAnsi="Calibri" w:cs="Calibri"/>
                <w:color w:val="000000"/>
                <w:sz w:val="16"/>
                <w:szCs w:val="18"/>
                <w:lang w:eastAsia="it-IT"/>
              </w:rPr>
            </w:pPr>
            <w:r w:rsidRPr="00373182">
              <w:rPr>
                <w:rFonts w:ascii="Calibri" w:eastAsia="Times New Roman" w:hAnsi="Calibri" w:cs="Calibri"/>
                <w:color w:val="000000"/>
                <w:sz w:val="16"/>
                <w:szCs w:val="18"/>
                <w:lang w:eastAsia="it-IT"/>
              </w:rPr>
              <w:t>APPRENDISTATO</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10,4%</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0,1%</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0,2%</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0,0%</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0,0%</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0,2%</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2,3%</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5,9%</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0,1%</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0,1%</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0,0%</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0,0%</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38,2%</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42,6%</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b/>
                <w:color w:val="000000"/>
                <w:sz w:val="18"/>
                <w:szCs w:val="18"/>
                <w:lang w:eastAsia="it-IT"/>
              </w:rPr>
            </w:pPr>
            <w:r w:rsidRPr="00373182">
              <w:rPr>
                <w:rFonts w:ascii="Calibri" w:eastAsia="Times New Roman" w:hAnsi="Calibri" w:cs="Calibri"/>
                <w:b/>
                <w:color w:val="000000"/>
                <w:sz w:val="18"/>
                <w:szCs w:val="18"/>
                <w:lang w:eastAsia="it-IT"/>
              </w:rPr>
              <w:t xml:space="preserve"> 1.303 </w:t>
            </w:r>
          </w:p>
        </w:tc>
      </w:tr>
      <w:tr w:rsidR="009E35BE" w:rsidRPr="00373182" w:rsidTr="00832031">
        <w:trPr>
          <w:trHeight w:val="300"/>
        </w:trPr>
        <w:tc>
          <w:tcPr>
            <w:tcW w:w="564" w:type="pct"/>
            <w:tcBorders>
              <w:top w:val="single" w:sz="4" w:space="0" w:color="auto"/>
              <w:left w:val="single" w:sz="4" w:space="0" w:color="auto"/>
              <w:bottom w:val="single" w:sz="4" w:space="0" w:color="auto"/>
              <w:right w:val="single" w:sz="4" w:space="0" w:color="auto"/>
            </w:tcBorders>
            <w:noWrap/>
            <w:vAlign w:val="center"/>
            <w:hideMark/>
          </w:tcPr>
          <w:p w:rsidR="009E35BE" w:rsidRPr="00373182" w:rsidRDefault="009E35BE" w:rsidP="00832031">
            <w:pPr>
              <w:spacing w:after="0" w:line="240" w:lineRule="auto"/>
              <w:rPr>
                <w:rFonts w:ascii="Calibri" w:eastAsia="Times New Roman" w:hAnsi="Calibri" w:cs="Calibri"/>
                <w:color w:val="000000"/>
                <w:sz w:val="16"/>
                <w:szCs w:val="18"/>
                <w:lang w:eastAsia="it-IT"/>
              </w:rPr>
            </w:pPr>
            <w:r w:rsidRPr="00373182">
              <w:rPr>
                <w:rFonts w:ascii="Calibri" w:eastAsia="Times New Roman" w:hAnsi="Calibri" w:cs="Calibri"/>
                <w:color w:val="000000"/>
                <w:sz w:val="16"/>
                <w:szCs w:val="18"/>
                <w:lang w:eastAsia="it-IT"/>
              </w:rPr>
              <w:t xml:space="preserve">CONTRATTO DI </w:t>
            </w:r>
            <w:r>
              <w:rPr>
                <w:rFonts w:ascii="Calibri" w:eastAsia="Times New Roman" w:hAnsi="Calibri" w:cs="Calibri"/>
                <w:color w:val="000000"/>
                <w:sz w:val="16"/>
                <w:szCs w:val="18"/>
                <w:lang w:eastAsia="it-IT"/>
              </w:rPr>
              <w:t>SOMMINISTRAZIONE</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3,4%</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0,0%</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39,7%</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0,0%</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0,0%</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0,0%</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11,7%</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2,4%</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0,6%</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0,0%</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0,0%</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0,0%</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37,0%</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4,9%</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b/>
                <w:color w:val="000000"/>
                <w:sz w:val="18"/>
                <w:szCs w:val="18"/>
                <w:lang w:eastAsia="it-IT"/>
              </w:rPr>
            </w:pPr>
            <w:r w:rsidRPr="00373182">
              <w:rPr>
                <w:rFonts w:ascii="Calibri" w:eastAsia="Times New Roman" w:hAnsi="Calibri" w:cs="Calibri"/>
                <w:b/>
                <w:color w:val="000000"/>
                <w:sz w:val="18"/>
                <w:szCs w:val="18"/>
                <w:lang w:eastAsia="it-IT"/>
              </w:rPr>
              <w:t xml:space="preserve"> 494 </w:t>
            </w:r>
          </w:p>
        </w:tc>
      </w:tr>
      <w:tr w:rsidR="009E35BE" w:rsidRPr="00373182" w:rsidTr="00832031">
        <w:trPr>
          <w:trHeight w:val="300"/>
        </w:trPr>
        <w:tc>
          <w:tcPr>
            <w:tcW w:w="564" w:type="pct"/>
            <w:tcBorders>
              <w:top w:val="single" w:sz="4" w:space="0" w:color="auto"/>
              <w:left w:val="single" w:sz="4" w:space="0" w:color="auto"/>
              <w:bottom w:val="single" w:sz="4" w:space="0" w:color="auto"/>
              <w:right w:val="single" w:sz="4" w:space="0" w:color="auto"/>
            </w:tcBorders>
            <w:noWrap/>
            <w:vAlign w:val="center"/>
            <w:hideMark/>
          </w:tcPr>
          <w:p w:rsidR="009E35BE" w:rsidRPr="00373182" w:rsidRDefault="009E35BE" w:rsidP="00832031">
            <w:pPr>
              <w:spacing w:after="0" w:line="240" w:lineRule="auto"/>
              <w:rPr>
                <w:rFonts w:ascii="Calibri" w:eastAsia="Times New Roman" w:hAnsi="Calibri" w:cs="Calibri"/>
                <w:color w:val="000000"/>
                <w:sz w:val="16"/>
                <w:szCs w:val="18"/>
                <w:lang w:eastAsia="it-IT"/>
              </w:rPr>
            </w:pPr>
            <w:r w:rsidRPr="00373182">
              <w:rPr>
                <w:rFonts w:ascii="Calibri" w:eastAsia="Times New Roman" w:hAnsi="Calibri" w:cs="Calibri"/>
                <w:color w:val="000000"/>
                <w:sz w:val="16"/>
                <w:szCs w:val="18"/>
                <w:lang w:eastAsia="it-IT"/>
              </w:rPr>
              <w:t>LAVORO A PROGETTO / COLLABORAZIONE COORDINATA E CONTINUATIVA</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0,7%</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0,0%</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0,0%</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0,0%</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0,0%</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22,7%</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3,3%</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6,7%</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0,4%</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0,0%</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0,0%</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0,0%</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55,0%</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11,2%</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b/>
                <w:color w:val="000000"/>
                <w:sz w:val="18"/>
                <w:szCs w:val="18"/>
                <w:lang w:eastAsia="it-IT"/>
              </w:rPr>
            </w:pPr>
            <w:r w:rsidRPr="00373182">
              <w:rPr>
                <w:rFonts w:ascii="Calibri" w:eastAsia="Times New Roman" w:hAnsi="Calibri" w:cs="Calibri"/>
                <w:b/>
                <w:color w:val="000000"/>
                <w:sz w:val="18"/>
                <w:szCs w:val="18"/>
                <w:lang w:eastAsia="it-IT"/>
              </w:rPr>
              <w:t xml:space="preserve"> 269 </w:t>
            </w:r>
          </w:p>
        </w:tc>
      </w:tr>
      <w:tr w:rsidR="009E35BE" w:rsidRPr="00373182" w:rsidTr="00832031">
        <w:trPr>
          <w:trHeight w:val="300"/>
        </w:trPr>
        <w:tc>
          <w:tcPr>
            <w:tcW w:w="564" w:type="pct"/>
            <w:tcBorders>
              <w:top w:val="single" w:sz="4" w:space="0" w:color="auto"/>
              <w:left w:val="single" w:sz="4" w:space="0" w:color="auto"/>
              <w:bottom w:val="single" w:sz="4" w:space="0" w:color="auto"/>
              <w:right w:val="single" w:sz="4" w:space="0" w:color="auto"/>
            </w:tcBorders>
            <w:noWrap/>
            <w:vAlign w:val="center"/>
            <w:hideMark/>
          </w:tcPr>
          <w:p w:rsidR="009E35BE" w:rsidRPr="00373182" w:rsidRDefault="009E35BE" w:rsidP="00832031">
            <w:pPr>
              <w:spacing w:after="0" w:line="240" w:lineRule="auto"/>
              <w:rPr>
                <w:rFonts w:ascii="Calibri" w:eastAsia="Times New Roman" w:hAnsi="Calibri" w:cs="Calibri"/>
                <w:color w:val="000000"/>
                <w:sz w:val="16"/>
                <w:szCs w:val="18"/>
                <w:lang w:eastAsia="it-IT"/>
              </w:rPr>
            </w:pPr>
            <w:r w:rsidRPr="00373182">
              <w:rPr>
                <w:rFonts w:ascii="Calibri" w:eastAsia="Times New Roman" w:hAnsi="Calibri" w:cs="Calibri"/>
                <w:color w:val="000000"/>
                <w:sz w:val="16"/>
                <w:szCs w:val="18"/>
                <w:lang w:eastAsia="it-IT"/>
              </w:rPr>
              <w:t>LAVORO A DOMICILIO</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0,9%</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0,0%</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0,0%</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0,0%</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10,3%</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0,0%</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4,7%</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1,9%</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0,0%</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0,0%</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0,0%</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0,0%</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32,7%</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49,5%</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b/>
                <w:color w:val="000000"/>
                <w:sz w:val="18"/>
                <w:szCs w:val="18"/>
                <w:lang w:eastAsia="it-IT"/>
              </w:rPr>
            </w:pPr>
            <w:r w:rsidRPr="00373182">
              <w:rPr>
                <w:rFonts w:ascii="Calibri" w:eastAsia="Times New Roman" w:hAnsi="Calibri" w:cs="Calibri"/>
                <w:b/>
                <w:color w:val="000000"/>
                <w:sz w:val="18"/>
                <w:szCs w:val="18"/>
                <w:lang w:eastAsia="it-IT"/>
              </w:rPr>
              <w:t xml:space="preserve"> 107 </w:t>
            </w:r>
          </w:p>
        </w:tc>
      </w:tr>
      <w:tr w:rsidR="009E35BE" w:rsidRPr="00373182" w:rsidTr="00832031">
        <w:trPr>
          <w:trHeight w:val="300"/>
        </w:trPr>
        <w:tc>
          <w:tcPr>
            <w:tcW w:w="564" w:type="pct"/>
            <w:tcBorders>
              <w:top w:val="single" w:sz="4" w:space="0" w:color="auto"/>
              <w:left w:val="single" w:sz="4" w:space="0" w:color="auto"/>
              <w:bottom w:val="single" w:sz="4" w:space="0" w:color="auto"/>
              <w:right w:val="single" w:sz="4" w:space="0" w:color="auto"/>
            </w:tcBorders>
            <w:noWrap/>
            <w:vAlign w:val="center"/>
            <w:hideMark/>
          </w:tcPr>
          <w:p w:rsidR="009E35BE" w:rsidRPr="00373182" w:rsidRDefault="009E35BE" w:rsidP="00832031">
            <w:pPr>
              <w:spacing w:after="0" w:line="240" w:lineRule="auto"/>
              <w:rPr>
                <w:rFonts w:ascii="Calibri" w:eastAsia="Times New Roman" w:hAnsi="Calibri" w:cs="Calibri"/>
                <w:color w:val="000000"/>
                <w:sz w:val="16"/>
                <w:szCs w:val="18"/>
                <w:lang w:eastAsia="it-IT"/>
              </w:rPr>
            </w:pPr>
            <w:r w:rsidRPr="00373182">
              <w:rPr>
                <w:rFonts w:ascii="Calibri" w:eastAsia="Times New Roman" w:hAnsi="Calibri" w:cs="Calibri"/>
                <w:color w:val="000000"/>
                <w:sz w:val="16"/>
                <w:szCs w:val="18"/>
                <w:lang w:eastAsia="it-IT"/>
              </w:rPr>
              <w:t>LAVORO INTERMITTENTE</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0,0%</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0,0%</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0,0%</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0,0%</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0,0%</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0,0%</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10,3%</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10,3%</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33,3%</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0,0%</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2,6%</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0,0%</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30,8%</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12,8%</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b/>
                <w:color w:val="000000"/>
                <w:sz w:val="18"/>
                <w:szCs w:val="18"/>
                <w:lang w:eastAsia="it-IT"/>
              </w:rPr>
            </w:pPr>
            <w:r w:rsidRPr="00373182">
              <w:rPr>
                <w:rFonts w:ascii="Calibri" w:eastAsia="Times New Roman" w:hAnsi="Calibri" w:cs="Calibri"/>
                <w:b/>
                <w:color w:val="000000"/>
                <w:sz w:val="18"/>
                <w:szCs w:val="18"/>
                <w:lang w:eastAsia="it-IT"/>
              </w:rPr>
              <w:t xml:space="preserve"> 39 </w:t>
            </w:r>
          </w:p>
        </w:tc>
      </w:tr>
      <w:tr w:rsidR="009E35BE" w:rsidRPr="00373182" w:rsidTr="00832031">
        <w:trPr>
          <w:trHeight w:val="300"/>
        </w:trPr>
        <w:tc>
          <w:tcPr>
            <w:tcW w:w="564" w:type="pct"/>
            <w:tcBorders>
              <w:top w:val="single" w:sz="4" w:space="0" w:color="auto"/>
              <w:left w:val="single" w:sz="4" w:space="0" w:color="auto"/>
              <w:bottom w:val="single" w:sz="4" w:space="0" w:color="auto"/>
              <w:right w:val="single" w:sz="4" w:space="0" w:color="auto"/>
            </w:tcBorders>
            <w:noWrap/>
            <w:vAlign w:val="center"/>
            <w:hideMark/>
          </w:tcPr>
          <w:p w:rsidR="009E35BE" w:rsidRPr="00373182" w:rsidRDefault="009E35BE" w:rsidP="00832031">
            <w:pPr>
              <w:spacing w:after="0" w:line="240" w:lineRule="auto"/>
              <w:rPr>
                <w:rFonts w:ascii="Calibri" w:eastAsia="Times New Roman" w:hAnsi="Calibri" w:cs="Calibri"/>
                <w:color w:val="000000"/>
                <w:sz w:val="16"/>
                <w:szCs w:val="18"/>
                <w:lang w:eastAsia="it-IT"/>
              </w:rPr>
            </w:pPr>
            <w:r w:rsidRPr="00373182">
              <w:rPr>
                <w:rFonts w:ascii="Calibri" w:eastAsia="Times New Roman" w:hAnsi="Calibri" w:cs="Calibri"/>
                <w:color w:val="000000"/>
                <w:sz w:val="16"/>
                <w:szCs w:val="18"/>
                <w:lang w:eastAsia="it-IT"/>
              </w:rPr>
              <w:t>LAVORO OCCASIONALE</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2,2%</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2,2%</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0,0%</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0,0%</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0,0%</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0,0%</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4,3%</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2,2%</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0,0%</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34,8%</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0,0%</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0,0%</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41,3%</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13,0%</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b/>
                <w:color w:val="000000"/>
                <w:sz w:val="18"/>
                <w:szCs w:val="18"/>
                <w:lang w:eastAsia="it-IT"/>
              </w:rPr>
            </w:pPr>
            <w:r w:rsidRPr="00373182">
              <w:rPr>
                <w:rFonts w:ascii="Calibri" w:eastAsia="Times New Roman" w:hAnsi="Calibri" w:cs="Calibri"/>
                <w:b/>
                <w:color w:val="000000"/>
                <w:sz w:val="18"/>
                <w:szCs w:val="18"/>
                <w:lang w:eastAsia="it-IT"/>
              </w:rPr>
              <w:t xml:space="preserve"> 46 </w:t>
            </w:r>
          </w:p>
        </w:tc>
      </w:tr>
      <w:tr w:rsidR="009E35BE" w:rsidRPr="00373182" w:rsidTr="00832031">
        <w:trPr>
          <w:trHeight w:val="300"/>
        </w:trPr>
        <w:tc>
          <w:tcPr>
            <w:tcW w:w="564" w:type="pct"/>
            <w:tcBorders>
              <w:top w:val="single" w:sz="4" w:space="0" w:color="auto"/>
              <w:left w:val="single" w:sz="4" w:space="0" w:color="auto"/>
              <w:bottom w:val="single" w:sz="4" w:space="0" w:color="auto"/>
              <w:right w:val="single" w:sz="4" w:space="0" w:color="auto"/>
            </w:tcBorders>
            <w:noWrap/>
            <w:vAlign w:val="center"/>
            <w:hideMark/>
          </w:tcPr>
          <w:p w:rsidR="009E35BE" w:rsidRPr="00373182" w:rsidRDefault="009E35BE" w:rsidP="00832031">
            <w:pPr>
              <w:spacing w:after="0" w:line="240" w:lineRule="auto"/>
              <w:rPr>
                <w:rFonts w:ascii="Calibri" w:eastAsia="Times New Roman" w:hAnsi="Calibri" w:cs="Calibri"/>
                <w:color w:val="000000"/>
                <w:sz w:val="16"/>
                <w:szCs w:val="18"/>
                <w:lang w:eastAsia="it-IT"/>
              </w:rPr>
            </w:pPr>
            <w:r w:rsidRPr="00373182">
              <w:rPr>
                <w:rFonts w:ascii="Calibri" w:eastAsia="Times New Roman" w:hAnsi="Calibri" w:cs="Calibri"/>
                <w:color w:val="000000"/>
                <w:sz w:val="16"/>
                <w:szCs w:val="18"/>
                <w:lang w:eastAsia="it-IT"/>
              </w:rPr>
              <w:t>ASSOCIAZIONE IN PARTECIPAZIONE</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0,0%</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37,5%</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0,0%</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0,0%</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0,0%</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0,0%</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4,2%</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8,3%</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0,0%</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0,0%</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0,0%</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0,0%</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33,3%</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16,7%</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b/>
                <w:color w:val="000000"/>
                <w:sz w:val="18"/>
                <w:szCs w:val="18"/>
                <w:lang w:eastAsia="it-IT"/>
              </w:rPr>
            </w:pPr>
            <w:r w:rsidRPr="00373182">
              <w:rPr>
                <w:rFonts w:ascii="Calibri" w:eastAsia="Times New Roman" w:hAnsi="Calibri" w:cs="Calibri"/>
                <w:b/>
                <w:color w:val="000000"/>
                <w:sz w:val="18"/>
                <w:szCs w:val="18"/>
                <w:lang w:eastAsia="it-IT"/>
              </w:rPr>
              <w:t xml:space="preserve"> 24 </w:t>
            </w:r>
          </w:p>
        </w:tc>
      </w:tr>
      <w:tr w:rsidR="009E35BE" w:rsidRPr="00373182" w:rsidTr="00832031">
        <w:trPr>
          <w:trHeight w:val="300"/>
        </w:trPr>
        <w:tc>
          <w:tcPr>
            <w:tcW w:w="564" w:type="pct"/>
            <w:tcBorders>
              <w:top w:val="single" w:sz="4" w:space="0" w:color="auto"/>
              <w:left w:val="single" w:sz="4" w:space="0" w:color="auto"/>
              <w:bottom w:val="single" w:sz="4" w:space="0" w:color="auto"/>
              <w:right w:val="single" w:sz="4" w:space="0" w:color="auto"/>
            </w:tcBorders>
            <w:noWrap/>
            <w:vAlign w:val="center"/>
            <w:hideMark/>
          </w:tcPr>
          <w:p w:rsidR="009E35BE" w:rsidRPr="00373182" w:rsidRDefault="009E35BE" w:rsidP="00832031">
            <w:pPr>
              <w:spacing w:after="0" w:line="240" w:lineRule="auto"/>
              <w:rPr>
                <w:rFonts w:ascii="Calibri" w:eastAsia="Times New Roman" w:hAnsi="Calibri" w:cs="Calibri"/>
                <w:color w:val="000000"/>
                <w:sz w:val="16"/>
                <w:szCs w:val="18"/>
                <w:lang w:eastAsia="it-IT"/>
              </w:rPr>
            </w:pPr>
            <w:r w:rsidRPr="00373182">
              <w:rPr>
                <w:rFonts w:ascii="Calibri" w:eastAsia="Times New Roman" w:hAnsi="Calibri" w:cs="Calibri"/>
                <w:color w:val="000000"/>
                <w:sz w:val="16"/>
                <w:szCs w:val="18"/>
                <w:lang w:eastAsia="it-IT"/>
              </w:rPr>
              <w:t>LAVORO RIPARTITO</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0,0%</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0,0%</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0,0%</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0,0%</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0,0%</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0,0%</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0,0%</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0,0%</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0,0%</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0,0%</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0,0%</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0,0%</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100,0%</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0,0%</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b/>
                <w:color w:val="000000"/>
                <w:sz w:val="18"/>
                <w:szCs w:val="18"/>
                <w:lang w:eastAsia="it-IT"/>
              </w:rPr>
            </w:pPr>
            <w:r w:rsidRPr="00373182">
              <w:rPr>
                <w:rFonts w:ascii="Calibri" w:eastAsia="Times New Roman" w:hAnsi="Calibri" w:cs="Calibri"/>
                <w:b/>
                <w:color w:val="000000"/>
                <w:sz w:val="18"/>
                <w:szCs w:val="18"/>
                <w:lang w:eastAsia="it-IT"/>
              </w:rPr>
              <w:t xml:space="preserve"> 1 </w:t>
            </w:r>
          </w:p>
        </w:tc>
      </w:tr>
      <w:tr w:rsidR="009E35BE" w:rsidRPr="00373182" w:rsidTr="00832031">
        <w:trPr>
          <w:trHeight w:val="300"/>
        </w:trPr>
        <w:tc>
          <w:tcPr>
            <w:tcW w:w="564" w:type="pct"/>
            <w:tcBorders>
              <w:top w:val="single" w:sz="4" w:space="0" w:color="auto"/>
              <w:left w:val="single" w:sz="4" w:space="0" w:color="auto"/>
              <w:bottom w:val="single" w:sz="4" w:space="0" w:color="auto"/>
              <w:right w:val="single" w:sz="4" w:space="0" w:color="auto"/>
            </w:tcBorders>
            <w:noWrap/>
            <w:vAlign w:val="center"/>
            <w:hideMark/>
          </w:tcPr>
          <w:p w:rsidR="009E35BE" w:rsidRPr="00373182" w:rsidRDefault="009E35BE" w:rsidP="00832031">
            <w:pPr>
              <w:spacing w:after="0" w:line="240" w:lineRule="auto"/>
              <w:rPr>
                <w:rFonts w:ascii="Calibri" w:eastAsia="Times New Roman" w:hAnsi="Calibri" w:cs="Calibri"/>
                <w:color w:val="000000"/>
                <w:sz w:val="16"/>
                <w:szCs w:val="18"/>
                <w:lang w:eastAsia="it-IT"/>
              </w:rPr>
            </w:pPr>
            <w:r w:rsidRPr="00373182">
              <w:rPr>
                <w:rFonts w:ascii="Calibri" w:eastAsia="Times New Roman" w:hAnsi="Calibri" w:cs="Calibri"/>
                <w:color w:val="000000"/>
                <w:sz w:val="16"/>
                <w:szCs w:val="18"/>
                <w:lang w:eastAsia="it-IT"/>
              </w:rPr>
              <w:t>CONTRATTO DI INSERIMENTO LAVORATIVO</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0,0%</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0,0%</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0,0%</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0,0%</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0,0%</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0,0%</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0,0%</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100,0%</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0,0%</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0,0%</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0,0%</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0,0%</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0,0%</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0,0%</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b/>
                <w:color w:val="000000"/>
                <w:sz w:val="18"/>
                <w:szCs w:val="18"/>
                <w:lang w:eastAsia="it-IT"/>
              </w:rPr>
            </w:pPr>
            <w:r w:rsidRPr="00373182">
              <w:rPr>
                <w:rFonts w:ascii="Calibri" w:eastAsia="Times New Roman" w:hAnsi="Calibri" w:cs="Calibri"/>
                <w:b/>
                <w:color w:val="000000"/>
                <w:sz w:val="18"/>
                <w:szCs w:val="18"/>
                <w:lang w:eastAsia="it-IT"/>
              </w:rPr>
              <w:t xml:space="preserve"> 1 </w:t>
            </w:r>
          </w:p>
        </w:tc>
      </w:tr>
      <w:tr w:rsidR="009E35BE" w:rsidRPr="00373182" w:rsidTr="00832031">
        <w:trPr>
          <w:trHeight w:val="300"/>
        </w:trPr>
        <w:tc>
          <w:tcPr>
            <w:tcW w:w="564" w:type="pct"/>
            <w:tcBorders>
              <w:top w:val="single" w:sz="4" w:space="0" w:color="auto"/>
              <w:left w:val="single" w:sz="4" w:space="0" w:color="auto"/>
              <w:bottom w:val="single" w:sz="4" w:space="0" w:color="auto"/>
              <w:right w:val="single" w:sz="4" w:space="0" w:color="auto"/>
            </w:tcBorders>
            <w:noWrap/>
            <w:vAlign w:val="center"/>
            <w:hideMark/>
          </w:tcPr>
          <w:p w:rsidR="009E35BE" w:rsidRPr="00373182" w:rsidRDefault="009E35BE" w:rsidP="00832031">
            <w:pPr>
              <w:spacing w:after="0" w:line="240" w:lineRule="auto"/>
              <w:rPr>
                <w:rFonts w:ascii="Calibri" w:eastAsia="Times New Roman" w:hAnsi="Calibri" w:cs="Calibri"/>
                <w:color w:val="000000"/>
                <w:sz w:val="16"/>
                <w:szCs w:val="18"/>
                <w:lang w:eastAsia="it-IT"/>
              </w:rPr>
            </w:pPr>
            <w:r w:rsidRPr="00373182">
              <w:rPr>
                <w:rFonts w:ascii="Calibri" w:eastAsia="Times New Roman" w:hAnsi="Calibri" w:cs="Calibri"/>
                <w:color w:val="000000"/>
                <w:sz w:val="16"/>
                <w:szCs w:val="18"/>
                <w:lang w:eastAsia="it-IT"/>
              </w:rPr>
              <w:t>Cessato</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4,5%</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0,2%</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1,2%</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0,0%</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0,3%</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1,3%</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33,0%</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17,3%</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1,0%</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0,1%</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0,0%</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0,0%</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5,9%</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color w:val="000000"/>
                <w:sz w:val="18"/>
                <w:szCs w:val="18"/>
                <w:lang w:eastAsia="it-IT"/>
              </w:rPr>
            </w:pPr>
            <w:r w:rsidRPr="00373182">
              <w:rPr>
                <w:rFonts w:ascii="Calibri" w:eastAsia="Times New Roman" w:hAnsi="Calibri" w:cs="Calibri"/>
                <w:color w:val="000000"/>
                <w:sz w:val="18"/>
                <w:szCs w:val="18"/>
                <w:lang w:eastAsia="it-IT"/>
              </w:rPr>
              <w:t>35,1%</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5BE" w:rsidRPr="00373182" w:rsidRDefault="009E35BE" w:rsidP="00832031">
            <w:pPr>
              <w:spacing w:after="0" w:line="240" w:lineRule="auto"/>
              <w:jc w:val="right"/>
              <w:rPr>
                <w:rFonts w:ascii="Calibri" w:eastAsia="Times New Roman" w:hAnsi="Calibri" w:cs="Calibri"/>
                <w:b/>
                <w:color w:val="000000"/>
                <w:sz w:val="18"/>
                <w:szCs w:val="18"/>
                <w:lang w:eastAsia="it-IT"/>
              </w:rPr>
            </w:pPr>
            <w:r w:rsidRPr="00373182">
              <w:rPr>
                <w:rFonts w:ascii="Calibri" w:eastAsia="Times New Roman" w:hAnsi="Calibri" w:cs="Calibri"/>
                <w:b/>
                <w:color w:val="000000"/>
                <w:sz w:val="18"/>
                <w:szCs w:val="18"/>
                <w:lang w:eastAsia="it-IT"/>
              </w:rPr>
              <w:t xml:space="preserve"> 5.512 </w:t>
            </w:r>
          </w:p>
        </w:tc>
      </w:tr>
    </w:tbl>
    <w:p w:rsidR="009E35BE" w:rsidRDefault="009E35BE" w:rsidP="009E35BE">
      <w:pPr>
        <w:jc w:val="both"/>
        <w:rPr>
          <w:b/>
          <w:sz w:val="20"/>
          <w:szCs w:val="20"/>
        </w:rPr>
      </w:pPr>
    </w:p>
    <w:p w:rsidR="009E35BE" w:rsidRDefault="009E35BE" w:rsidP="009E35BE">
      <w:pPr>
        <w:jc w:val="both"/>
        <w:sectPr w:rsidR="009E35BE" w:rsidSect="00832031">
          <w:pgSz w:w="16838" w:h="11906" w:orient="landscape"/>
          <w:pgMar w:top="1134" w:right="1134" w:bottom="1134" w:left="1417" w:header="708" w:footer="708" w:gutter="0"/>
          <w:cols w:space="708"/>
          <w:docGrid w:linePitch="360"/>
        </w:sectPr>
      </w:pPr>
    </w:p>
    <w:p w:rsidR="00242B71" w:rsidRDefault="00946AD8" w:rsidP="00242B71">
      <w:pPr>
        <w:pStyle w:val="Titolo2"/>
      </w:pPr>
      <w:r>
        <w:t xml:space="preserve">3.4 </w:t>
      </w:r>
      <w:r w:rsidR="00242B71">
        <w:t>I processi di immigrazione ed emigrazione del settore orafo</w:t>
      </w:r>
    </w:p>
    <w:p w:rsidR="00242B71" w:rsidRDefault="00242B71" w:rsidP="00242B71"/>
    <w:p w:rsidR="00242B71" w:rsidRDefault="00242B71" w:rsidP="00242B71">
      <w:pPr>
        <w:jc w:val="both"/>
      </w:pPr>
      <w:r>
        <w:t>Può risultare interessante verificare l’esistenza – nel quinquennio considerato</w:t>
      </w:r>
      <w:r w:rsidR="00946AD8">
        <w:rPr>
          <w:rStyle w:val="Rimandonotaapidipagina"/>
        </w:rPr>
        <w:footnoteReference w:id="16"/>
      </w:r>
      <w:r>
        <w:t xml:space="preserve"> – di processi di migrazione ed emigrazione verso e dal settore Orafo. A tale proposito, nelle due tabelle seguenti sono riportati rispettivamente i settori (diversi da quello orafo) da cui i lavoratori, a seguito di una cessazione, provengono o vanno verso.</w:t>
      </w:r>
    </w:p>
    <w:p w:rsidR="00242B71" w:rsidRDefault="00242B71" w:rsidP="00242B71">
      <w:pPr>
        <w:jc w:val="both"/>
      </w:pPr>
    </w:p>
    <w:p w:rsidR="00242B71" w:rsidRPr="004963A6" w:rsidRDefault="00242B71" w:rsidP="00242B71">
      <w:pPr>
        <w:spacing w:line="240" w:lineRule="auto"/>
        <w:jc w:val="both"/>
        <w:rPr>
          <w:rFonts w:ascii="Calibri" w:eastAsia="Times New Roman" w:hAnsi="Calibri" w:cs="Calibri"/>
          <w:b/>
          <w:bCs/>
          <w:color w:val="000000"/>
          <w:sz w:val="20"/>
          <w:szCs w:val="20"/>
          <w:lang w:eastAsia="it-IT"/>
        </w:rPr>
      </w:pPr>
      <w:proofErr w:type="spellStart"/>
      <w:r w:rsidRPr="004963A6">
        <w:rPr>
          <w:rFonts w:ascii="Calibri" w:eastAsia="Times New Roman" w:hAnsi="Calibri" w:cs="Calibri"/>
          <w:b/>
          <w:bCs/>
          <w:color w:val="000000"/>
          <w:sz w:val="20"/>
          <w:szCs w:val="20"/>
          <w:lang w:eastAsia="it-IT"/>
        </w:rPr>
        <w:t>Tab</w:t>
      </w:r>
      <w:proofErr w:type="spellEnd"/>
      <w:r w:rsidRPr="004963A6">
        <w:rPr>
          <w:rFonts w:ascii="Calibri" w:eastAsia="Times New Roman" w:hAnsi="Calibri" w:cs="Calibri"/>
          <w:b/>
          <w:bCs/>
          <w:color w:val="000000"/>
          <w:sz w:val="20"/>
          <w:szCs w:val="20"/>
          <w:lang w:eastAsia="it-IT"/>
        </w:rPr>
        <w:t xml:space="preserve">. </w:t>
      </w:r>
      <w:r w:rsidR="004963A6" w:rsidRPr="004963A6">
        <w:rPr>
          <w:rFonts w:ascii="Calibri" w:eastAsia="Times New Roman" w:hAnsi="Calibri" w:cs="Calibri"/>
          <w:b/>
          <w:bCs/>
          <w:color w:val="000000"/>
          <w:sz w:val="20"/>
          <w:szCs w:val="20"/>
          <w:lang w:eastAsia="it-IT"/>
        </w:rPr>
        <w:t>3.</w:t>
      </w:r>
      <w:r w:rsidR="004963A6">
        <w:rPr>
          <w:rFonts w:ascii="Calibri" w:eastAsia="Times New Roman" w:hAnsi="Calibri" w:cs="Calibri"/>
          <w:b/>
          <w:bCs/>
          <w:color w:val="000000"/>
          <w:sz w:val="20"/>
          <w:szCs w:val="20"/>
          <w:lang w:eastAsia="it-IT"/>
        </w:rPr>
        <w:t>4</w:t>
      </w:r>
      <w:r w:rsidRPr="004963A6">
        <w:rPr>
          <w:rFonts w:ascii="Calibri" w:eastAsia="Times New Roman" w:hAnsi="Calibri" w:cs="Calibri"/>
          <w:b/>
          <w:bCs/>
          <w:color w:val="000000"/>
          <w:sz w:val="20"/>
          <w:szCs w:val="20"/>
          <w:lang w:eastAsia="it-IT"/>
        </w:rPr>
        <w:t xml:space="preserve"> - Distribuzione avviamenti nel settore orafo dopo una cessazione in altro settore (immigrazione) per settore di provenienza.</w:t>
      </w:r>
    </w:p>
    <w:tbl>
      <w:tblPr>
        <w:tblW w:w="8380" w:type="dxa"/>
        <w:tblCellMar>
          <w:left w:w="70" w:type="dxa"/>
          <w:right w:w="70" w:type="dxa"/>
        </w:tblCellMar>
        <w:tblLook w:val="04A0" w:firstRow="1" w:lastRow="0" w:firstColumn="1" w:lastColumn="0" w:noHBand="0" w:noVBand="1"/>
      </w:tblPr>
      <w:tblGrid>
        <w:gridCol w:w="1164"/>
        <w:gridCol w:w="4696"/>
        <w:gridCol w:w="1260"/>
        <w:gridCol w:w="1260"/>
      </w:tblGrid>
      <w:tr w:rsidR="00242B71" w:rsidTr="00242B71">
        <w:trPr>
          <w:trHeight w:val="544"/>
        </w:trPr>
        <w:tc>
          <w:tcPr>
            <w:tcW w:w="1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242B71" w:rsidRDefault="00242B71">
            <w:pPr>
              <w:spacing w:after="0" w:line="240" w:lineRule="auto"/>
              <w:jc w:val="center"/>
              <w:rPr>
                <w:rFonts w:ascii="Calibri" w:eastAsia="Times New Roman" w:hAnsi="Calibri" w:cs="Calibri"/>
                <w:b/>
                <w:bCs/>
                <w:color w:val="000000"/>
                <w:sz w:val="18"/>
                <w:lang w:eastAsia="it-IT"/>
              </w:rPr>
            </w:pPr>
            <w:r>
              <w:rPr>
                <w:rFonts w:ascii="Calibri" w:eastAsia="Times New Roman" w:hAnsi="Calibri" w:cs="Calibri"/>
                <w:b/>
                <w:bCs/>
                <w:color w:val="000000"/>
                <w:sz w:val="18"/>
                <w:lang w:eastAsia="it-IT"/>
              </w:rPr>
              <w:t>Settore di provenienza (</w:t>
            </w:r>
            <w:proofErr w:type="spellStart"/>
            <w:r>
              <w:rPr>
                <w:rFonts w:ascii="Calibri" w:eastAsia="Times New Roman" w:hAnsi="Calibri" w:cs="Calibri"/>
                <w:b/>
                <w:bCs/>
                <w:color w:val="000000"/>
                <w:sz w:val="18"/>
                <w:lang w:eastAsia="it-IT"/>
              </w:rPr>
              <w:t>Ateco</w:t>
            </w:r>
            <w:proofErr w:type="spellEnd"/>
            <w:r>
              <w:rPr>
                <w:rFonts w:ascii="Calibri" w:eastAsia="Times New Roman" w:hAnsi="Calibri" w:cs="Calibri"/>
                <w:b/>
                <w:bCs/>
                <w:color w:val="000000"/>
                <w:sz w:val="18"/>
                <w:lang w:eastAsia="it-IT"/>
              </w:rPr>
              <w:t xml:space="preserve"> '07)</w:t>
            </w:r>
          </w:p>
        </w:tc>
        <w:tc>
          <w:tcPr>
            <w:tcW w:w="4696"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242B71" w:rsidRDefault="00242B71">
            <w:pPr>
              <w:spacing w:after="0" w:line="240" w:lineRule="auto"/>
              <w:jc w:val="center"/>
              <w:rPr>
                <w:rFonts w:ascii="Calibri" w:eastAsia="Times New Roman" w:hAnsi="Calibri" w:cs="Calibri"/>
                <w:b/>
                <w:bCs/>
                <w:color w:val="000000"/>
                <w:sz w:val="18"/>
                <w:lang w:eastAsia="it-IT"/>
              </w:rPr>
            </w:pPr>
            <w:r>
              <w:rPr>
                <w:rFonts w:ascii="Calibri" w:eastAsia="Times New Roman" w:hAnsi="Calibri" w:cs="Calibri"/>
                <w:b/>
                <w:bCs/>
                <w:color w:val="000000"/>
                <w:sz w:val="18"/>
                <w:lang w:eastAsia="it-IT"/>
              </w:rPr>
              <w:t>Descrizione</w:t>
            </w:r>
          </w:p>
        </w:tc>
        <w:tc>
          <w:tcPr>
            <w:tcW w:w="126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242B71" w:rsidRDefault="00242B71">
            <w:pPr>
              <w:spacing w:after="0" w:line="240" w:lineRule="auto"/>
              <w:jc w:val="center"/>
              <w:rPr>
                <w:rFonts w:ascii="Calibri" w:eastAsia="Times New Roman" w:hAnsi="Calibri" w:cs="Calibri"/>
                <w:b/>
                <w:bCs/>
                <w:color w:val="000000"/>
                <w:sz w:val="18"/>
                <w:lang w:eastAsia="it-IT"/>
              </w:rPr>
            </w:pPr>
            <w:r>
              <w:rPr>
                <w:rFonts w:ascii="Calibri" w:eastAsia="Times New Roman" w:hAnsi="Calibri" w:cs="Calibri"/>
                <w:b/>
                <w:bCs/>
                <w:color w:val="000000"/>
                <w:sz w:val="18"/>
                <w:lang w:eastAsia="it-IT"/>
              </w:rPr>
              <w:t>VA</w:t>
            </w:r>
          </w:p>
        </w:tc>
        <w:tc>
          <w:tcPr>
            <w:tcW w:w="126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242B71" w:rsidRDefault="00242B71">
            <w:pPr>
              <w:spacing w:after="0" w:line="240" w:lineRule="auto"/>
              <w:jc w:val="center"/>
              <w:rPr>
                <w:rFonts w:ascii="Calibri" w:eastAsia="Times New Roman" w:hAnsi="Calibri" w:cs="Calibri"/>
                <w:b/>
                <w:bCs/>
                <w:color w:val="000000"/>
                <w:sz w:val="18"/>
                <w:lang w:eastAsia="it-IT"/>
              </w:rPr>
            </w:pPr>
            <w:r>
              <w:rPr>
                <w:rFonts w:ascii="Calibri" w:eastAsia="Times New Roman" w:hAnsi="Calibri" w:cs="Calibri"/>
                <w:b/>
                <w:bCs/>
                <w:color w:val="000000"/>
                <w:sz w:val="18"/>
                <w:lang w:eastAsia="it-IT"/>
              </w:rPr>
              <w:t>%</w:t>
            </w:r>
          </w:p>
        </w:tc>
      </w:tr>
      <w:tr w:rsidR="00242B71" w:rsidTr="00242B71">
        <w:trPr>
          <w:trHeight w:val="20"/>
        </w:trPr>
        <w:tc>
          <w:tcPr>
            <w:tcW w:w="1164" w:type="dxa"/>
            <w:tcBorders>
              <w:top w:val="nil"/>
              <w:left w:val="single" w:sz="4" w:space="0" w:color="auto"/>
              <w:bottom w:val="single" w:sz="4" w:space="0" w:color="auto"/>
              <w:right w:val="single" w:sz="4" w:space="0" w:color="auto"/>
            </w:tcBorders>
            <w:noWrap/>
            <w:vAlign w:val="center"/>
            <w:hideMark/>
          </w:tcPr>
          <w:p w:rsidR="00242B71" w:rsidRDefault="00242B71">
            <w:pPr>
              <w:spacing w:after="0" w:line="240" w:lineRule="auto"/>
              <w:rPr>
                <w:rFonts w:ascii="Calibri" w:eastAsia="Times New Roman" w:hAnsi="Calibri" w:cs="Calibri"/>
                <w:color w:val="000000"/>
                <w:sz w:val="18"/>
                <w:lang w:eastAsia="it-IT"/>
              </w:rPr>
            </w:pPr>
            <w:r>
              <w:rPr>
                <w:rFonts w:ascii="Calibri" w:eastAsia="Times New Roman" w:hAnsi="Calibri" w:cs="Calibri"/>
                <w:color w:val="000000"/>
                <w:sz w:val="18"/>
                <w:lang w:eastAsia="it-IT"/>
              </w:rPr>
              <w:t>47.42</w:t>
            </w:r>
          </w:p>
        </w:tc>
        <w:tc>
          <w:tcPr>
            <w:tcW w:w="4696" w:type="dxa"/>
            <w:tcBorders>
              <w:top w:val="nil"/>
              <w:left w:val="nil"/>
              <w:bottom w:val="single" w:sz="4" w:space="0" w:color="auto"/>
              <w:right w:val="single" w:sz="4" w:space="0" w:color="auto"/>
            </w:tcBorders>
            <w:vAlign w:val="center"/>
            <w:hideMark/>
          </w:tcPr>
          <w:p w:rsidR="00242B71" w:rsidRDefault="00242B71">
            <w:pPr>
              <w:spacing w:after="0" w:line="240" w:lineRule="auto"/>
              <w:rPr>
                <w:rFonts w:eastAsia="Times New Roman" w:cstheme="minorHAnsi"/>
                <w:sz w:val="18"/>
                <w:szCs w:val="20"/>
                <w:lang w:eastAsia="it-IT"/>
              </w:rPr>
            </w:pPr>
            <w:r>
              <w:rPr>
                <w:rFonts w:eastAsia="Times New Roman" w:cstheme="minorHAnsi"/>
                <w:sz w:val="18"/>
                <w:szCs w:val="20"/>
                <w:lang w:eastAsia="it-IT"/>
              </w:rPr>
              <w:t>Commercio al dettaglio di apparecchiature per le telecomunicazioni e la telefonia in esercizi specializzati</w:t>
            </w:r>
          </w:p>
        </w:tc>
        <w:tc>
          <w:tcPr>
            <w:tcW w:w="1260" w:type="dxa"/>
            <w:tcBorders>
              <w:top w:val="nil"/>
              <w:left w:val="nil"/>
              <w:bottom w:val="single" w:sz="4" w:space="0" w:color="auto"/>
              <w:right w:val="single" w:sz="4" w:space="0" w:color="auto"/>
            </w:tcBorders>
            <w:noWrap/>
            <w:vAlign w:val="center"/>
            <w:hideMark/>
          </w:tcPr>
          <w:p w:rsidR="00242B71" w:rsidRDefault="00242B71">
            <w:pPr>
              <w:spacing w:after="0" w:line="240" w:lineRule="auto"/>
              <w:jc w:val="right"/>
              <w:rPr>
                <w:rFonts w:ascii="Calibri" w:eastAsia="Times New Roman" w:hAnsi="Calibri" w:cs="Calibri"/>
                <w:color w:val="000000"/>
                <w:sz w:val="18"/>
                <w:lang w:eastAsia="it-IT"/>
              </w:rPr>
            </w:pPr>
            <w:r>
              <w:rPr>
                <w:rFonts w:ascii="Calibri" w:eastAsia="Times New Roman" w:hAnsi="Calibri" w:cs="Calibri"/>
                <w:color w:val="000000"/>
                <w:sz w:val="18"/>
                <w:lang w:eastAsia="it-IT"/>
              </w:rPr>
              <w:t>24</w:t>
            </w:r>
          </w:p>
        </w:tc>
        <w:tc>
          <w:tcPr>
            <w:tcW w:w="1260" w:type="dxa"/>
            <w:tcBorders>
              <w:top w:val="nil"/>
              <w:left w:val="nil"/>
              <w:bottom w:val="single" w:sz="4" w:space="0" w:color="auto"/>
              <w:right w:val="single" w:sz="4" w:space="0" w:color="auto"/>
            </w:tcBorders>
            <w:noWrap/>
            <w:vAlign w:val="center"/>
            <w:hideMark/>
          </w:tcPr>
          <w:p w:rsidR="00242B71" w:rsidRDefault="00242B71">
            <w:pPr>
              <w:spacing w:after="0" w:line="240" w:lineRule="auto"/>
              <w:jc w:val="right"/>
              <w:rPr>
                <w:rFonts w:ascii="Calibri" w:eastAsia="Times New Roman" w:hAnsi="Calibri" w:cs="Calibri"/>
                <w:color w:val="000000"/>
                <w:sz w:val="18"/>
                <w:lang w:eastAsia="it-IT"/>
              </w:rPr>
            </w:pPr>
            <w:r>
              <w:rPr>
                <w:rFonts w:ascii="Calibri" w:eastAsia="Times New Roman" w:hAnsi="Calibri" w:cs="Calibri"/>
                <w:color w:val="000000"/>
                <w:sz w:val="18"/>
                <w:lang w:eastAsia="it-IT"/>
              </w:rPr>
              <w:t>8,2%</w:t>
            </w:r>
          </w:p>
        </w:tc>
      </w:tr>
      <w:tr w:rsidR="00242B71" w:rsidTr="00242B71">
        <w:trPr>
          <w:trHeight w:val="20"/>
        </w:trPr>
        <w:tc>
          <w:tcPr>
            <w:tcW w:w="1164" w:type="dxa"/>
            <w:tcBorders>
              <w:top w:val="nil"/>
              <w:left w:val="single" w:sz="4" w:space="0" w:color="auto"/>
              <w:bottom w:val="single" w:sz="4" w:space="0" w:color="auto"/>
              <w:right w:val="single" w:sz="4" w:space="0" w:color="auto"/>
            </w:tcBorders>
            <w:noWrap/>
            <w:vAlign w:val="center"/>
            <w:hideMark/>
          </w:tcPr>
          <w:p w:rsidR="00242B71" w:rsidRDefault="00242B71">
            <w:pPr>
              <w:spacing w:after="0" w:line="240" w:lineRule="auto"/>
              <w:rPr>
                <w:rFonts w:ascii="Calibri" w:eastAsia="Times New Roman" w:hAnsi="Calibri" w:cs="Calibri"/>
                <w:color w:val="000000"/>
                <w:sz w:val="18"/>
                <w:lang w:eastAsia="it-IT"/>
              </w:rPr>
            </w:pPr>
            <w:r>
              <w:rPr>
                <w:rFonts w:ascii="Calibri" w:eastAsia="Times New Roman" w:hAnsi="Calibri" w:cs="Calibri"/>
                <w:color w:val="000000"/>
                <w:sz w:val="18"/>
                <w:lang w:eastAsia="it-IT"/>
              </w:rPr>
              <w:t>24.41</w:t>
            </w:r>
          </w:p>
        </w:tc>
        <w:tc>
          <w:tcPr>
            <w:tcW w:w="4696" w:type="dxa"/>
            <w:tcBorders>
              <w:top w:val="nil"/>
              <w:left w:val="nil"/>
              <w:bottom w:val="single" w:sz="4" w:space="0" w:color="auto"/>
              <w:right w:val="single" w:sz="4" w:space="0" w:color="auto"/>
            </w:tcBorders>
            <w:vAlign w:val="center"/>
            <w:hideMark/>
          </w:tcPr>
          <w:p w:rsidR="00242B71" w:rsidRDefault="00242B71">
            <w:pPr>
              <w:spacing w:after="0" w:line="240" w:lineRule="auto"/>
              <w:rPr>
                <w:rFonts w:eastAsia="Times New Roman" w:cstheme="minorHAnsi"/>
                <w:sz w:val="18"/>
                <w:szCs w:val="20"/>
                <w:lang w:eastAsia="it-IT"/>
              </w:rPr>
            </w:pPr>
            <w:r>
              <w:rPr>
                <w:rFonts w:eastAsia="Times New Roman" w:cstheme="minorHAnsi"/>
                <w:sz w:val="18"/>
                <w:szCs w:val="20"/>
                <w:lang w:eastAsia="it-IT"/>
              </w:rPr>
              <w:t>Produzione di metalli preziosi</w:t>
            </w:r>
          </w:p>
        </w:tc>
        <w:tc>
          <w:tcPr>
            <w:tcW w:w="1260" w:type="dxa"/>
            <w:tcBorders>
              <w:top w:val="nil"/>
              <w:left w:val="nil"/>
              <w:bottom w:val="single" w:sz="4" w:space="0" w:color="auto"/>
              <w:right w:val="single" w:sz="4" w:space="0" w:color="auto"/>
            </w:tcBorders>
            <w:noWrap/>
            <w:vAlign w:val="center"/>
            <w:hideMark/>
          </w:tcPr>
          <w:p w:rsidR="00242B71" w:rsidRDefault="00242B71">
            <w:pPr>
              <w:spacing w:after="0" w:line="240" w:lineRule="auto"/>
              <w:jc w:val="right"/>
              <w:rPr>
                <w:rFonts w:ascii="Calibri" w:eastAsia="Times New Roman" w:hAnsi="Calibri" w:cs="Calibri"/>
                <w:color w:val="000000"/>
                <w:sz w:val="18"/>
                <w:lang w:eastAsia="it-IT"/>
              </w:rPr>
            </w:pPr>
            <w:r>
              <w:rPr>
                <w:rFonts w:ascii="Calibri" w:eastAsia="Times New Roman" w:hAnsi="Calibri" w:cs="Calibri"/>
                <w:color w:val="000000"/>
                <w:sz w:val="18"/>
                <w:lang w:eastAsia="it-IT"/>
              </w:rPr>
              <w:t>19</w:t>
            </w:r>
          </w:p>
        </w:tc>
        <w:tc>
          <w:tcPr>
            <w:tcW w:w="1260" w:type="dxa"/>
            <w:tcBorders>
              <w:top w:val="nil"/>
              <w:left w:val="nil"/>
              <w:bottom w:val="single" w:sz="4" w:space="0" w:color="auto"/>
              <w:right w:val="single" w:sz="4" w:space="0" w:color="auto"/>
            </w:tcBorders>
            <w:noWrap/>
            <w:vAlign w:val="center"/>
            <w:hideMark/>
          </w:tcPr>
          <w:p w:rsidR="00242B71" w:rsidRDefault="00242B71">
            <w:pPr>
              <w:spacing w:after="0" w:line="240" w:lineRule="auto"/>
              <w:jc w:val="right"/>
              <w:rPr>
                <w:rFonts w:ascii="Calibri" w:eastAsia="Times New Roman" w:hAnsi="Calibri" w:cs="Calibri"/>
                <w:color w:val="000000"/>
                <w:sz w:val="18"/>
                <w:lang w:eastAsia="it-IT"/>
              </w:rPr>
            </w:pPr>
            <w:r>
              <w:rPr>
                <w:rFonts w:ascii="Calibri" w:eastAsia="Times New Roman" w:hAnsi="Calibri" w:cs="Calibri"/>
                <w:color w:val="000000"/>
                <w:sz w:val="18"/>
                <w:lang w:eastAsia="it-IT"/>
              </w:rPr>
              <w:t>6,5%</w:t>
            </w:r>
          </w:p>
        </w:tc>
      </w:tr>
      <w:tr w:rsidR="00242B71" w:rsidTr="00242B71">
        <w:trPr>
          <w:trHeight w:val="20"/>
        </w:trPr>
        <w:tc>
          <w:tcPr>
            <w:tcW w:w="1164" w:type="dxa"/>
            <w:tcBorders>
              <w:top w:val="nil"/>
              <w:left w:val="single" w:sz="4" w:space="0" w:color="auto"/>
              <w:bottom w:val="single" w:sz="4" w:space="0" w:color="auto"/>
              <w:right w:val="single" w:sz="4" w:space="0" w:color="auto"/>
            </w:tcBorders>
            <w:noWrap/>
            <w:vAlign w:val="center"/>
            <w:hideMark/>
          </w:tcPr>
          <w:p w:rsidR="00242B71" w:rsidRDefault="00242B71">
            <w:pPr>
              <w:spacing w:after="0" w:line="240" w:lineRule="auto"/>
              <w:rPr>
                <w:rFonts w:ascii="Calibri" w:eastAsia="Times New Roman" w:hAnsi="Calibri" w:cs="Calibri"/>
                <w:color w:val="000000"/>
                <w:sz w:val="18"/>
                <w:lang w:eastAsia="it-IT"/>
              </w:rPr>
            </w:pPr>
            <w:r>
              <w:rPr>
                <w:rFonts w:ascii="Calibri" w:eastAsia="Times New Roman" w:hAnsi="Calibri" w:cs="Calibri"/>
                <w:color w:val="000000"/>
                <w:sz w:val="18"/>
                <w:lang w:eastAsia="it-IT"/>
              </w:rPr>
              <w:t>56.10</w:t>
            </w:r>
          </w:p>
        </w:tc>
        <w:tc>
          <w:tcPr>
            <w:tcW w:w="4696" w:type="dxa"/>
            <w:tcBorders>
              <w:top w:val="nil"/>
              <w:left w:val="nil"/>
              <w:bottom w:val="single" w:sz="4" w:space="0" w:color="auto"/>
              <w:right w:val="single" w:sz="4" w:space="0" w:color="auto"/>
            </w:tcBorders>
            <w:vAlign w:val="center"/>
            <w:hideMark/>
          </w:tcPr>
          <w:p w:rsidR="00242B71" w:rsidRDefault="00242B71">
            <w:pPr>
              <w:spacing w:after="0" w:line="240" w:lineRule="auto"/>
              <w:rPr>
                <w:rFonts w:eastAsia="Times New Roman" w:cstheme="minorHAnsi"/>
                <w:sz w:val="18"/>
                <w:szCs w:val="20"/>
                <w:lang w:eastAsia="it-IT"/>
              </w:rPr>
            </w:pPr>
            <w:r>
              <w:rPr>
                <w:rFonts w:eastAsia="Times New Roman" w:cstheme="minorHAnsi"/>
                <w:sz w:val="18"/>
                <w:szCs w:val="20"/>
                <w:lang w:eastAsia="it-IT"/>
              </w:rPr>
              <w:t>Ristoranti e attività di ristorazione mobile</w:t>
            </w:r>
          </w:p>
        </w:tc>
        <w:tc>
          <w:tcPr>
            <w:tcW w:w="1260" w:type="dxa"/>
            <w:tcBorders>
              <w:top w:val="nil"/>
              <w:left w:val="nil"/>
              <w:bottom w:val="single" w:sz="4" w:space="0" w:color="auto"/>
              <w:right w:val="single" w:sz="4" w:space="0" w:color="auto"/>
            </w:tcBorders>
            <w:noWrap/>
            <w:vAlign w:val="center"/>
            <w:hideMark/>
          </w:tcPr>
          <w:p w:rsidR="00242B71" w:rsidRDefault="00242B71">
            <w:pPr>
              <w:spacing w:after="0" w:line="240" w:lineRule="auto"/>
              <w:jc w:val="right"/>
              <w:rPr>
                <w:rFonts w:ascii="Calibri" w:eastAsia="Times New Roman" w:hAnsi="Calibri" w:cs="Calibri"/>
                <w:color w:val="000000"/>
                <w:sz w:val="18"/>
                <w:lang w:eastAsia="it-IT"/>
              </w:rPr>
            </w:pPr>
            <w:r>
              <w:rPr>
                <w:rFonts w:ascii="Calibri" w:eastAsia="Times New Roman" w:hAnsi="Calibri" w:cs="Calibri"/>
                <w:color w:val="000000"/>
                <w:sz w:val="18"/>
                <w:lang w:eastAsia="it-IT"/>
              </w:rPr>
              <w:t>12</w:t>
            </w:r>
          </w:p>
        </w:tc>
        <w:tc>
          <w:tcPr>
            <w:tcW w:w="1260" w:type="dxa"/>
            <w:tcBorders>
              <w:top w:val="nil"/>
              <w:left w:val="nil"/>
              <w:bottom w:val="single" w:sz="4" w:space="0" w:color="auto"/>
              <w:right w:val="single" w:sz="4" w:space="0" w:color="auto"/>
            </w:tcBorders>
            <w:noWrap/>
            <w:vAlign w:val="center"/>
            <w:hideMark/>
          </w:tcPr>
          <w:p w:rsidR="00242B71" w:rsidRDefault="00242B71">
            <w:pPr>
              <w:spacing w:after="0" w:line="240" w:lineRule="auto"/>
              <w:jc w:val="right"/>
              <w:rPr>
                <w:rFonts w:ascii="Calibri" w:eastAsia="Times New Roman" w:hAnsi="Calibri" w:cs="Calibri"/>
                <w:color w:val="000000"/>
                <w:sz w:val="18"/>
                <w:lang w:eastAsia="it-IT"/>
              </w:rPr>
            </w:pPr>
            <w:r>
              <w:rPr>
                <w:rFonts w:ascii="Calibri" w:eastAsia="Times New Roman" w:hAnsi="Calibri" w:cs="Calibri"/>
                <w:color w:val="000000"/>
                <w:sz w:val="18"/>
                <w:lang w:eastAsia="it-IT"/>
              </w:rPr>
              <w:t>4,1%</w:t>
            </w:r>
          </w:p>
        </w:tc>
      </w:tr>
      <w:tr w:rsidR="00242B71" w:rsidTr="00242B71">
        <w:trPr>
          <w:trHeight w:val="20"/>
        </w:trPr>
        <w:tc>
          <w:tcPr>
            <w:tcW w:w="1164" w:type="dxa"/>
            <w:tcBorders>
              <w:top w:val="nil"/>
              <w:left w:val="single" w:sz="4" w:space="0" w:color="auto"/>
              <w:bottom w:val="single" w:sz="4" w:space="0" w:color="auto"/>
              <w:right w:val="single" w:sz="4" w:space="0" w:color="auto"/>
            </w:tcBorders>
            <w:noWrap/>
            <w:vAlign w:val="center"/>
            <w:hideMark/>
          </w:tcPr>
          <w:p w:rsidR="00242B71" w:rsidRDefault="00242B71">
            <w:pPr>
              <w:spacing w:after="0" w:line="240" w:lineRule="auto"/>
              <w:rPr>
                <w:rFonts w:ascii="Calibri" w:eastAsia="Times New Roman" w:hAnsi="Calibri" w:cs="Calibri"/>
                <w:color w:val="000000"/>
                <w:sz w:val="18"/>
                <w:lang w:eastAsia="it-IT"/>
              </w:rPr>
            </w:pPr>
            <w:r>
              <w:rPr>
                <w:rFonts w:ascii="Calibri" w:eastAsia="Times New Roman" w:hAnsi="Calibri" w:cs="Calibri"/>
                <w:color w:val="000000"/>
                <w:sz w:val="18"/>
                <w:lang w:eastAsia="it-IT"/>
              </w:rPr>
              <w:t>01.11</w:t>
            </w:r>
          </w:p>
        </w:tc>
        <w:tc>
          <w:tcPr>
            <w:tcW w:w="4696" w:type="dxa"/>
            <w:tcBorders>
              <w:top w:val="nil"/>
              <w:left w:val="nil"/>
              <w:bottom w:val="single" w:sz="4" w:space="0" w:color="auto"/>
              <w:right w:val="single" w:sz="4" w:space="0" w:color="auto"/>
            </w:tcBorders>
            <w:vAlign w:val="center"/>
            <w:hideMark/>
          </w:tcPr>
          <w:p w:rsidR="00242B71" w:rsidRDefault="00242B71">
            <w:pPr>
              <w:spacing w:after="0" w:line="240" w:lineRule="auto"/>
              <w:rPr>
                <w:rFonts w:eastAsia="Times New Roman" w:cstheme="minorHAnsi"/>
                <w:sz w:val="18"/>
                <w:szCs w:val="20"/>
                <w:lang w:eastAsia="it-IT"/>
              </w:rPr>
            </w:pPr>
            <w:r>
              <w:rPr>
                <w:rFonts w:eastAsia="Times New Roman" w:cstheme="minorHAnsi"/>
                <w:sz w:val="18"/>
                <w:szCs w:val="20"/>
                <w:lang w:eastAsia="it-IT"/>
              </w:rPr>
              <w:t>Coltivazione di cereali (escluso il riso), legumi da granella e semi oleosi</w:t>
            </w:r>
          </w:p>
        </w:tc>
        <w:tc>
          <w:tcPr>
            <w:tcW w:w="1260" w:type="dxa"/>
            <w:tcBorders>
              <w:top w:val="nil"/>
              <w:left w:val="nil"/>
              <w:bottom w:val="single" w:sz="4" w:space="0" w:color="auto"/>
              <w:right w:val="single" w:sz="4" w:space="0" w:color="auto"/>
            </w:tcBorders>
            <w:noWrap/>
            <w:vAlign w:val="center"/>
            <w:hideMark/>
          </w:tcPr>
          <w:p w:rsidR="00242B71" w:rsidRDefault="00242B71">
            <w:pPr>
              <w:spacing w:after="0" w:line="240" w:lineRule="auto"/>
              <w:jc w:val="right"/>
              <w:rPr>
                <w:rFonts w:ascii="Calibri" w:eastAsia="Times New Roman" w:hAnsi="Calibri" w:cs="Calibri"/>
                <w:color w:val="000000"/>
                <w:sz w:val="18"/>
                <w:lang w:eastAsia="it-IT"/>
              </w:rPr>
            </w:pPr>
            <w:r>
              <w:rPr>
                <w:rFonts w:ascii="Calibri" w:eastAsia="Times New Roman" w:hAnsi="Calibri" w:cs="Calibri"/>
                <w:color w:val="000000"/>
                <w:sz w:val="18"/>
                <w:lang w:eastAsia="it-IT"/>
              </w:rPr>
              <w:t>11</w:t>
            </w:r>
          </w:p>
        </w:tc>
        <w:tc>
          <w:tcPr>
            <w:tcW w:w="1260" w:type="dxa"/>
            <w:tcBorders>
              <w:top w:val="nil"/>
              <w:left w:val="nil"/>
              <w:bottom w:val="single" w:sz="4" w:space="0" w:color="auto"/>
              <w:right w:val="single" w:sz="4" w:space="0" w:color="auto"/>
            </w:tcBorders>
            <w:noWrap/>
            <w:vAlign w:val="center"/>
            <w:hideMark/>
          </w:tcPr>
          <w:p w:rsidR="00242B71" w:rsidRDefault="00242B71">
            <w:pPr>
              <w:spacing w:after="0" w:line="240" w:lineRule="auto"/>
              <w:jc w:val="right"/>
              <w:rPr>
                <w:rFonts w:ascii="Calibri" w:eastAsia="Times New Roman" w:hAnsi="Calibri" w:cs="Calibri"/>
                <w:color w:val="000000"/>
                <w:sz w:val="18"/>
                <w:lang w:eastAsia="it-IT"/>
              </w:rPr>
            </w:pPr>
            <w:r>
              <w:rPr>
                <w:rFonts w:ascii="Calibri" w:eastAsia="Times New Roman" w:hAnsi="Calibri" w:cs="Calibri"/>
                <w:color w:val="000000"/>
                <w:sz w:val="18"/>
                <w:lang w:eastAsia="it-IT"/>
              </w:rPr>
              <w:t>3,8%</w:t>
            </w:r>
          </w:p>
        </w:tc>
      </w:tr>
      <w:tr w:rsidR="00242B71" w:rsidTr="00242B71">
        <w:trPr>
          <w:trHeight w:val="20"/>
        </w:trPr>
        <w:tc>
          <w:tcPr>
            <w:tcW w:w="1164" w:type="dxa"/>
            <w:tcBorders>
              <w:top w:val="nil"/>
              <w:left w:val="single" w:sz="4" w:space="0" w:color="auto"/>
              <w:bottom w:val="single" w:sz="4" w:space="0" w:color="auto"/>
              <w:right w:val="single" w:sz="4" w:space="0" w:color="auto"/>
            </w:tcBorders>
            <w:noWrap/>
            <w:vAlign w:val="center"/>
            <w:hideMark/>
          </w:tcPr>
          <w:p w:rsidR="00242B71" w:rsidRDefault="00242B71">
            <w:pPr>
              <w:spacing w:after="0" w:line="240" w:lineRule="auto"/>
              <w:rPr>
                <w:rFonts w:ascii="Calibri" w:eastAsia="Times New Roman" w:hAnsi="Calibri" w:cs="Calibri"/>
                <w:color w:val="000000"/>
                <w:sz w:val="18"/>
                <w:lang w:eastAsia="it-IT"/>
              </w:rPr>
            </w:pPr>
            <w:r>
              <w:rPr>
                <w:rFonts w:ascii="Calibri" w:eastAsia="Times New Roman" w:hAnsi="Calibri" w:cs="Calibri"/>
                <w:color w:val="000000"/>
                <w:sz w:val="18"/>
                <w:lang w:eastAsia="it-IT"/>
              </w:rPr>
              <w:t>01.21</w:t>
            </w:r>
          </w:p>
        </w:tc>
        <w:tc>
          <w:tcPr>
            <w:tcW w:w="4696" w:type="dxa"/>
            <w:tcBorders>
              <w:top w:val="nil"/>
              <w:left w:val="nil"/>
              <w:bottom w:val="single" w:sz="4" w:space="0" w:color="auto"/>
              <w:right w:val="single" w:sz="4" w:space="0" w:color="auto"/>
            </w:tcBorders>
            <w:vAlign w:val="center"/>
            <w:hideMark/>
          </w:tcPr>
          <w:p w:rsidR="00242B71" w:rsidRDefault="00242B71">
            <w:pPr>
              <w:spacing w:after="0" w:line="240" w:lineRule="auto"/>
              <w:rPr>
                <w:rFonts w:eastAsia="Times New Roman" w:cstheme="minorHAnsi"/>
                <w:sz w:val="18"/>
                <w:szCs w:val="20"/>
                <w:lang w:eastAsia="it-IT"/>
              </w:rPr>
            </w:pPr>
            <w:r>
              <w:rPr>
                <w:rFonts w:eastAsia="Times New Roman" w:cstheme="minorHAnsi"/>
                <w:sz w:val="18"/>
                <w:szCs w:val="20"/>
                <w:lang w:eastAsia="it-IT"/>
              </w:rPr>
              <w:t>Coltivazione di uva</w:t>
            </w:r>
          </w:p>
        </w:tc>
        <w:tc>
          <w:tcPr>
            <w:tcW w:w="1260" w:type="dxa"/>
            <w:tcBorders>
              <w:top w:val="nil"/>
              <w:left w:val="nil"/>
              <w:bottom w:val="single" w:sz="4" w:space="0" w:color="auto"/>
              <w:right w:val="single" w:sz="4" w:space="0" w:color="auto"/>
            </w:tcBorders>
            <w:noWrap/>
            <w:vAlign w:val="center"/>
            <w:hideMark/>
          </w:tcPr>
          <w:p w:rsidR="00242B71" w:rsidRDefault="00242B71">
            <w:pPr>
              <w:spacing w:after="0" w:line="240" w:lineRule="auto"/>
              <w:jc w:val="right"/>
              <w:rPr>
                <w:rFonts w:ascii="Calibri" w:eastAsia="Times New Roman" w:hAnsi="Calibri" w:cs="Calibri"/>
                <w:color w:val="000000"/>
                <w:sz w:val="18"/>
                <w:lang w:eastAsia="it-IT"/>
              </w:rPr>
            </w:pPr>
            <w:r>
              <w:rPr>
                <w:rFonts w:ascii="Calibri" w:eastAsia="Times New Roman" w:hAnsi="Calibri" w:cs="Calibri"/>
                <w:color w:val="000000"/>
                <w:sz w:val="18"/>
                <w:lang w:eastAsia="it-IT"/>
              </w:rPr>
              <w:t>10</w:t>
            </w:r>
          </w:p>
        </w:tc>
        <w:tc>
          <w:tcPr>
            <w:tcW w:w="1260" w:type="dxa"/>
            <w:tcBorders>
              <w:top w:val="nil"/>
              <w:left w:val="nil"/>
              <w:bottom w:val="single" w:sz="4" w:space="0" w:color="auto"/>
              <w:right w:val="single" w:sz="4" w:space="0" w:color="auto"/>
            </w:tcBorders>
            <w:noWrap/>
            <w:vAlign w:val="center"/>
            <w:hideMark/>
          </w:tcPr>
          <w:p w:rsidR="00242B71" w:rsidRDefault="00242B71">
            <w:pPr>
              <w:spacing w:after="0" w:line="240" w:lineRule="auto"/>
              <w:jc w:val="right"/>
              <w:rPr>
                <w:rFonts w:ascii="Calibri" w:eastAsia="Times New Roman" w:hAnsi="Calibri" w:cs="Calibri"/>
                <w:color w:val="000000"/>
                <w:sz w:val="18"/>
                <w:lang w:eastAsia="it-IT"/>
              </w:rPr>
            </w:pPr>
            <w:r>
              <w:rPr>
                <w:rFonts w:ascii="Calibri" w:eastAsia="Times New Roman" w:hAnsi="Calibri" w:cs="Calibri"/>
                <w:color w:val="000000"/>
                <w:sz w:val="18"/>
                <w:lang w:eastAsia="it-IT"/>
              </w:rPr>
              <w:t>3,4%</w:t>
            </w:r>
          </w:p>
        </w:tc>
      </w:tr>
      <w:tr w:rsidR="00242B71" w:rsidTr="00242B71">
        <w:trPr>
          <w:trHeight w:val="20"/>
        </w:trPr>
        <w:tc>
          <w:tcPr>
            <w:tcW w:w="1164" w:type="dxa"/>
            <w:tcBorders>
              <w:top w:val="nil"/>
              <w:left w:val="single" w:sz="4" w:space="0" w:color="auto"/>
              <w:bottom w:val="single" w:sz="4" w:space="0" w:color="auto"/>
              <w:right w:val="single" w:sz="4" w:space="0" w:color="auto"/>
            </w:tcBorders>
            <w:noWrap/>
            <w:vAlign w:val="center"/>
            <w:hideMark/>
          </w:tcPr>
          <w:p w:rsidR="00242B71" w:rsidRDefault="00242B71">
            <w:pPr>
              <w:spacing w:after="0" w:line="240" w:lineRule="auto"/>
              <w:rPr>
                <w:rFonts w:ascii="Calibri" w:eastAsia="Times New Roman" w:hAnsi="Calibri" w:cs="Calibri"/>
                <w:color w:val="000000"/>
                <w:sz w:val="18"/>
                <w:lang w:eastAsia="it-IT"/>
              </w:rPr>
            </w:pPr>
            <w:r>
              <w:rPr>
                <w:rFonts w:ascii="Calibri" w:eastAsia="Times New Roman" w:hAnsi="Calibri" w:cs="Calibri"/>
                <w:color w:val="000000"/>
                <w:sz w:val="18"/>
                <w:lang w:eastAsia="it-IT"/>
              </w:rPr>
              <w:t>81.21</w:t>
            </w:r>
          </w:p>
        </w:tc>
        <w:tc>
          <w:tcPr>
            <w:tcW w:w="4696" w:type="dxa"/>
            <w:tcBorders>
              <w:top w:val="nil"/>
              <w:left w:val="nil"/>
              <w:bottom w:val="single" w:sz="4" w:space="0" w:color="auto"/>
              <w:right w:val="single" w:sz="4" w:space="0" w:color="auto"/>
            </w:tcBorders>
            <w:vAlign w:val="center"/>
            <w:hideMark/>
          </w:tcPr>
          <w:p w:rsidR="00242B71" w:rsidRDefault="00242B71">
            <w:pPr>
              <w:spacing w:after="0" w:line="240" w:lineRule="auto"/>
              <w:rPr>
                <w:rFonts w:eastAsia="Times New Roman" w:cstheme="minorHAnsi"/>
                <w:sz w:val="18"/>
                <w:szCs w:val="20"/>
                <w:lang w:eastAsia="it-IT"/>
              </w:rPr>
            </w:pPr>
            <w:r>
              <w:rPr>
                <w:rFonts w:eastAsia="Times New Roman" w:cstheme="minorHAnsi"/>
                <w:sz w:val="18"/>
                <w:szCs w:val="20"/>
                <w:lang w:eastAsia="it-IT"/>
              </w:rPr>
              <w:t>Pulizia generale (non specializzata) di edifici</w:t>
            </w:r>
          </w:p>
        </w:tc>
        <w:tc>
          <w:tcPr>
            <w:tcW w:w="1260" w:type="dxa"/>
            <w:tcBorders>
              <w:top w:val="nil"/>
              <w:left w:val="nil"/>
              <w:bottom w:val="single" w:sz="4" w:space="0" w:color="auto"/>
              <w:right w:val="single" w:sz="4" w:space="0" w:color="auto"/>
            </w:tcBorders>
            <w:noWrap/>
            <w:vAlign w:val="center"/>
            <w:hideMark/>
          </w:tcPr>
          <w:p w:rsidR="00242B71" w:rsidRDefault="00242B71">
            <w:pPr>
              <w:spacing w:after="0" w:line="240" w:lineRule="auto"/>
              <w:jc w:val="right"/>
              <w:rPr>
                <w:rFonts w:ascii="Calibri" w:eastAsia="Times New Roman" w:hAnsi="Calibri" w:cs="Calibri"/>
                <w:color w:val="000000"/>
                <w:sz w:val="18"/>
                <w:lang w:eastAsia="it-IT"/>
              </w:rPr>
            </w:pPr>
            <w:r>
              <w:rPr>
                <w:rFonts w:ascii="Calibri" w:eastAsia="Times New Roman" w:hAnsi="Calibri" w:cs="Calibri"/>
                <w:color w:val="000000"/>
                <w:sz w:val="18"/>
                <w:lang w:eastAsia="it-IT"/>
              </w:rPr>
              <w:t>10</w:t>
            </w:r>
          </w:p>
        </w:tc>
        <w:tc>
          <w:tcPr>
            <w:tcW w:w="1260" w:type="dxa"/>
            <w:tcBorders>
              <w:top w:val="nil"/>
              <w:left w:val="nil"/>
              <w:bottom w:val="single" w:sz="4" w:space="0" w:color="auto"/>
              <w:right w:val="single" w:sz="4" w:space="0" w:color="auto"/>
            </w:tcBorders>
            <w:noWrap/>
            <w:vAlign w:val="center"/>
            <w:hideMark/>
          </w:tcPr>
          <w:p w:rsidR="00242B71" w:rsidRDefault="00242B71">
            <w:pPr>
              <w:spacing w:after="0" w:line="240" w:lineRule="auto"/>
              <w:jc w:val="right"/>
              <w:rPr>
                <w:rFonts w:ascii="Calibri" w:eastAsia="Times New Roman" w:hAnsi="Calibri" w:cs="Calibri"/>
                <w:color w:val="000000"/>
                <w:sz w:val="18"/>
                <w:lang w:eastAsia="it-IT"/>
              </w:rPr>
            </w:pPr>
            <w:r>
              <w:rPr>
                <w:rFonts w:ascii="Calibri" w:eastAsia="Times New Roman" w:hAnsi="Calibri" w:cs="Calibri"/>
                <w:color w:val="000000"/>
                <w:sz w:val="18"/>
                <w:lang w:eastAsia="it-IT"/>
              </w:rPr>
              <w:t>3,4%</w:t>
            </w:r>
          </w:p>
        </w:tc>
      </w:tr>
      <w:tr w:rsidR="00242B71" w:rsidTr="00242B71">
        <w:trPr>
          <w:trHeight w:val="20"/>
        </w:trPr>
        <w:tc>
          <w:tcPr>
            <w:tcW w:w="5860" w:type="dxa"/>
            <w:gridSpan w:val="2"/>
            <w:tcBorders>
              <w:top w:val="single" w:sz="4" w:space="0" w:color="auto"/>
              <w:left w:val="single" w:sz="4" w:space="0" w:color="auto"/>
              <w:bottom w:val="single" w:sz="4" w:space="0" w:color="auto"/>
              <w:right w:val="single" w:sz="4" w:space="0" w:color="auto"/>
            </w:tcBorders>
            <w:noWrap/>
            <w:vAlign w:val="bottom"/>
            <w:hideMark/>
          </w:tcPr>
          <w:p w:rsidR="00242B71" w:rsidRDefault="00242B71">
            <w:pPr>
              <w:spacing w:after="0" w:line="240" w:lineRule="auto"/>
              <w:rPr>
                <w:rFonts w:ascii="Calibri" w:eastAsia="Times New Roman" w:hAnsi="Calibri" w:cs="Calibri"/>
                <w:color w:val="000000"/>
                <w:sz w:val="18"/>
                <w:lang w:eastAsia="it-IT"/>
              </w:rPr>
            </w:pPr>
            <w:r>
              <w:rPr>
                <w:rFonts w:ascii="Calibri" w:eastAsia="Times New Roman" w:hAnsi="Calibri" w:cs="Calibri"/>
                <w:color w:val="000000"/>
                <w:sz w:val="18"/>
                <w:lang w:eastAsia="it-IT"/>
              </w:rPr>
              <w:t>Altri settori (</w:t>
            </w:r>
            <w:proofErr w:type="spellStart"/>
            <w:proofErr w:type="gramStart"/>
            <w:r>
              <w:rPr>
                <w:rFonts w:ascii="Calibri" w:eastAsia="Times New Roman" w:hAnsi="Calibri" w:cs="Calibri"/>
                <w:color w:val="000000"/>
                <w:sz w:val="18"/>
                <w:lang w:eastAsia="it-IT"/>
              </w:rPr>
              <w:t>freq</w:t>
            </w:r>
            <w:proofErr w:type="spellEnd"/>
            <w:r>
              <w:rPr>
                <w:rFonts w:ascii="Calibri" w:eastAsia="Times New Roman" w:hAnsi="Calibri" w:cs="Calibri"/>
                <w:color w:val="000000"/>
                <w:sz w:val="18"/>
                <w:lang w:eastAsia="it-IT"/>
              </w:rPr>
              <w:t>.&lt;</w:t>
            </w:r>
            <w:proofErr w:type="gramEnd"/>
            <w:r>
              <w:rPr>
                <w:rFonts w:ascii="Calibri" w:eastAsia="Times New Roman" w:hAnsi="Calibri" w:cs="Calibri"/>
                <w:color w:val="000000"/>
                <w:sz w:val="18"/>
                <w:lang w:eastAsia="it-IT"/>
              </w:rPr>
              <w:t>10)</w:t>
            </w:r>
          </w:p>
        </w:tc>
        <w:tc>
          <w:tcPr>
            <w:tcW w:w="1260" w:type="dxa"/>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lang w:eastAsia="it-IT"/>
              </w:rPr>
            </w:pPr>
            <w:r>
              <w:rPr>
                <w:rFonts w:ascii="Calibri" w:eastAsia="Times New Roman" w:hAnsi="Calibri" w:cs="Calibri"/>
                <w:color w:val="000000"/>
                <w:sz w:val="18"/>
                <w:lang w:eastAsia="it-IT"/>
              </w:rPr>
              <w:t>206</w:t>
            </w:r>
          </w:p>
        </w:tc>
        <w:tc>
          <w:tcPr>
            <w:tcW w:w="1260" w:type="dxa"/>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lang w:eastAsia="it-IT"/>
              </w:rPr>
            </w:pPr>
            <w:r>
              <w:rPr>
                <w:rFonts w:ascii="Calibri" w:eastAsia="Times New Roman" w:hAnsi="Calibri" w:cs="Calibri"/>
                <w:color w:val="000000"/>
                <w:sz w:val="18"/>
                <w:lang w:eastAsia="it-IT"/>
              </w:rPr>
              <w:t>70,5%</w:t>
            </w:r>
          </w:p>
        </w:tc>
      </w:tr>
      <w:tr w:rsidR="00242B71" w:rsidTr="00242B71">
        <w:trPr>
          <w:trHeight w:val="300"/>
        </w:trPr>
        <w:tc>
          <w:tcPr>
            <w:tcW w:w="5860" w:type="dxa"/>
            <w:gridSpan w:val="2"/>
            <w:tcBorders>
              <w:top w:val="single" w:sz="4" w:space="0" w:color="auto"/>
              <w:left w:val="single" w:sz="4" w:space="0" w:color="auto"/>
              <w:bottom w:val="single" w:sz="4" w:space="0" w:color="auto"/>
              <w:right w:val="single" w:sz="4" w:space="0" w:color="auto"/>
            </w:tcBorders>
            <w:noWrap/>
            <w:vAlign w:val="bottom"/>
            <w:hideMark/>
          </w:tcPr>
          <w:p w:rsidR="00242B71" w:rsidRDefault="00242B71">
            <w:pPr>
              <w:spacing w:after="0" w:line="240" w:lineRule="auto"/>
              <w:jc w:val="center"/>
              <w:rPr>
                <w:rFonts w:ascii="Calibri" w:eastAsia="Times New Roman" w:hAnsi="Calibri" w:cs="Calibri"/>
                <w:b/>
                <w:bCs/>
                <w:color w:val="000000"/>
                <w:sz w:val="18"/>
                <w:lang w:eastAsia="it-IT"/>
              </w:rPr>
            </w:pPr>
            <w:r>
              <w:rPr>
                <w:rFonts w:ascii="Calibri" w:eastAsia="Times New Roman" w:hAnsi="Calibri" w:cs="Calibri"/>
                <w:b/>
                <w:bCs/>
                <w:color w:val="000000"/>
                <w:sz w:val="18"/>
                <w:lang w:eastAsia="it-IT"/>
              </w:rPr>
              <w:t>Totale</w:t>
            </w:r>
          </w:p>
        </w:tc>
        <w:tc>
          <w:tcPr>
            <w:tcW w:w="1260" w:type="dxa"/>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b/>
                <w:bCs/>
                <w:color w:val="000000"/>
                <w:sz w:val="18"/>
                <w:lang w:eastAsia="it-IT"/>
              </w:rPr>
            </w:pPr>
            <w:r>
              <w:rPr>
                <w:rFonts w:ascii="Calibri" w:eastAsia="Times New Roman" w:hAnsi="Calibri" w:cs="Calibri"/>
                <w:b/>
                <w:bCs/>
                <w:color w:val="000000"/>
                <w:sz w:val="18"/>
                <w:lang w:eastAsia="it-IT"/>
              </w:rPr>
              <w:t>292</w:t>
            </w:r>
          </w:p>
        </w:tc>
        <w:tc>
          <w:tcPr>
            <w:tcW w:w="1260" w:type="dxa"/>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b/>
                <w:bCs/>
                <w:color w:val="000000"/>
                <w:sz w:val="18"/>
                <w:lang w:eastAsia="it-IT"/>
              </w:rPr>
            </w:pPr>
            <w:r>
              <w:rPr>
                <w:rFonts w:ascii="Calibri" w:eastAsia="Times New Roman" w:hAnsi="Calibri" w:cs="Calibri"/>
                <w:b/>
                <w:bCs/>
                <w:color w:val="000000"/>
                <w:sz w:val="18"/>
                <w:lang w:eastAsia="it-IT"/>
              </w:rPr>
              <w:t>100,0%</w:t>
            </w:r>
          </w:p>
        </w:tc>
      </w:tr>
    </w:tbl>
    <w:p w:rsidR="00242B71" w:rsidRDefault="00242B71" w:rsidP="00242B71">
      <w:pPr>
        <w:spacing w:after="0" w:line="240" w:lineRule="auto"/>
        <w:jc w:val="both"/>
        <w:rPr>
          <w:rFonts w:ascii="Calibri" w:eastAsia="Times New Roman" w:hAnsi="Calibri" w:cs="Calibri"/>
          <w:b/>
          <w:bCs/>
          <w:color w:val="000000"/>
          <w:lang w:eastAsia="it-IT"/>
        </w:rPr>
      </w:pPr>
    </w:p>
    <w:p w:rsidR="00242B71" w:rsidRDefault="00242B71" w:rsidP="00242B71">
      <w:pPr>
        <w:spacing w:after="0" w:line="240" w:lineRule="auto"/>
        <w:jc w:val="both"/>
        <w:rPr>
          <w:rFonts w:ascii="Calibri" w:eastAsia="Times New Roman" w:hAnsi="Calibri" w:cs="Calibri"/>
          <w:b/>
          <w:bCs/>
          <w:color w:val="000000"/>
          <w:lang w:eastAsia="it-IT"/>
        </w:rPr>
      </w:pPr>
    </w:p>
    <w:p w:rsidR="00242B71" w:rsidRPr="004963A6" w:rsidRDefault="00242B71" w:rsidP="00242B71">
      <w:pPr>
        <w:spacing w:line="240" w:lineRule="auto"/>
        <w:jc w:val="both"/>
        <w:rPr>
          <w:rFonts w:ascii="Calibri" w:eastAsia="Times New Roman" w:hAnsi="Calibri" w:cs="Calibri"/>
          <w:b/>
          <w:bCs/>
          <w:color w:val="000000"/>
          <w:sz w:val="20"/>
          <w:szCs w:val="20"/>
          <w:lang w:eastAsia="it-IT"/>
        </w:rPr>
      </w:pPr>
      <w:proofErr w:type="spellStart"/>
      <w:r w:rsidRPr="004963A6">
        <w:rPr>
          <w:rFonts w:ascii="Calibri" w:eastAsia="Times New Roman" w:hAnsi="Calibri" w:cs="Calibri"/>
          <w:b/>
          <w:bCs/>
          <w:color w:val="000000"/>
          <w:sz w:val="20"/>
          <w:szCs w:val="20"/>
          <w:lang w:eastAsia="it-IT"/>
        </w:rPr>
        <w:t>Tab</w:t>
      </w:r>
      <w:proofErr w:type="spellEnd"/>
      <w:r w:rsidRPr="004963A6">
        <w:rPr>
          <w:rFonts w:ascii="Calibri" w:eastAsia="Times New Roman" w:hAnsi="Calibri" w:cs="Calibri"/>
          <w:b/>
          <w:bCs/>
          <w:color w:val="000000"/>
          <w:sz w:val="20"/>
          <w:szCs w:val="20"/>
          <w:lang w:eastAsia="it-IT"/>
        </w:rPr>
        <w:t xml:space="preserve">. </w:t>
      </w:r>
      <w:r w:rsidR="004963A6">
        <w:rPr>
          <w:rFonts w:ascii="Calibri" w:eastAsia="Times New Roman" w:hAnsi="Calibri" w:cs="Calibri"/>
          <w:b/>
          <w:bCs/>
          <w:color w:val="000000"/>
          <w:sz w:val="20"/>
          <w:szCs w:val="20"/>
          <w:lang w:eastAsia="it-IT"/>
        </w:rPr>
        <w:t>3.5</w:t>
      </w:r>
      <w:r w:rsidRPr="004963A6">
        <w:rPr>
          <w:rFonts w:ascii="Calibri" w:eastAsia="Times New Roman" w:hAnsi="Calibri" w:cs="Calibri"/>
          <w:b/>
          <w:bCs/>
          <w:color w:val="000000"/>
          <w:sz w:val="20"/>
          <w:szCs w:val="20"/>
          <w:lang w:eastAsia="it-IT"/>
        </w:rPr>
        <w:t xml:space="preserve"> - Distribuzione avviamenti per settore (diverso dal settore orafo) dopo una cessazione nel settore orafo (emigrazione).</w:t>
      </w:r>
    </w:p>
    <w:tbl>
      <w:tblPr>
        <w:tblW w:w="8380" w:type="dxa"/>
        <w:tblCellMar>
          <w:left w:w="70" w:type="dxa"/>
          <w:right w:w="70" w:type="dxa"/>
        </w:tblCellMar>
        <w:tblLook w:val="04A0" w:firstRow="1" w:lastRow="0" w:firstColumn="1" w:lastColumn="0" w:noHBand="0" w:noVBand="1"/>
      </w:tblPr>
      <w:tblGrid>
        <w:gridCol w:w="1129"/>
        <w:gridCol w:w="4731"/>
        <w:gridCol w:w="1260"/>
        <w:gridCol w:w="1260"/>
      </w:tblGrid>
      <w:tr w:rsidR="00242B71" w:rsidTr="00242B71">
        <w:trPr>
          <w:trHeight w:val="705"/>
        </w:trPr>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242B71" w:rsidRDefault="00242B71">
            <w:pPr>
              <w:spacing w:after="0" w:line="240" w:lineRule="auto"/>
              <w:jc w:val="center"/>
              <w:rPr>
                <w:rFonts w:ascii="Calibri" w:eastAsia="Times New Roman" w:hAnsi="Calibri" w:cs="Calibri"/>
                <w:b/>
                <w:bCs/>
                <w:color w:val="000000"/>
                <w:sz w:val="18"/>
                <w:lang w:eastAsia="it-IT"/>
              </w:rPr>
            </w:pPr>
            <w:r>
              <w:rPr>
                <w:rFonts w:ascii="Calibri" w:eastAsia="Times New Roman" w:hAnsi="Calibri" w:cs="Calibri"/>
                <w:b/>
                <w:bCs/>
                <w:color w:val="000000"/>
                <w:sz w:val="18"/>
                <w:lang w:eastAsia="it-IT"/>
              </w:rPr>
              <w:t>Settore di arrivo (</w:t>
            </w:r>
            <w:proofErr w:type="spellStart"/>
            <w:r>
              <w:rPr>
                <w:rFonts w:ascii="Calibri" w:eastAsia="Times New Roman" w:hAnsi="Calibri" w:cs="Calibri"/>
                <w:b/>
                <w:bCs/>
                <w:color w:val="000000"/>
                <w:sz w:val="18"/>
                <w:lang w:eastAsia="it-IT"/>
              </w:rPr>
              <w:t>Ateco</w:t>
            </w:r>
            <w:proofErr w:type="spellEnd"/>
            <w:r>
              <w:rPr>
                <w:rFonts w:ascii="Calibri" w:eastAsia="Times New Roman" w:hAnsi="Calibri" w:cs="Calibri"/>
                <w:b/>
                <w:bCs/>
                <w:color w:val="000000"/>
                <w:sz w:val="18"/>
                <w:lang w:eastAsia="it-IT"/>
              </w:rPr>
              <w:t xml:space="preserve"> '07)</w:t>
            </w:r>
          </w:p>
        </w:tc>
        <w:tc>
          <w:tcPr>
            <w:tcW w:w="4731"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242B71" w:rsidRDefault="00242B71">
            <w:pPr>
              <w:spacing w:after="0" w:line="240" w:lineRule="auto"/>
              <w:jc w:val="center"/>
              <w:rPr>
                <w:rFonts w:ascii="Calibri" w:eastAsia="Times New Roman" w:hAnsi="Calibri" w:cs="Calibri"/>
                <w:b/>
                <w:bCs/>
                <w:color w:val="000000"/>
                <w:sz w:val="18"/>
                <w:lang w:eastAsia="it-IT"/>
              </w:rPr>
            </w:pPr>
            <w:r>
              <w:rPr>
                <w:rFonts w:ascii="Calibri" w:eastAsia="Times New Roman" w:hAnsi="Calibri" w:cs="Calibri"/>
                <w:b/>
                <w:bCs/>
                <w:color w:val="000000"/>
                <w:sz w:val="18"/>
                <w:lang w:eastAsia="it-IT"/>
              </w:rPr>
              <w:t>Descrizione</w:t>
            </w:r>
          </w:p>
        </w:tc>
        <w:tc>
          <w:tcPr>
            <w:tcW w:w="126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242B71" w:rsidRDefault="00242B71">
            <w:pPr>
              <w:spacing w:after="0" w:line="240" w:lineRule="auto"/>
              <w:jc w:val="center"/>
              <w:rPr>
                <w:rFonts w:ascii="Calibri" w:eastAsia="Times New Roman" w:hAnsi="Calibri" w:cs="Calibri"/>
                <w:b/>
                <w:bCs/>
                <w:color w:val="000000"/>
                <w:sz w:val="18"/>
                <w:lang w:eastAsia="it-IT"/>
              </w:rPr>
            </w:pPr>
            <w:r>
              <w:rPr>
                <w:rFonts w:ascii="Calibri" w:eastAsia="Times New Roman" w:hAnsi="Calibri" w:cs="Calibri"/>
                <w:b/>
                <w:bCs/>
                <w:color w:val="000000"/>
                <w:sz w:val="18"/>
                <w:lang w:eastAsia="it-IT"/>
              </w:rPr>
              <w:t>VA</w:t>
            </w:r>
          </w:p>
        </w:tc>
        <w:tc>
          <w:tcPr>
            <w:tcW w:w="126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242B71" w:rsidRDefault="00242B71">
            <w:pPr>
              <w:spacing w:after="0" w:line="240" w:lineRule="auto"/>
              <w:jc w:val="center"/>
              <w:rPr>
                <w:rFonts w:ascii="Calibri" w:eastAsia="Times New Roman" w:hAnsi="Calibri" w:cs="Calibri"/>
                <w:b/>
                <w:bCs/>
                <w:color w:val="000000"/>
                <w:sz w:val="18"/>
                <w:lang w:eastAsia="it-IT"/>
              </w:rPr>
            </w:pPr>
            <w:r>
              <w:rPr>
                <w:rFonts w:ascii="Calibri" w:eastAsia="Times New Roman" w:hAnsi="Calibri" w:cs="Calibri"/>
                <w:b/>
                <w:bCs/>
                <w:color w:val="000000"/>
                <w:sz w:val="18"/>
                <w:lang w:eastAsia="it-IT"/>
              </w:rPr>
              <w:t>%</w:t>
            </w:r>
          </w:p>
        </w:tc>
      </w:tr>
      <w:tr w:rsidR="00242B71" w:rsidTr="00242B71">
        <w:trPr>
          <w:trHeight w:val="20"/>
        </w:trPr>
        <w:tc>
          <w:tcPr>
            <w:tcW w:w="1129" w:type="dxa"/>
            <w:tcBorders>
              <w:top w:val="single" w:sz="4" w:space="0" w:color="auto"/>
              <w:left w:val="single" w:sz="4" w:space="0" w:color="auto"/>
              <w:bottom w:val="single" w:sz="4" w:space="0" w:color="auto"/>
              <w:right w:val="single" w:sz="4" w:space="0" w:color="auto"/>
            </w:tcBorders>
            <w:noWrap/>
            <w:vAlign w:val="bottom"/>
            <w:hideMark/>
          </w:tcPr>
          <w:p w:rsidR="00242B71" w:rsidRDefault="00242B71">
            <w:pPr>
              <w:spacing w:after="0" w:line="240" w:lineRule="auto"/>
              <w:rPr>
                <w:rFonts w:ascii="Calibri" w:eastAsia="Times New Roman" w:hAnsi="Calibri" w:cs="Calibri"/>
                <w:color w:val="000000"/>
                <w:sz w:val="18"/>
                <w:lang w:eastAsia="it-IT"/>
              </w:rPr>
            </w:pPr>
            <w:r>
              <w:rPr>
                <w:rFonts w:ascii="Calibri" w:eastAsia="Times New Roman" w:hAnsi="Calibri" w:cs="Calibri"/>
                <w:color w:val="000000"/>
                <w:sz w:val="18"/>
                <w:lang w:eastAsia="it-IT"/>
              </w:rPr>
              <w:t>24.41</w:t>
            </w:r>
          </w:p>
        </w:tc>
        <w:tc>
          <w:tcPr>
            <w:tcW w:w="4731" w:type="dxa"/>
            <w:tcBorders>
              <w:top w:val="single" w:sz="4" w:space="0" w:color="auto"/>
              <w:left w:val="nil"/>
              <w:bottom w:val="single" w:sz="4" w:space="0" w:color="auto"/>
              <w:right w:val="single" w:sz="4" w:space="0" w:color="auto"/>
            </w:tcBorders>
            <w:hideMark/>
          </w:tcPr>
          <w:p w:rsidR="00242B71" w:rsidRDefault="00242B71">
            <w:pPr>
              <w:spacing w:after="0" w:line="240" w:lineRule="auto"/>
              <w:rPr>
                <w:rFonts w:eastAsia="Times New Roman" w:cstheme="minorHAnsi"/>
                <w:sz w:val="18"/>
                <w:szCs w:val="20"/>
                <w:lang w:eastAsia="it-IT"/>
              </w:rPr>
            </w:pPr>
            <w:r>
              <w:rPr>
                <w:rFonts w:eastAsia="Times New Roman" w:cstheme="minorHAnsi"/>
                <w:sz w:val="18"/>
                <w:szCs w:val="20"/>
                <w:lang w:eastAsia="it-IT"/>
              </w:rPr>
              <w:t>Produzione di metalli preziosi</w:t>
            </w:r>
          </w:p>
        </w:tc>
        <w:tc>
          <w:tcPr>
            <w:tcW w:w="1260" w:type="dxa"/>
            <w:tcBorders>
              <w:top w:val="single" w:sz="4" w:space="0" w:color="auto"/>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lang w:eastAsia="it-IT"/>
              </w:rPr>
            </w:pPr>
            <w:r>
              <w:rPr>
                <w:rFonts w:ascii="Calibri" w:eastAsia="Times New Roman" w:hAnsi="Calibri" w:cs="Calibri"/>
                <w:color w:val="000000"/>
                <w:sz w:val="18"/>
                <w:lang w:eastAsia="it-IT"/>
              </w:rPr>
              <w:t>19</w:t>
            </w:r>
          </w:p>
        </w:tc>
        <w:tc>
          <w:tcPr>
            <w:tcW w:w="1260" w:type="dxa"/>
            <w:tcBorders>
              <w:top w:val="single" w:sz="4" w:space="0" w:color="auto"/>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lang w:eastAsia="it-IT"/>
              </w:rPr>
            </w:pPr>
            <w:r>
              <w:rPr>
                <w:rFonts w:ascii="Calibri" w:eastAsia="Times New Roman" w:hAnsi="Calibri" w:cs="Calibri"/>
                <w:color w:val="000000"/>
                <w:sz w:val="18"/>
                <w:lang w:eastAsia="it-IT"/>
              </w:rPr>
              <w:t>7,6%</w:t>
            </w:r>
          </w:p>
        </w:tc>
      </w:tr>
      <w:tr w:rsidR="00242B71" w:rsidTr="00242B71">
        <w:trPr>
          <w:trHeight w:val="20"/>
        </w:trPr>
        <w:tc>
          <w:tcPr>
            <w:tcW w:w="1129" w:type="dxa"/>
            <w:tcBorders>
              <w:top w:val="nil"/>
              <w:left w:val="single" w:sz="4" w:space="0" w:color="auto"/>
              <w:bottom w:val="single" w:sz="4" w:space="0" w:color="auto"/>
              <w:right w:val="single" w:sz="4" w:space="0" w:color="auto"/>
            </w:tcBorders>
            <w:noWrap/>
            <w:vAlign w:val="bottom"/>
            <w:hideMark/>
          </w:tcPr>
          <w:p w:rsidR="00242B71" w:rsidRDefault="00242B71">
            <w:pPr>
              <w:spacing w:after="0" w:line="240" w:lineRule="auto"/>
              <w:rPr>
                <w:rFonts w:ascii="Calibri" w:eastAsia="Times New Roman" w:hAnsi="Calibri" w:cs="Calibri"/>
                <w:color w:val="000000"/>
                <w:sz w:val="18"/>
                <w:lang w:eastAsia="it-IT"/>
              </w:rPr>
            </w:pPr>
            <w:r>
              <w:rPr>
                <w:rFonts w:ascii="Calibri" w:eastAsia="Times New Roman" w:hAnsi="Calibri" w:cs="Calibri"/>
                <w:color w:val="000000"/>
                <w:sz w:val="18"/>
                <w:lang w:eastAsia="it-IT"/>
              </w:rPr>
              <w:t>97.00</w:t>
            </w:r>
          </w:p>
        </w:tc>
        <w:tc>
          <w:tcPr>
            <w:tcW w:w="4731" w:type="dxa"/>
            <w:tcBorders>
              <w:top w:val="nil"/>
              <w:left w:val="nil"/>
              <w:bottom w:val="single" w:sz="4" w:space="0" w:color="auto"/>
              <w:right w:val="single" w:sz="4" w:space="0" w:color="auto"/>
            </w:tcBorders>
            <w:hideMark/>
          </w:tcPr>
          <w:p w:rsidR="00242B71" w:rsidRDefault="00242B71">
            <w:pPr>
              <w:spacing w:after="0" w:line="240" w:lineRule="auto"/>
              <w:rPr>
                <w:rFonts w:eastAsia="Times New Roman" w:cstheme="minorHAnsi"/>
                <w:sz w:val="18"/>
                <w:szCs w:val="20"/>
                <w:lang w:eastAsia="it-IT"/>
              </w:rPr>
            </w:pPr>
            <w:r>
              <w:rPr>
                <w:rFonts w:eastAsia="Times New Roman" w:cstheme="minorHAnsi"/>
                <w:sz w:val="18"/>
                <w:szCs w:val="20"/>
                <w:lang w:eastAsia="it-IT"/>
              </w:rPr>
              <w:t>Attività di famiglie e convivenze come datori di lavoro per personale domestico</w:t>
            </w:r>
          </w:p>
        </w:tc>
        <w:tc>
          <w:tcPr>
            <w:tcW w:w="1260" w:type="dxa"/>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lang w:eastAsia="it-IT"/>
              </w:rPr>
            </w:pPr>
            <w:r>
              <w:rPr>
                <w:rFonts w:ascii="Calibri" w:eastAsia="Times New Roman" w:hAnsi="Calibri" w:cs="Calibri"/>
                <w:color w:val="000000"/>
                <w:sz w:val="18"/>
                <w:lang w:eastAsia="it-IT"/>
              </w:rPr>
              <w:t>17</w:t>
            </w:r>
          </w:p>
        </w:tc>
        <w:tc>
          <w:tcPr>
            <w:tcW w:w="1260" w:type="dxa"/>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lang w:eastAsia="it-IT"/>
              </w:rPr>
            </w:pPr>
            <w:r>
              <w:rPr>
                <w:rFonts w:ascii="Calibri" w:eastAsia="Times New Roman" w:hAnsi="Calibri" w:cs="Calibri"/>
                <w:color w:val="000000"/>
                <w:sz w:val="18"/>
                <w:lang w:eastAsia="it-IT"/>
              </w:rPr>
              <w:t>6,8%</w:t>
            </w:r>
          </w:p>
        </w:tc>
      </w:tr>
      <w:tr w:rsidR="00242B71" w:rsidTr="00242B71">
        <w:trPr>
          <w:trHeight w:val="20"/>
        </w:trPr>
        <w:tc>
          <w:tcPr>
            <w:tcW w:w="1129" w:type="dxa"/>
            <w:tcBorders>
              <w:top w:val="nil"/>
              <w:left w:val="single" w:sz="4" w:space="0" w:color="auto"/>
              <w:bottom w:val="single" w:sz="4" w:space="0" w:color="auto"/>
              <w:right w:val="single" w:sz="4" w:space="0" w:color="auto"/>
            </w:tcBorders>
            <w:noWrap/>
            <w:vAlign w:val="bottom"/>
            <w:hideMark/>
          </w:tcPr>
          <w:p w:rsidR="00242B71" w:rsidRDefault="00242B71">
            <w:pPr>
              <w:spacing w:after="0" w:line="240" w:lineRule="auto"/>
              <w:rPr>
                <w:rFonts w:ascii="Calibri" w:eastAsia="Times New Roman" w:hAnsi="Calibri" w:cs="Calibri"/>
                <w:color w:val="000000"/>
                <w:sz w:val="18"/>
                <w:lang w:eastAsia="it-IT"/>
              </w:rPr>
            </w:pPr>
            <w:r>
              <w:rPr>
                <w:rFonts w:ascii="Calibri" w:eastAsia="Times New Roman" w:hAnsi="Calibri" w:cs="Calibri"/>
                <w:color w:val="000000"/>
                <w:sz w:val="18"/>
                <w:lang w:eastAsia="it-IT"/>
              </w:rPr>
              <w:t>01.21</w:t>
            </w:r>
          </w:p>
        </w:tc>
        <w:tc>
          <w:tcPr>
            <w:tcW w:w="4731" w:type="dxa"/>
            <w:tcBorders>
              <w:top w:val="nil"/>
              <w:left w:val="nil"/>
              <w:bottom w:val="single" w:sz="4" w:space="0" w:color="auto"/>
              <w:right w:val="single" w:sz="4" w:space="0" w:color="auto"/>
            </w:tcBorders>
            <w:hideMark/>
          </w:tcPr>
          <w:p w:rsidR="00242B71" w:rsidRDefault="00242B71">
            <w:pPr>
              <w:spacing w:after="0" w:line="240" w:lineRule="auto"/>
              <w:rPr>
                <w:rFonts w:eastAsia="Times New Roman" w:cstheme="minorHAnsi"/>
                <w:sz w:val="18"/>
                <w:szCs w:val="20"/>
                <w:lang w:eastAsia="it-IT"/>
              </w:rPr>
            </w:pPr>
            <w:r>
              <w:rPr>
                <w:rFonts w:eastAsia="Times New Roman" w:cstheme="minorHAnsi"/>
                <w:sz w:val="18"/>
                <w:szCs w:val="20"/>
                <w:lang w:eastAsia="it-IT"/>
              </w:rPr>
              <w:t>Coltivazione di uva</w:t>
            </w:r>
          </w:p>
        </w:tc>
        <w:tc>
          <w:tcPr>
            <w:tcW w:w="1260" w:type="dxa"/>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lang w:eastAsia="it-IT"/>
              </w:rPr>
            </w:pPr>
            <w:r>
              <w:rPr>
                <w:rFonts w:ascii="Calibri" w:eastAsia="Times New Roman" w:hAnsi="Calibri" w:cs="Calibri"/>
                <w:color w:val="000000"/>
                <w:sz w:val="18"/>
                <w:lang w:eastAsia="it-IT"/>
              </w:rPr>
              <w:t>12</w:t>
            </w:r>
          </w:p>
        </w:tc>
        <w:tc>
          <w:tcPr>
            <w:tcW w:w="1260" w:type="dxa"/>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lang w:eastAsia="it-IT"/>
              </w:rPr>
            </w:pPr>
            <w:r>
              <w:rPr>
                <w:rFonts w:ascii="Calibri" w:eastAsia="Times New Roman" w:hAnsi="Calibri" w:cs="Calibri"/>
                <w:color w:val="000000"/>
                <w:sz w:val="18"/>
                <w:lang w:eastAsia="it-IT"/>
              </w:rPr>
              <w:t>4,8%</w:t>
            </w:r>
          </w:p>
        </w:tc>
      </w:tr>
      <w:tr w:rsidR="00242B71" w:rsidTr="00242B71">
        <w:trPr>
          <w:trHeight w:val="20"/>
        </w:trPr>
        <w:tc>
          <w:tcPr>
            <w:tcW w:w="1129" w:type="dxa"/>
            <w:tcBorders>
              <w:top w:val="nil"/>
              <w:left w:val="single" w:sz="4" w:space="0" w:color="auto"/>
              <w:bottom w:val="single" w:sz="4" w:space="0" w:color="auto"/>
              <w:right w:val="single" w:sz="4" w:space="0" w:color="auto"/>
            </w:tcBorders>
            <w:noWrap/>
            <w:vAlign w:val="bottom"/>
            <w:hideMark/>
          </w:tcPr>
          <w:p w:rsidR="00242B71" w:rsidRDefault="00242B71">
            <w:pPr>
              <w:spacing w:after="0" w:line="240" w:lineRule="auto"/>
              <w:rPr>
                <w:rFonts w:ascii="Calibri" w:eastAsia="Times New Roman" w:hAnsi="Calibri" w:cs="Calibri"/>
                <w:color w:val="000000"/>
                <w:sz w:val="18"/>
                <w:lang w:eastAsia="it-IT"/>
              </w:rPr>
            </w:pPr>
            <w:r>
              <w:rPr>
                <w:rFonts w:ascii="Calibri" w:eastAsia="Times New Roman" w:hAnsi="Calibri" w:cs="Calibri"/>
                <w:color w:val="000000"/>
                <w:sz w:val="18"/>
                <w:lang w:eastAsia="it-IT"/>
              </w:rPr>
              <w:t>56.10</w:t>
            </w:r>
          </w:p>
        </w:tc>
        <w:tc>
          <w:tcPr>
            <w:tcW w:w="4731" w:type="dxa"/>
            <w:tcBorders>
              <w:top w:val="nil"/>
              <w:left w:val="nil"/>
              <w:bottom w:val="single" w:sz="4" w:space="0" w:color="auto"/>
              <w:right w:val="single" w:sz="4" w:space="0" w:color="auto"/>
            </w:tcBorders>
            <w:hideMark/>
          </w:tcPr>
          <w:p w:rsidR="00242B71" w:rsidRDefault="00242B71">
            <w:pPr>
              <w:spacing w:after="0" w:line="240" w:lineRule="auto"/>
              <w:rPr>
                <w:rFonts w:eastAsia="Times New Roman" w:cstheme="minorHAnsi"/>
                <w:sz w:val="18"/>
                <w:szCs w:val="20"/>
                <w:lang w:eastAsia="it-IT"/>
              </w:rPr>
            </w:pPr>
            <w:r>
              <w:rPr>
                <w:rFonts w:eastAsia="Times New Roman" w:cstheme="minorHAnsi"/>
                <w:sz w:val="18"/>
                <w:szCs w:val="20"/>
                <w:lang w:eastAsia="it-IT"/>
              </w:rPr>
              <w:t>Ristoranti e attività di ristorazione mobile</w:t>
            </w:r>
          </w:p>
        </w:tc>
        <w:tc>
          <w:tcPr>
            <w:tcW w:w="1260" w:type="dxa"/>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lang w:eastAsia="it-IT"/>
              </w:rPr>
            </w:pPr>
            <w:r>
              <w:rPr>
                <w:rFonts w:ascii="Calibri" w:eastAsia="Times New Roman" w:hAnsi="Calibri" w:cs="Calibri"/>
                <w:color w:val="000000"/>
                <w:sz w:val="18"/>
                <w:lang w:eastAsia="it-IT"/>
              </w:rPr>
              <w:t>12</w:t>
            </w:r>
          </w:p>
        </w:tc>
        <w:tc>
          <w:tcPr>
            <w:tcW w:w="1260" w:type="dxa"/>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lang w:eastAsia="it-IT"/>
              </w:rPr>
            </w:pPr>
            <w:r>
              <w:rPr>
                <w:rFonts w:ascii="Calibri" w:eastAsia="Times New Roman" w:hAnsi="Calibri" w:cs="Calibri"/>
                <w:color w:val="000000"/>
                <w:sz w:val="18"/>
                <w:lang w:eastAsia="it-IT"/>
              </w:rPr>
              <w:t>4,8%</w:t>
            </w:r>
          </w:p>
        </w:tc>
      </w:tr>
      <w:tr w:rsidR="00242B71" w:rsidTr="00242B71">
        <w:trPr>
          <w:trHeight w:val="20"/>
        </w:trPr>
        <w:tc>
          <w:tcPr>
            <w:tcW w:w="1129" w:type="dxa"/>
            <w:tcBorders>
              <w:top w:val="nil"/>
              <w:left w:val="single" w:sz="4" w:space="0" w:color="auto"/>
              <w:bottom w:val="single" w:sz="4" w:space="0" w:color="auto"/>
              <w:right w:val="single" w:sz="4" w:space="0" w:color="auto"/>
            </w:tcBorders>
            <w:noWrap/>
            <w:vAlign w:val="bottom"/>
            <w:hideMark/>
          </w:tcPr>
          <w:p w:rsidR="00242B71" w:rsidRDefault="00242B71">
            <w:pPr>
              <w:spacing w:after="0" w:line="240" w:lineRule="auto"/>
              <w:rPr>
                <w:rFonts w:ascii="Calibri" w:eastAsia="Times New Roman" w:hAnsi="Calibri" w:cs="Calibri"/>
                <w:color w:val="000000"/>
                <w:sz w:val="18"/>
                <w:lang w:eastAsia="it-IT"/>
              </w:rPr>
            </w:pPr>
            <w:r>
              <w:rPr>
                <w:rFonts w:ascii="Calibri" w:eastAsia="Times New Roman" w:hAnsi="Calibri" w:cs="Calibri"/>
                <w:color w:val="000000"/>
                <w:sz w:val="18"/>
                <w:lang w:eastAsia="it-IT"/>
              </w:rPr>
              <w:t>01.11</w:t>
            </w:r>
          </w:p>
        </w:tc>
        <w:tc>
          <w:tcPr>
            <w:tcW w:w="4731" w:type="dxa"/>
            <w:tcBorders>
              <w:top w:val="nil"/>
              <w:left w:val="nil"/>
              <w:bottom w:val="single" w:sz="4" w:space="0" w:color="auto"/>
              <w:right w:val="single" w:sz="4" w:space="0" w:color="auto"/>
            </w:tcBorders>
            <w:hideMark/>
          </w:tcPr>
          <w:p w:rsidR="00242B71" w:rsidRDefault="00242B71">
            <w:pPr>
              <w:spacing w:after="0" w:line="240" w:lineRule="auto"/>
              <w:rPr>
                <w:rFonts w:eastAsia="Times New Roman" w:cstheme="minorHAnsi"/>
                <w:sz w:val="18"/>
                <w:szCs w:val="20"/>
                <w:lang w:eastAsia="it-IT"/>
              </w:rPr>
            </w:pPr>
            <w:r>
              <w:rPr>
                <w:rFonts w:eastAsia="Times New Roman" w:cstheme="minorHAnsi"/>
                <w:sz w:val="18"/>
                <w:szCs w:val="20"/>
                <w:lang w:eastAsia="it-IT"/>
              </w:rPr>
              <w:t>Coltivazione di cereali (escluso il riso), legumi da granella e semi oleosi</w:t>
            </w:r>
          </w:p>
        </w:tc>
        <w:tc>
          <w:tcPr>
            <w:tcW w:w="1260" w:type="dxa"/>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lang w:eastAsia="it-IT"/>
              </w:rPr>
            </w:pPr>
            <w:r>
              <w:rPr>
                <w:rFonts w:ascii="Calibri" w:eastAsia="Times New Roman" w:hAnsi="Calibri" w:cs="Calibri"/>
                <w:color w:val="000000"/>
                <w:sz w:val="18"/>
                <w:lang w:eastAsia="it-IT"/>
              </w:rPr>
              <w:t>12</w:t>
            </w:r>
          </w:p>
        </w:tc>
        <w:tc>
          <w:tcPr>
            <w:tcW w:w="1260" w:type="dxa"/>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lang w:eastAsia="it-IT"/>
              </w:rPr>
            </w:pPr>
            <w:r>
              <w:rPr>
                <w:rFonts w:ascii="Calibri" w:eastAsia="Times New Roman" w:hAnsi="Calibri" w:cs="Calibri"/>
                <w:color w:val="000000"/>
                <w:sz w:val="18"/>
                <w:lang w:eastAsia="it-IT"/>
              </w:rPr>
              <w:t>4,8%</w:t>
            </w:r>
          </w:p>
        </w:tc>
      </w:tr>
      <w:tr w:rsidR="00242B71" w:rsidTr="00242B71">
        <w:trPr>
          <w:trHeight w:val="20"/>
        </w:trPr>
        <w:tc>
          <w:tcPr>
            <w:tcW w:w="1129" w:type="dxa"/>
            <w:tcBorders>
              <w:top w:val="nil"/>
              <w:left w:val="single" w:sz="4" w:space="0" w:color="auto"/>
              <w:bottom w:val="single" w:sz="4" w:space="0" w:color="auto"/>
              <w:right w:val="single" w:sz="4" w:space="0" w:color="auto"/>
            </w:tcBorders>
            <w:noWrap/>
            <w:vAlign w:val="bottom"/>
            <w:hideMark/>
          </w:tcPr>
          <w:p w:rsidR="00242B71" w:rsidRDefault="00242B71">
            <w:pPr>
              <w:spacing w:after="0" w:line="240" w:lineRule="auto"/>
              <w:rPr>
                <w:rFonts w:ascii="Calibri" w:eastAsia="Times New Roman" w:hAnsi="Calibri" w:cs="Calibri"/>
                <w:color w:val="000000"/>
                <w:sz w:val="18"/>
                <w:lang w:eastAsia="it-IT"/>
              </w:rPr>
            </w:pPr>
            <w:r>
              <w:rPr>
                <w:rFonts w:ascii="Calibri" w:eastAsia="Times New Roman" w:hAnsi="Calibri" w:cs="Calibri"/>
                <w:color w:val="000000"/>
                <w:sz w:val="18"/>
                <w:lang w:eastAsia="it-IT"/>
              </w:rPr>
              <w:t>32.13</w:t>
            </w:r>
          </w:p>
        </w:tc>
        <w:tc>
          <w:tcPr>
            <w:tcW w:w="4731" w:type="dxa"/>
            <w:tcBorders>
              <w:top w:val="nil"/>
              <w:left w:val="nil"/>
              <w:bottom w:val="single" w:sz="4" w:space="0" w:color="auto"/>
              <w:right w:val="single" w:sz="4" w:space="0" w:color="auto"/>
            </w:tcBorders>
            <w:hideMark/>
          </w:tcPr>
          <w:p w:rsidR="00242B71" w:rsidRDefault="00242B71">
            <w:pPr>
              <w:spacing w:after="0" w:line="240" w:lineRule="auto"/>
              <w:rPr>
                <w:rFonts w:eastAsia="Times New Roman" w:cstheme="minorHAnsi"/>
                <w:sz w:val="18"/>
                <w:szCs w:val="20"/>
                <w:lang w:eastAsia="it-IT"/>
              </w:rPr>
            </w:pPr>
            <w:r>
              <w:rPr>
                <w:rFonts w:eastAsia="Times New Roman" w:cstheme="minorHAnsi"/>
                <w:sz w:val="18"/>
                <w:szCs w:val="20"/>
                <w:lang w:eastAsia="it-IT"/>
              </w:rPr>
              <w:t>Fabbricazione di bigiotteria e articoli simili</w:t>
            </w:r>
          </w:p>
        </w:tc>
        <w:tc>
          <w:tcPr>
            <w:tcW w:w="1260" w:type="dxa"/>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lang w:eastAsia="it-IT"/>
              </w:rPr>
            </w:pPr>
            <w:r>
              <w:rPr>
                <w:rFonts w:ascii="Calibri" w:eastAsia="Times New Roman" w:hAnsi="Calibri" w:cs="Calibri"/>
                <w:color w:val="000000"/>
                <w:sz w:val="18"/>
                <w:lang w:eastAsia="it-IT"/>
              </w:rPr>
              <w:t>10</w:t>
            </w:r>
          </w:p>
        </w:tc>
        <w:tc>
          <w:tcPr>
            <w:tcW w:w="1260" w:type="dxa"/>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lang w:eastAsia="it-IT"/>
              </w:rPr>
            </w:pPr>
            <w:r>
              <w:rPr>
                <w:rFonts w:ascii="Calibri" w:eastAsia="Times New Roman" w:hAnsi="Calibri" w:cs="Calibri"/>
                <w:color w:val="000000"/>
                <w:sz w:val="18"/>
                <w:lang w:eastAsia="it-IT"/>
              </w:rPr>
              <w:t>4,0%</w:t>
            </w:r>
          </w:p>
        </w:tc>
      </w:tr>
      <w:tr w:rsidR="00242B71" w:rsidTr="00242B71">
        <w:trPr>
          <w:trHeight w:val="20"/>
        </w:trPr>
        <w:tc>
          <w:tcPr>
            <w:tcW w:w="5860" w:type="dxa"/>
            <w:gridSpan w:val="2"/>
            <w:tcBorders>
              <w:top w:val="single" w:sz="4" w:space="0" w:color="auto"/>
              <w:left w:val="single" w:sz="4" w:space="0" w:color="auto"/>
              <w:bottom w:val="single" w:sz="4" w:space="0" w:color="auto"/>
              <w:right w:val="single" w:sz="4" w:space="0" w:color="auto"/>
            </w:tcBorders>
            <w:noWrap/>
            <w:vAlign w:val="bottom"/>
            <w:hideMark/>
          </w:tcPr>
          <w:p w:rsidR="00242B71" w:rsidRDefault="00242B71">
            <w:pPr>
              <w:spacing w:after="0" w:line="240" w:lineRule="auto"/>
              <w:rPr>
                <w:rFonts w:ascii="Calibri" w:eastAsia="Times New Roman" w:hAnsi="Calibri" w:cs="Calibri"/>
                <w:color w:val="000000"/>
                <w:sz w:val="18"/>
                <w:lang w:eastAsia="it-IT"/>
              </w:rPr>
            </w:pPr>
            <w:r>
              <w:rPr>
                <w:rFonts w:ascii="Calibri" w:eastAsia="Times New Roman" w:hAnsi="Calibri" w:cs="Calibri"/>
                <w:color w:val="000000"/>
                <w:sz w:val="18"/>
                <w:lang w:eastAsia="it-IT"/>
              </w:rPr>
              <w:t>Altro (</w:t>
            </w:r>
            <w:proofErr w:type="spellStart"/>
            <w:proofErr w:type="gramStart"/>
            <w:r>
              <w:rPr>
                <w:rFonts w:ascii="Calibri" w:eastAsia="Times New Roman" w:hAnsi="Calibri" w:cs="Calibri"/>
                <w:color w:val="000000"/>
                <w:sz w:val="18"/>
                <w:lang w:eastAsia="it-IT"/>
              </w:rPr>
              <w:t>freq</w:t>
            </w:r>
            <w:proofErr w:type="spellEnd"/>
            <w:r>
              <w:rPr>
                <w:rFonts w:ascii="Calibri" w:eastAsia="Times New Roman" w:hAnsi="Calibri" w:cs="Calibri"/>
                <w:color w:val="000000"/>
                <w:sz w:val="18"/>
                <w:lang w:eastAsia="it-IT"/>
              </w:rPr>
              <w:t>.&lt;</w:t>
            </w:r>
            <w:proofErr w:type="gramEnd"/>
            <w:r>
              <w:rPr>
                <w:rFonts w:ascii="Calibri" w:eastAsia="Times New Roman" w:hAnsi="Calibri" w:cs="Calibri"/>
                <w:color w:val="000000"/>
                <w:sz w:val="18"/>
                <w:lang w:eastAsia="it-IT"/>
              </w:rPr>
              <w:t>10)</w:t>
            </w:r>
          </w:p>
        </w:tc>
        <w:tc>
          <w:tcPr>
            <w:tcW w:w="1260" w:type="dxa"/>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lang w:eastAsia="it-IT"/>
              </w:rPr>
            </w:pPr>
            <w:r>
              <w:rPr>
                <w:rFonts w:ascii="Calibri" w:eastAsia="Times New Roman" w:hAnsi="Calibri" w:cs="Calibri"/>
                <w:color w:val="000000"/>
                <w:sz w:val="18"/>
                <w:lang w:eastAsia="it-IT"/>
              </w:rPr>
              <w:t>169</w:t>
            </w:r>
          </w:p>
        </w:tc>
        <w:tc>
          <w:tcPr>
            <w:tcW w:w="1260" w:type="dxa"/>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lang w:eastAsia="it-IT"/>
              </w:rPr>
            </w:pPr>
            <w:r>
              <w:rPr>
                <w:rFonts w:ascii="Calibri" w:eastAsia="Times New Roman" w:hAnsi="Calibri" w:cs="Calibri"/>
                <w:color w:val="000000"/>
                <w:sz w:val="18"/>
                <w:lang w:eastAsia="it-IT"/>
              </w:rPr>
              <w:t>67,3%</w:t>
            </w:r>
          </w:p>
        </w:tc>
      </w:tr>
      <w:tr w:rsidR="00242B71" w:rsidTr="00242B71">
        <w:trPr>
          <w:trHeight w:val="300"/>
        </w:trPr>
        <w:tc>
          <w:tcPr>
            <w:tcW w:w="5860" w:type="dxa"/>
            <w:gridSpan w:val="2"/>
            <w:tcBorders>
              <w:top w:val="single" w:sz="4" w:space="0" w:color="auto"/>
              <w:left w:val="single" w:sz="4" w:space="0" w:color="auto"/>
              <w:bottom w:val="single" w:sz="4" w:space="0" w:color="auto"/>
              <w:right w:val="single" w:sz="4" w:space="0" w:color="auto"/>
            </w:tcBorders>
            <w:noWrap/>
            <w:vAlign w:val="bottom"/>
            <w:hideMark/>
          </w:tcPr>
          <w:p w:rsidR="00242B71" w:rsidRDefault="00242B71">
            <w:pPr>
              <w:spacing w:after="0" w:line="240" w:lineRule="auto"/>
              <w:jc w:val="center"/>
              <w:rPr>
                <w:rFonts w:ascii="Calibri" w:eastAsia="Times New Roman" w:hAnsi="Calibri" w:cs="Calibri"/>
                <w:b/>
                <w:bCs/>
                <w:color w:val="000000"/>
                <w:sz w:val="18"/>
                <w:lang w:eastAsia="it-IT"/>
              </w:rPr>
            </w:pPr>
            <w:r>
              <w:rPr>
                <w:rFonts w:ascii="Calibri" w:eastAsia="Times New Roman" w:hAnsi="Calibri" w:cs="Calibri"/>
                <w:b/>
                <w:bCs/>
                <w:color w:val="000000"/>
                <w:sz w:val="18"/>
                <w:lang w:eastAsia="it-IT"/>
              </w:rPr>
              <w:t>Totale</w:t>
            </w:r>
          </w:p>
        </w:tc>
        <w:tc>
          <w:tcPr>
            <w:tcW w:w="1260" w:type="dxa"/>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b/>
                <w:bCs/>
                <w:color w:val="000000"/>
                <w:sz w:val="18"/>
                <w:lang w:eastAsia="it-IT"/>
              </w:rPr>
            </w:pPr>
            <w:r>
              <w:rPr>
                <w:rFonts w:ascii="Calibri" w:eastAsia="Times New Roman" w:hAnsi="Calibri" w:cs="Calibri"/>
                <w:b/>
                <w:bCs/>
                <w:color w:val="000000"/>
                <w:sz w:val="18"/>
                <w:lang w:eastAsia="it-IT"/>
              </w:rPr>
              <w:t>251</w:t>
            </w:r>
          </w:p>
        </w:tc>
        <w:tc>
          <w:tcPr>
            <w:tcW w:w="1260" w:type="dxa"/>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b/>
                <w:bCs/>
                <w:color w:val="000000"/>
                <w:sz w:val="18"/>
                <w:lang w:eastAsia="it-IT"/>
              </w:rPr>
            </w:pPr>
            <w:r>
              <w:rPr>
                <w:rFonts w:ascii="Calibri" w:eastAsia="Times New Roman" w:hAnsi="Calibri" w:cs="Calibri"/>
                <w:b/>
                <w:bCs/>
                <w:color w:val="000000"/>
                <w:sz w:val="18"/>
                <w:lang w:eastAsia="it-IT"/>
              </w:rPr>
              <w:t>100,0%</w:t>
            </w:r>
          </w:p>
        </w:tc>
      </w:tr>
    </w:tbl>
    <w:p w:rsidR="00242B71" w:rsidRDefault="00242B71" w:rsidP="00242B71">
      <w:pPr>
        <w:jc w:val="both"/>
      </w:pPr>
    </w:p>
    <w:p w:rsidR="00242B71" w:rsidRDefault="00242B71" w:rsidP="00242B71">
      <w:pPr>
        <w:jc w:val="both"/>
      </w:pPr>
      <w:r>
        <w:t xml:space="preserve">Dai dati esposti nelle due tabelle si evince una certa chiusura del settore orafo: infatti, sia i processi di immigrazione che emigrazione dei lavoratori che risultano cessati sono estremamente contenuti. Nell’arco del quinquennio 2011-2015 gli ingressi da settori altri rispetto all’orafo a seguito di una cessazione sono solamente 292, mentre le uscite sono 251 (cfr. </w:t>
      </w:r>
      <w:proofErr w:type="spellStart"/>
      <w:r>
        <w:t>tabb</w:t>
      </w:r>
      <w:proofErr w:type="spellEnd"/>
      <w:r>
        <w:t>. 3 e 4). Entrambe le distribuzioni sono estremamente polverizzate: i settori di provenienza o di destinazione con frequenze associate minori di 10 oscillano fra il 67% e il 70%.</w:t>
      </w:r>
    </w:p>
    <w:p w:rsidR="00242B71" w:rsidRDefault="00242B71" w:rsidP="00242B71">
      <w:pPr>
        <w:jc w:val="both"/>
      </w:pPr>
      <w:r>
        <w:t xml:space="preserve">La correlazione fra il settore orafo e settori </w:t>
      </w:r>
      <w:proofErr w:type="spellStart"/>
      <w:r>
        <w:t>Ateco</w:t>
      </w:r>
      <w:proofErr w:type="spellEnd"/>
      <w:r>
        <w:t xml:space="preserve"> affini è – naturalmente – piuttosto marcata si pensi al posizionamento nelle due tabelle delle voci “Produzione di metalli preziosi” (</w:t>
      </w:r>
      <w:proofErr w:type="spellStart"/>
      <w:r>
        <w:t>Ateco</w:t>
      </w:r>
      <w:proofErr w:type="spellEnd"/>
      <w:r>
        <w:t xml:space="preserve"> ’07 24.41) e – nei processi di emigrazione dal settore orafo – l’ingresso nel settore della “Fabbricazione di bigiotteria e articoli simili” (</w:t>
      </w:r>
      <w:proofErr w:type="spellStart"/>
      <w:r>
        <w:t>Ateco</w:t>
      </w:r>
      <w:proofErr w:type="spellEnd"/>
      <w:r>
        <w:t xml:space="preserve"> ’07 32.13).</w:t>
      </w:r>
    </w:p>
    <w:p w:rsidR="00242B71" w:rsidRDefault="00242B71" w:rsidP="00242B71">
      <w:pPr>
        <w:jc w:val="both"/>
      </w:pPr>
    </w:p>
    <w:p w:rsidR="00242B71" w:rsidRDefault="00242B71" w:rsidP="00242B71">
      <w:pPr>
        <w:jc w:val="both"/>
      </w:pPr>
      <w:r>
        <w:t xml:space="preserve">Significativo risulta anche lo studio delle mansioni svolte dai lavoratori rispettivamente dopo essere usciti dal settore orafo e prima di essere entrati quest’ultimo (cfr. </w:t>
      </w:r>
      <w:proofErr w:type="spellStart"/>
      <w:r>
        <w:t>tabb</w:t>
      </w:r>
      <w:proofErr w:type="spellEnd"/>
      <w:r>
        <w:t>. 5 e 6).</w:t>
      </w:r>
    </w:p>
    <w:p w:rsidR="00242B71" w:rsidRPr="004963A6" w:rsidRDefault="00242B71" w:rsidP="00242B71">
      <w:pPr>
        <w:spacing w:line="240" w:lineRule="auto"/>
        <w:jc w:val="both"/>
        <w:rPr>
          <w:rFonts w:ascii="Calibri" w:eastAsia="Times New Roman" w:hAnsi="Calibri" w:cs="Calibri"/>
          <w:b/>
          <w:bCs/>
          <w:color w:val="000000"/>
          <w:sz w:val="20"/>
          <w:szCs w:val="20"/>
          <w:lang w:eastAsia="it-IT"/>
        </w:rPr>
      </w:pPr>
      <w:r w:rsidRPr="004963A6">
        <w:rPr>
          <w:rFonts w:ascii="Calibri" w:eastAsia="Times New Roman" w:hAnsi="Calibri" w:cs="Calibri"/>
          <w:b/>
          <w:bCs/>
          <w:color w:val="000000"/>
          <w:sz w:val="20"/>
          <w:szCs w:val="20"/>
          <w:lang w:eastAsia="it-IT"/>
        </w:rPr>
        <w:t>Tab.</w:t>
      </w:r>
      <w:r w:rsidR="004963A6" w:rsidRPr="004963A6">
        <w:rPr>
          <w:rFonts w:ascii="Calibri" w:eastAsia="Times New Roman" w:hAnsi="Calibri" w:cs="Calibri"/>
          <w:b/>
          <w:bCs/>
          <w:color w:val="000000"/>
          <w:sz w:val="20"/>
          <w:szCs w:val="20"/>
          <w:lang w:eastAsia="it-IT"/>
        </w:rPr>
        <w:t>3.6</w:t>
      </w:r>
      <w:r w:rsidRPr="004963A6">
        <w:rPr>
          <w:rFonts w:ascii="Calibri" w:eastAsia="Times New Roman" w:hAnsi="Calibri" w:cs="Calibri"/>
          <w:b/>
          <w:bCs/>
          <w:color w:val="000000"/>
          <w:sz w:val="20"/>
          <w:szCs w:val="20"/>
          <w:lang w:eastAsia="it-IT"/>
        </w:rPr>
        <w:t xml:space="preserve"> – Distribuzione delle mansioni svolte dai lavoratori in Altri settori prima dell’avviamento nel settore orafo.</w:t>
      </w:r>
    </w:p>
    <w:tbl>
      <w:tblPr>
        <w:tblW w:w="5000" w:type="pct"/>
        <w:tblCellMar>
          <w:left w:w="70" w:type="dxa"/>
          <w:right w:w="70" w:type="dxa"/>
        </w:tblCellMar>
        <w:tblLook w:val="04A0" w:firstRow="1" w:lastRow="0" w:firstColumn="1" w:lastColumn="0" w:noHBand="0" w:noVBand="1"/>
      </w:tblPr>
      <w:tblGrid>
        <w:gridCol w:w="4663"/>
        <w:gridCol w:w="3713"/>
        <w:gridCol w:w="1252"/>
      </w:tblGrid>
      <w:tr w:rsidR="00242B71" w:rsidTr="00242B71">
        <w:trPr>
          <w:trHeight w:val="119"/>
        </w:trPr>
        <w:tc>
          <w:tcPr>
            <w:tcW w:w="2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242B71" w:rsidRDefault="00242B71">
            <w:pPr>
              <w:spacing w:after="0" w:line="240" w:lineRule="auto"/>
              <w:jc w:val="center"/>
              <w:rPr>
                <w:rFonts w:ascii="Calibri" w:eastAsia="Times New Roman" w:hAnsi="Calibri" w:cs="Calibri"/>
                <w:b/>
                <w:bCs/>
                <w:color w:val="000000"/>
                <w:sz w:val="18"/>
                <w:lang w:eastAsia="it-IT"/>
              </w:rPr>
            </w:pPr>
            <w:r>
              <w:rPr>
                <w:rFonts w:ascii="Calibri" w:eastAsia="Times New Roman" w:hAnsi="Calibri" w:cs="Calibri"/>
                <w:b/>
                <w:bCs/>
                <w:color w:val="000000"/>
                <w:sz w:val="18"/>
                <w:lang w:eastAsia="it-IT"/>
              </w:rPr>
              <w:t>Mansioni</w:t>
            </w:r>
          </w:p>
        </w:tc>
        <w:tc>
          <w:tcPr>
            <w:tcW w:w="1928"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242B71" w:rsidRDefault="00242B71">
            <w:pPr>
              <w:spacing w:after="0" w:line="240" w:lineRule="auto"/>
              <w:jc w:val="center"/>
              <w:rPr>
                <w:rFonts w:ascii="Calibri" w:eastAsia="Times New Roman" w:hAnsi="Calibri" w:cs="Calibri"/>
                <w:b/>
                <w:bCs/>
                <w:color w:val="000000"/>
                <w:sz w:val="18"/>
                <w:lang w:eastAsia="it-IT"/>
              </w:rPr>
            </w:pPr>
            <w:r>
              <w:rPr>
                <w:rFonts w:ascii="Calibri" w:eastAsia="Times New Roman" w:hAnsi="Calibri" w:cs="Calibri"/>
                <w:b/>
                <w:bCs/>
                <w:color w:val="000000"/>
                <w:sz w:val="18"/>
                <w:lang w:eastAsia="it-IT"/>
              </w:rPr>
              <w:t>VA</w:t>
            </w:r>
          </w:p>
        </w:tc>
        <w:tc>
          <w:tcPr>
            <w:tcW w:w="650"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242B71" w:rsidRDefault="00242B71">
            <w:pPr>
              <w:spacing w:after="0" w:line="240" w:lineRule="auto"/>
              <w:jc w:val="center"/>
              <w:rPr>
                <w:rFonts w:ascii="Calibri" w:eastAsia="Times New Roman" w:hAnsi="Calibri" w:cs="Calibri"/>
                <w:b/>
                <w:bCs/>
                <w:color w:val="000000"/>
                <w:sz w:val="18"/>
                <w:lang w:eastAsia="it-IT"/>
              </w:rPr>
            </w:pPr>
            <w:r>
              <w:rPr>
                <w:rFonts w:ascii="Calibri" w:eastAsia="Times New Roman" w:hAnsi="Calibri" w:cs="Calibri"/>
                <w:b/>
                <w:bCs/>
                <w:color w:val="000000"/>
                <w:sz w:val="18"/>
                <w:lang w:eastAsia="it-IT"/>
              </w:rPr>
              <w:t>%</w:t>
            </w:r>
          </w:p>
        </w:tc>
      </w:tr>
      <w:tr w:rsidR="00242B71" w:rsidTr="00242B71">
        <w:trPr>
          <w:trHeight w:val="94"/>
        </w:trPr>
        <w:tc>
          <w:tcPr>
            <w:tcW w:w="2422" w:type="pct"/>
            <w:tcBorders>
              <w:top w:val="nil"/>
              <w:left w:val="single" w:sz="4" w:space="0" w:color="auto"/>
              <w:bottom w:val="single" w:sz="4" w:space="0" w:color="auto"/>
              <w:right w:val="single" w:sz="4" w:space="0" w:color="auto"/>
            </w:tcBorders>
            <w:noWrap/>
            <w:vAlign w:val="bottom"/>
            <w:hideMark/>
          </w:tcPr>
          <w:p w:rsidR="00242B71" w:rsidRDefault="00242B71">
            <w:pPr>
              <w:spacing w:after="0" w:line="240" w:lineRule="auto"/>
              <w:rPr>
                <w:rFonts w:ascii="Calibri" w:eastAsia="Times New Roman" w:hAnsi="Calibri" w:cs="Calibri"/>
                <w:color w:val="000000"/>
                <w:sz w:val="18"/>
                <w:lang w:eastAsia="it-IT"/>
              </w:rPr>
            </w:pPr>
            <w:r>
              <w:rPr>
                <w:rFonts w:ascii="Calibri" w:eastAsia="Times New Roman" w:hAnsi="Calibri" w:cs="Calibri"/>
                <w:color w:val="000000"/>
                <w:sz w:val="18"/>
                <w:lang w:eastAsia="it-IT"/>
              </w:rPr>
              <w:t>Bracciante agricolo</w:t>
            </w:r>
          </w:p>
        </w:tc>
        <w:tc>
          <w:tcPr>
            <w:tcW w:w="1928"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lang w:eastAsia="it-IT"/>
              </w:rPr>
            </w:pPr>
            <w:r>
              <w:rPr>
                <w:rFonts w:ascii="Calibri" w:eastAsia="Times New Roman" w:hAnsi="Calibri" w:cs="Calibri"/>
                <w:color w:val="000000"/>
                <w:sz w:val="18"/>
                <w:lang w:eastAsia="it-IT"/>
              </w:rPr>
              <w:t>31</w:t>
            </w:r>
          </w:p>
        </w:tc>
        <w:tc>
          <w:tcPr>
            <w:tcW w:w="650"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lang w:eastAsia="it-IT"/>
              </w:rPr>
            </w:pPr>
            <w:r>
              <w:rPr>
                <w:rFonts w:ascii="Calibri" w:eastAsia="Times New Roman" w:hAnsi="Calibri" w:cs="Calibri"/>
                <w:color w:val="000000"/>
                <w:sz w:val="18"/>
                <w:lang w:eastAsia="it-IT"/>
              </w:rPr>
              <w:t>10,6%</w:t>
            </w:r>
          </w:p>
        </w:tc>
      </w:tr>
      <w:tr w:rsidR="00242B71" w:rsidTr="00242B71">
        <w:trPr>
          <w:trHeight w:val="213"/>
        </w:trPr>
        <w:tc>
          <w:tcPr>
            <w:tcW w:w="2422" w:type="pct"/>
            <w:tcBorders>
              <w:top w:val="nil"/>
              <w:left w:val="single" w:sz="4" w:space="0" w:color="auto"/>
              <w:bottom w:val="single" w:sz="4" w:space="0" w:color="auto"/>
              <w:right w:val="single" w:sz="4" w:space="0" w:color="auto"/>
            </w:tcBorders>
            <w:noWrap/>
            <w:vAlign w:val="bottom"/>
            <w:hideMark/>
          </w:tcPr>
          <w:p w:rsidR="00242B71" w:rsidRDefault="00242B71">
            <w:pPr>
              <w:spacing w:after="0" w:line="240" w:lineRule="auto"/>
              <w:rPr>
                <w:rFonts w:ascii="Calibri" w:eastAsia="Times New Roman" w:hAnsi="Calibri" w:cs="Calibri"/>
                <w:color w:val="000000"/>
                <w:sz w:val="18"/>
                <w:lang w:eastAsia="it-IT"/>
              </w:rPr>
            </w:pPr>
            <w:r>
              <w:rPr>
                <w:rFonts w:ascii="Calibri" w:eastAsia="Times New Roman" w:hAnsi="Calibri" w:cs="Calibri"/>
                <w:color w:val="000000"/>
                <w:sz w:val="18"/>
                <w:lang w:eastAsia="it-IT"/>
              </w:rPr>
              <w:t>Telefonista addetto ai Call Center per l'informazione</w:t>
            </w:r>
          </w:p>
        </w:tc>
        <w:tc>
          <w:tcPr>
            <w:tcW w:w="1928"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lang w:eastAsia="it-IT"/>
              </w:rPr>
            </w:pPr>
            <w:r>
              <w:rPr>
                <w:rFonts w:ascii="Calibri" w:eastAsia="Times New Roman" w:hAnsi="Calibri" w:cs="Calibri"/>
                <w:color w:val="000000"/>
                <w:sz w:val="18"/>
                <w:lang w:eastAsia="it-IT"/>
              </w:rPr>
              <w:t>17</w:t>
            </w:r>
          </w:p>
        </w:tc>
        <w:tc>
          <w:tcPr>
            <w:tcW w:w="650"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lang w:eastAsia="it-IT"/>
              </w:rPr>
            </w:pPr>
            <w:r>
              <w:rPr>
                <w:rFonts w:ascii="Calibri" w:eastAsia="Times New Roman" w:hAnsi="Calibri" w:cs="Calibri"/>
                <w:color w:val="000000"/>
                <w:sz w:val="18"/>
                <w:lang w:eastAsia="it-IT"/>
              </w:rPr>
              <w:t>5,8%</w:t>
            </w:r>
          </w:p>
        </w:tc>
      </w:tr>
      <w:tr w:rsidR="00242B71" w:rsidTr="00242B71">
        <w:trPr>
          <w:trHeight w:val="174"/>
        </w:trPr>
        <w:tc>
          <w:tcPr>
            <w:tcW w:w="2422" w:type="pct"/>
            <w:tcBorders>
              <w:top w:val="nil"/>
              <w:left w:val="single" w:sz="4" w:space="0" w:color="auto"/>
              <w:bottom w:val="single" w:sz="4" w:space="0" w:color="auto"/>
              <w:right w:val="single" w:sz="4" w:space="0" w:color="auto"/>
            </w:tcBorders>
            <w:noWrap/>
            <w:vAlign w:val="bottom"/>
            <w:hideMark/>
          </w:tcPr>
          <w:p w:rsidR="00242B71" w:rsidRDefault="00242B71">
            <w:pPr>
              <w:spacing w:after="0" w:line="240" w:lineRule="auto"/>
              <w:rPr>
                <w:rFonts w:ascii="Calibri" w:eastAsia="Times New Roman" w:hAnsi="Calibri" w:cs="Calibri"/>
                <w:color w:val="000000"/>
                <w:sz w:val="18"/>
                <w:lang w:eastAsia="it-IT"/>
              </w:rPr>
            </w:pPr>
            <w:r>
              <w:rPr>
                <w:rFonts w:ascii="Calibri" w:eastAsia="Times New Roman" w:hAnsi="Calibri" w:cs="Calibri"/>
                <w:color w:val="000000"/>
                <w:sz w:val="18"/>
                <w:lang w:eastAsia="it-IT"/>
              </w:rPr>
              <w:t>Montatore di oreficeria</w:t>
            </w:r>
          </w:p>
        </w:tc>
        <w:tc>
          <w:tcPr>
            <w:tcW w:w="1928"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lang w:eastAsia="it-IT"/>
              </w:rPr>
            </w:pPr>
            <w:r>
              <w:rPr>
                <w:rFonts w:ascii="Calibri" w:eastAsia="Times New Roman" w:hAnsi="Calibri" w:cs="Calibri"/>
                <w:color w:val="000000"/>
                <w:sz w:val="18"/>
                <w:lang w:eastAsia="it-IT"/>
              </w:rPr>
              <w:t>13</w:t>
            </w:r>
          </w:p>
        </w:tc>
        <w:tc>
          <w:tcPr>
            <w:tcW w:w="650"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lang w:eastAsia="it-IT"/>
              </w:rPr>
            </w:pPr>
            <w:r>
              <w:rPr>
                <w:rFonts w:ascii="Calibri" w:eastAsia="Times New Roman" w:hAnsi="Calibri" w:cs="Calibri"/>
                <w:color w:val="000000"/>
                <w:sz w:val="18"/>
                <w:lang w:eastAsia="it-IT"/>
              </w:rPr>
              <w:t>4,5%</w:t>
            </w:r>
          </w:p>
        </w:tc>
      </w:tr>
      <w:tr w:rsidR="00242B71" w:rsidTr="00242B71">
        <w:trPr>
          <w:trHeight w:val="151"/>
        </w:trPr>
        <w:tc>
          <w:tcPr>
            <w:tcW w:w="2422" w:type="pct"/>
            <w:tcBorders>
              <w:top w:val="nil"/>
              <w:left w:val="single" w:sz="4" w:space="0" w:color="auto"/>
              <w:bottom w:val="single" w:sz="4" w:space="0" w:color="auto"/>
              <w:right w:val="single" w:sz="4" w:space="0" w:color="auto"/>
            </w:tcBorders>
            <w:noWrap/>
            <w:vAlign w:val="bottom"/>
            <w:hideMark/>
          </w:tcPr>
          <w:p w:rsidR="00242B71" w:rsidRDefault="00242B71">
            <w:pPr>
              <w:spacing w:after="0" w:line="240" w:lineRule="auto"/>
              <w:rPr>
                <w:rFonts w:ascii="Calibri" w:eastAsia="Times New Roman" w:hAnsi="Calibri" w:cs="Calibri"/>
                <w:color w:val="000000"/>
                <w:sz w:val="18"/>
                <w:lang w:eastAsia="it-IT"/>
              </w:rPr>
            </w:pPr>
            <w:proofErr w:type="spellStart"/>
            <w:r>
              <w:rPr>
                <w:rFonts w:ascii="Calibri" w:eastAsia="Times New Roman" w:hAnsi="Calibri" w:cs="Calibri"/>
                <w:color w:val="000000"/>
                <w:sz w:val="18"/>
                <w:lang w:eastAsia="it-IT"/>
              </w:rPr>
              <w:t>Missing</w:t>
            </w:r>
            <w:proofErr w:type="spellEnd"/>
          </w:p>
        </w:tc>
        <w:tc>
          <w:tcPr>
            <w:tcW w:w="1928"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lang w:eastAsia="it-IT"/>
              </w:rPr>
            </w:pPr>
            <w:r>
              <w:rPr>
                <w:rFonts w:ascii="Calibri" w:eastAsia="Times New Roman" w:hAnsi="Calibri" w:cs="Calibri"/>
                <w:color w:val="000000"/>
                <w:sz w:val="18"/>
                <w:lang w:eastAsia="it-IT"/>
              </w:rPr>
              <w:t>11</w:t>
            </w:r>
          </w:p>
        </w:tc>
        <w:tc>
          <w:tcPr>
            <w:tcW w:w="650"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lang w:eastAsia="it-IT"/>
              </w:rPr>
            </w:pPr>
            <w:r>
              <w:rPr>
                <w:rFonts w:ascii="Calibri" w:eastAsia="Times New Roman" w:hAnsi="Calibri" w:cs="Calibri"/>
                <w:color w:val="000000"/>
                <w:sz w:val="18"/>
                <w:lang w:eastAsia="it-IT"/>
              </w:rPr>
              <w:t>3,8%</w:t>
            </w:r>
          </w:p>
        </w:tc>
      </w:tr>
      <w:tr w:rsidR="00242B71" w:rsidTr="00242B71">
        <w:trPr>
          <w:trHeight w:val="71"/>
        </w:trPr>
        <w:tc>
          <w:tcPr>
            <w:tcW w:w="2422" w:type="pct"/>
            <w:tcBorders>
              <w:top w:val="nil"/>
              <w:left w:val="single" w:sz="4" w:space="0" w:color="auto"/>
              <w:bottom w:val="single" w:sz="4" w:space="0" w:color="auto"/>
              <w:right w:val="single" w:sz="4" w:space="0" w:color="auto"/>
            </w:tcBorders>
            <w:noWrap/>
            <w:vAlign w:val="bottom"/>
            <w:hideMark/>
          </w:tcPr>
          <w:p w:rsidR="00242B71" w:rsidRDefault="00242B71">
            <w:pPr>
              <w:spacing w:after="0" w:line="240" w:lineRule="auto"/>
              <w:rPr>
                <w:rFonts w:ascii="Calibri" w:eastAsia="Times New Roman" w:hAnsi="Calibri" w:cs="Calibri"/>
                <w:color w:val="000000"/>
                <w:sz w:val="18"/>
                <w:lang w:eastAsia="it-IT"/>
              </w:rPr>
            </w:pPr>
            <w:r>
              <w:rPr>
                <w:rFonts w:ascii="Calibri" w:eastAsia="Times New Roman" w:hAnsi="Calibri" w:cs="Calibri"/>
                <w:color w:val="000000"/>
                <w:sz w:val="18"/>
                <w:lang w:eastAsia="it-IT"/>
              </w:rPr>
              <w:t>Altro (</w:t>
            </w:r>
            <w:proofErr w:type="spellStart"/>
            <w:r>
              <w:rPr>
                <w:rFonts w:ascii="Calibri" w:eastAsia="Times New Roman" w:hAnsi="Calibri" w:cs="Calibri"/>
                <w:color w:val="000000"/>
                <w:sz w:val="18"/>
                <w:lang w:eastAsia="it-IT"/>
              </w:rPr>
              <w:t>freq</w:t>
            </w:r>
            <w:proofErr w:type="spellEnd"/>
            <w:r>
              <w:rPr>
                <w:rFonts w:ascii="Calibri" w:eastAsia="Times New Roman" w:hAnsi="Calibri" w:cs="Calibri"/>
                <w:color w:val="000000"/>
                <w:sz w:val="18"/>
                <w:lang w:eastAsia="it-IT"/>
              </w:rPr>
              <w:t>. Inferiori a 10)</w:t>
            </w:r>
          </w:p>
        </w:tc>
        <w:tc>
          <w:tcPr>
            <w:tcW w:w="1928"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lang w:eastAsia="it-IT"/>
              </w:rPr>
            </w:pPr>
            <w:r>
              <w:rPr>
                <w:rFonts w:ascii="Calibri" w:eastAsia="Times New Roman" w:hAnsi="Calibri" w:cs="Calibri"/>
                <w:color w:val="000000"/>
                <w:sz w:val="18"/>
                <w:lang w:eastAsia="it-IT"/>
              </w:rPr>
              <w:t>220</w:t>
            </w:r>
          </w:p>
        </w:tc>
        <w:tc>
          <w:tcPr>
            <w:tcW w:w="650"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lang w:eastAsia="it-IT"/>
              </w:rPr>
            </w:pPr>
            <w:r>
              <w:rPr>
                <w:rFonts w:ascii="Calibri" w:eastAsia="Times New Roman" w:hAnsi="Calibri" w:cs="Calibri"/>
                <w:color w:val="000000"/>
                <w:sz w:val="18"/>
                <w:lang w:eastAsia="it-IT"/>
              </w:rPr>
              <w:t>75,3%</w:t>
            </w:r>
          </w:p>
        </w:tc>
      </w:tr>
      <w:tr w:rsidR="00242B71" w:rsidTr="00242B71">
        <w:trPr>
          <w:trHeight w:val="224"/>
        </w:trPr>
        <w:tc>
          <w:tcPr>
            <w:tcW w:w="2422" w:type="pct"/>
            <w:tcBorders>
              <w:top w:val="nil"/>
              <w:left w:val="single" w:sz="4" w:space="0" w:color="auto"/>
              <w:bottom w:val="single" w:sz="4" w:space="0" w:color="auto"/>
              <w:right w:val="single" w:sz="4" w:space="0" w:color="auto"/>
            </w:tcBorders>
            <w:shd w:val="clear" w:color="auto" w:fill="FFFFFF" w:themeFill="background1"/>
            <w:noWrap/>
            <w:vAlign w:val="bottom"/>
            <w:hideMark/>
          </w:tcPr>
          <w:p w:rsidR="00242B71" w:rsidRDefault="00242B71">
            <w:pPr>
              <w:spacing w:after="0" w:line="240" w:lineRule="auto"/>
              <w:rPr>
                <w:rFonts w:ascii="Calibri" w:eastAsia="Times New Roman" w:hAnsi="Calibri" w:cs="Calibri"/>
                <w:b/>
                <w:bCs/>
                <w:color w:val="000000"/>
                <w:sz w:val="18"/>
                <w:lang w:eastAsia="it-IT"/>
              </w:rPr>
            </w:pPr>
            <w:r>
              <w:rPr>
                <w:rFonts w:ascii="Calibri" w:eastAsia="Times New Roman" w:hAnsi="Calibri" w:cs="Calibri"/>
                <w:b/>
                <w:bCs/>
                <w:color w:val="000000"/>
                <w:sz w:val="18"/>
                <w:lang w:eastAsia="it-IT"/>
              </w:rPr>
              <w:t xml:space="preserve"> Totale </w:t>
            </w:r>
          </w:p>
        </w:tc>
        <w:tc>
          <w:tcPr>
            <w:tcW w:w="1928" w:type="pct"/>
            <w:tcBorders>
              <w:top w:val="nil"/>
              <w:left w:val="nil"/>
              <w:bottom w:val="single" w:sz="4" w:space="0" w:color="auto"/>
              <w:right w:val="single" w:sz="4" w:space="0" w:color="auto"/>
            </w:tcBorders>
            <w:shd w:val="clear" w:color="auto" w:fill="FFFFFF" w:themeFill="background1"/>
            <w:noWrap/>
            <w:vAlign w:val="bottom"/>
            <w:hideMark/>
          </w:tcPr>
          <w:p w:rsidR="00242B71" w:rsidRDefault="00242B71">
            <w:pPr>
              <w:spacing w:after="0" w:line="240" w:lineRule="auto"/>
              <w:jc w:val="right"/>
              <w:rPr>
                <w:rFonts w:ascii="Calibri" w:eastAsia="Times New Roman" w:hAnsi="Calibri" w:cs="Calibri"/>
                <w:b/>
                <w:bCs/>
                <w:color w:val="000000"/>
                <w:sz w:val="18"/>
                <w:lang w:eastAsia="it-IT"/>
              </w:rPr>
            </w:pPr>
            <w:r>
              <w:rPr>
                <w:rFonts w:ascii="Calibri" w:eastAsia="Times New Roman" w:hAnsi="Calibri" w:cs="Calibri"/>
                <w:b/>
                <w:bCs/>
                <w:color w:val="000000"/>
                <w:sz w:val="18"/>
                <w:lang w:eastAsia="it-IT"/>
              </w:rPr>
              <w:t>292</w:t>
            </w:r>
          </w:p>
        </w:tc>
        <w:tc>
          <w:tcPr>
            <w:tcW w:w="650" w:type="pct"/>
            <w:tcBorders>
              <w:top w:val="nil"/>
              <w:left w:val="nil"/>
              <w:bottom w:val="single" w:sz="4" w:space="0" w:color="auto"/>
              <w:right w:val="single" w:sz="4" w:space="0" w:color="auto"/>
            </w:tcBorders>
            <w:shd w:val="clear" w:color="auto" w:fill="FFFFFF" w:themeFill="background1"/>
            <w:noWrap/>
            <w:vAlign w:val="bottom"/>
            <w:hideMark/>
          </w:tcPr>
          <w:p w:rsidR="00242B71" w:rsidRDefault="00242B71">
            <w:pPr>
              <w:spacing w:after="0" w:line="240" w:lineRule="auto"/>
              <w:jc w:val="right"/>
              <w:rPr>
                <w:rFonts w:ascii="Calibri" w:eastAsia="Times New Roman" w:hAnsi="Calibri" w:cs="Calibri"/>
                <w:b/>
                <w:bCs/>
                <w:color w:val="000000"/>
                <w:sz w:val="18"/>
                <w:lang w:eastAsia="it-IT"/>
              </w:rPr>
            </w:pPr>
            <w:r>
              <w:rPr>
                <w:rFonts w:ascii="Calibri" w:eastAsia="Times New Roman" w:hAnsi="Calibri" w:cs="Calibri"/>
                <w:b/>
                <w:bCs/>
                <w:color w:val="000000"/>
                <w:sz w:val="18"/>
                <w:lang w:eastAsia="it-IT"/>
              </w:rPr>
              <w:t>100,0%</w:t>
            </w:r>
          </w:p>
        </w:tc>
      </w:tr>
    </w:tbl>
    <w:p w:rsidR="00242B71" w:rsidRDefault="00242B71" w:rsidP="00242B71">
      <w:pPr>
        <w:jc w:val="both"/>
      </w:pPr>
    </w:p>
    <w:p w:rsidR="00242B71" w:rsidRDefault="00242B71" w:rsidP="00242B71">
      <w:pPr>
        <w:jc w:val="both"/>
      </w:pPr>
      <w:r>
        <w:t>I dati esposti nella tabella precedente mostrano (tranne nel caso della mansione “Montatore di oreficeria</w:t>
      </w:r>
      <w:r w:rsidR="002F3F0C">
        <w:rPr>
          <w:rStyle w:val="Rimandonotaapidipagina"/>
        </w:rPr>
        <w:footnoteReference w:id="17"/>
      </w:r>
      <w:r>
        <w:t xml:space="preserve">” (4,5%) la prevalenza di profili con un basso livello di specializzazione: si tratta di soggetti che pur entrando nel settore orafo non vanno a svolgere attività di </w:t>
      </w:r>
      <w:r>
        <w:rPr>
          <w:i/>
        </w:rPr>
        <w:t>line</w:t>
      </w:r>
      <w:r>
        <w:t xml:space="preserve">, ma sono chiamati a svolgere compiti che hanno a che fare con le attività di </w:t>
      </w:r>
      <w:r>
        <w:rPr>
          <w:i/>
        </w:rPr>
        <w:t>Staff</w:t>
      </w:r>
      <w:r>
        <w:t xml:space="preserve"> (impiegati, magazzinieri, contabili, addetti alle pulizie, etc.).</w:t>
      </w:r>
    </w:p>
    <w:p w:rsidR="00242B71" w:rsidRPr="004963A6" w:rsidRDefault="004963A6" w:rsidP="00242B71">
      <w:pPr>
        <w:spacing w:line="240" w:lineRule="auto"/>
        <w:jc w:val="both"/>
        <w:rPr>
          <w:rFonts w:ascii="Calibri" w:eastAsia="Times New Roman" w:hAnsi="Calibri" w:cs="Calibri"/>
          <w:b/>
          <w:bCs/>
          <w:color w:val="000000"/>
          <w:sz w:val="20"/>
          <w:szCs w:val="20"/>
          <w:lang w:eastAsia="it-IT"/>
        </w:rPr>
      </w:pPr>
      <w:r>
        <w:rPr>
          <w:rFonts w:ascii="Calibri" w:eastAsia="Times New Roman" w:hAnsi="Calibri" w:cs="Calibri"/>
          <w:b/>
          <w:bCs/>
          <w:color w:val="000000"/>
          <w:sz w:val="20"/>
          <w:szCs w:val="20"/>
          <w:lang w:eastAsia="it-IT"/>
        </w:rPr>
        <w:t>Tab.3.7</w:t>
      </w:r>
      <w:r w:rsidR="00242B71" w:rsidRPr="004963A6">
        <w:rPr>
          <w:rFonts w:ascii="Calibri" w:eastAsia="Times New Roman" w:hAnsi="Calibri" w:cs="Calibri"/>
          <w:b/>
          <w:bCs/>
          <w:color w:val="000000"/>
          <w:sz w:val="20"/>
          <w:szCs w:val="20"/>
          <w:lang w:eastAsia="it-IT"/>
        </w:rPr>
        <w:t xml:space="preserve"> – Distribuzione delle mansioni svolte dai lavoratori in Altri settori dopo una cessazione nel settore orafo.</w:t>
      </w:r>
    </w:p>
    <w:tbl>
      <w:tblPr>
        <w:tblW w:w="9626" w:type="dxa"/>
        <w:tblCellMar>
          <w:left w:w="70" w:type="dxa"/>
          <w:right w:w="70" w:type="dxa"/>
        </w:tblCellMar>
        <w:tblLook w:val="04A0" w:firstRow="1" w:lastRow="0" w:firstColumn="1" w:lastColumn="0" w:noHBand="0" w:noVBand="1"/>
      </w:tblPr>
      <w:tblGrid>
        <w:gridCol w:w="4811"/>
        <w:gridCol w:w="3639"/>
        <w:gridCol w:w="1176"/>
      </w:tblGrid>
      <w:tr w:rsidR="00242B71" w:rsidTr="00242B71">
        <w:trPr>
          <w:trHeight w:val="99"/>
        </w:trPr>
        <w:tc>
          <w:tcPr>
            <w:tcW w:w="481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242B71" w:rsidRDefault="00242B71">
            <w:pPr>
              <w:spacing w:after="0" w:line="240" w:lineRule="auto"/>
              <w:jc w:val="center"/>
              <w:rPr>
                <w:rFonts w:ascii="Calibri" w:eastAsia="Times New Roman" w:hAnsi="Calibri" w:cs="Calibri"/>
                <w:b/>
                <w:color w:val="000000"/>
                <w:sz w:val="18"/>
                <w:szCs w:val="18"/>
                <w:lang w:eastAsia="it-IT"/>
              </w:rPr>
            </w:pPr>
            <w:r>
              <w:rPr>
                <w:rFonts w:ascii="Calibri" w:eastAsia="Times New Roman" w:hAnsi="Calibri" w:cs="Calibri"/>
                <w:b/>
                <w:color w:val="000000"/>
                <w:sz w:val="18"/>
                <w:szCs w:val="18"/>
                <w:lang w:eastAsia="it-IT"/>
              </w:rPr>
              <w:t>Mansioni</w:t>
            </w:r>
          </w:p>
        </w:tc>
        <w:tc>
          <w:tcPr>
            <w:tcW w:w="3639"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242B71" w:rsidRDefault="00242B71">
            <w:pPr>
              <w:spacing w:after="0" w:line="240" w:lineRule="auto"/>
              <w:jc w:val="center"/>
              <w:rPr>
                <w:rFonts w:ascii="Calibri" w:eastAsia="Times New Roman" w:hAnsi="Calibri" w:cs="Calibri"/>
                <w:b/>
                <w:color w:val="000000"/>
                <w:sz w:val="18"/>
                <w:szCs w:val="18"/>
                <w:lang w:eastAsia="it-IT"/>
              </w:rPr>
            </w:pPr>
            <w:r>
              <w:rPr>
                <w:rFonts w:ascii="Calibri" w:eastAsia="Times New Roman" w:hAnsi="Calibri" w:cs="Calibri"/>
                <w:b/>
                <w:color w:val="000000"/>
                <w:sz w:val="18"/>
                <w:szCs w:val="18"/>
                <w:lang w:eastAsia="it-IT"/>
              </w:rPr>
              <w:t>VA</w:t>
            </w:r>
          </w:p>
        </w:tc>
        <w:tc>
          <w:tcPr>
            <w:tcW w:w="117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242B71" w:rsidRDefault="00242B71">
            <w:pPr>
              <w:spacing w:after="0" w:line="240" w:lineRule="auto"/>
              <w:jc w:val="center"/>
              <w:rPr>
                <w:rFonts w:ascii="Calibri" w:eastAsia="Times New Roman" w:hAnsi="Calibri" w:cs="Calibri"/>
                <w:b/>
                <w:color w:val="000000"/>
                <w:sz w:val="18"/>
                <w:szCs w:val="18"/>
                <w:lang w:eastAsia="it-IT"/>
              </w:rPr>
            </w:pPr>
            <w:r>
              <w:rPr>
                <w:rFonts w:ascii="Calibri" w:eastAsia="Times New Roman" w:hAnsi="Calibri" w:cs="Calibri"/>
                <w:b/>
                <w:color w:val="000000"/>
                <w:sz w:val="18"/>
                <w:szCs w:val="18"/>
                <w:lang w:eastAsia="it-IT"/>
              </w:rPr>
              <w:t>%</w:t>
            </w:r>
          </w:p>
        </w:tc>
      </w:tr>
      <w:tr w:rsidR="00242B71" w:rsidTr="00242B71">
        <w:trPr>
          <w:trHeight w:val="110"/>
        </w:trPr>
        <w:tc>
          <w:tcPr>
            <w:tcW w:w="4811" w:type="dxa"/>
            <w:tcBorders>
              <w:top w:val="nil"/>
              <w:left w:val="single" w:sz="4" w:space="0" w:color="auto"/>
              <w:bottom w:val="single" w:sz="4" w:space="0" w:color="auto"/>
              <w:right w:val="single" w:sz="4" w:space="0" w:color="auto"/>
            </w:tcBorders>
            <w:noWrap/>
            <w:vAlign w:val="bottom"/>
            <w:hideMark/>
          </w:tcPr>
          <w:p w:rsidR="00242B71" w:rsidRDefault="00242B71">
            <w:pPr>
              <w:spacing w:after="0" w:line="240" w:lineRule="auto"/>
              <w:rPr>
                <w:rFonts w:ascii="Calibri" w:eastAsia="Times New Roman" w:hAnsi="Calibri" w:cs="Calibri"/>
                <w:color w:val="000000"/>
                <w:sz w:val="18"/>
                <w:lang w:eastAsia="it-IT"/>
              </w:rPr>
            </w:pPr>
            <w:r>
              <w:rPr>
                <w:rFonts w:ascii="Calibri" w:eastAsia="Times New Roman" w:hAnsi="Calibri" w:cs="Calibri"/>
                <w:color w:val="000000"/>
                <w:sz w:val="18"/>
                <w:lang w:eastAsia="it-IT"/>
              </w:rPr>
              <w:t>Bracciante agricolo</w:t>
            </w:r>
          </w:p>
        </w:tc>
        <w:tc>
          <w:tcPr>
            <w:tcW w:w="3639" w:type="dxa"/>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lang w:eastAsia="it-IT"/>
              </w:rPr>
            </w:pPr>
            <w:r>
              <w:rPr>
                <w:rFonts w:ascii="Calibri" w:eastAsia="Times New Roman" w:hAnsi="Calibri" w:cs="Calibri"/>
                <w:color w:val="000000"/>
                <w:sz w:val="18"/>
                <w:lang w:eastAsia="it-IT"/>
              </w:rPr>
              <w:t>31</w:t>
            </w:r>
          </w:p>
        </w:tc>
        <w:tc>
          <w:tcPr>
            <w:tcW w:w="1176" w:type="dxa"/>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lang w:eastAsia="it-IT"/>
              </w:rPr>
            </w:pPr>
            <w:r>
              <w:rPr>
                <w:rFonts w:ascii="Calibri" w:eastAsia="Times New Roman" w:hAnsi="Calibri" w:cs="Calibri"/>
                <w:color w:val="000000"/>
                <w:sz w:val="18"/>
                <w:lang w:eastAsia="it-IT"/>
              </w:rPr>
              <w:t>12,4%</w:t>
            </w:r>
          </w:p>
        </w:tc>
      </w:tr>
      <w:tr w:rsidR="00242B71" w:rsidTr="00242B71">
        <w:trPr>
          <w:trHeight w:val="171"/>
        </w:trPr>
        <w:tc>
          <w:tcPr>
            <w:tcW w:w="4811" w:type="dxa"/>
            <w:tcBorders>
              <w:top w:val="nil"/>
              <w:left w:val="single" w:sz="4" w:space="0" w:color="auto"/>
              <w:bottom w:val="single" w:sz="4" w:space="0" w:color="auto"/>
              <w:right w:val="single" w:sz="4" w:space="0" w:color="auto"/>
            </w:tcBorders>
            <w:noWrap/>
            <w:vAlign w:val="bottom"/>
            <w:hideMark/>
          </w:tcPr>
          <w:p w:rsidR="00242B71" w:rsidRDefault="00242B71">
            <w:pPr>
              <w:spacing w:after="0" w:line="240" w:lineRule="auto"/>
              <w:rPr>
                <w:rFonts w:ascii="Calibri" w:eastAsia="Times New Roman" w:hAnsi="Calibri" w:cs="Calibri"/>
                <w:color w:val="000000"/>
                <w:sz w:val="18"/>
                <w:lang w:eastAsia="it-IT"/>
              </w:rPr>
            </w:pPr>
            <w:r>
              <w:rPr>
                <w:rFonts w:ascii="Calibri" w:eastAsia="Times New Roman" w:hAnsi="Calibri" w:cs="Calibri"/>
                <w:color w:val="000000"/>
                <w:sz w:val="18"/>
                <w:lang w:eastAsia="it-IT"/>
              </w:rPr>
              <w:t>Colf</w:t>
            </w:r>
          </w:p>
        </w:tc>
        <w:tc>
          <w:tcPr>
            <w:tcW w:w="3639" w:type="dxa"/>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lang w:eastAsia="it-IT"/>
              </w:rPr>
            </w:pPr>
            <w:r>
              <w:rPr>
                <w:rFonts w:ascii="Calibri" w:eastAsia="Times New Roman" w:hAnsi="Calibri" w:cs="Calibri"/>
                <w:color w:val="000000"/>
                <w:sz w:val="18"/>
                <w:lang w:eastAsia="it-IT"/>
              </w:rPr>
              <w:t>11</w:t>
            </w:r>
          </w:p>
        </w:tc>
        <w:tc>
          <w:tcPr>
            <w:tcW w:w="1176" w:type="dxa"/>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lang w:eastAsia="it-IT"/>
              </w:rPr>
            </w:pPr>
            <w:r>
              <w:rPr>
                <w:rFonts w:ascii="Calibri" w:eastAsia="Times New Roman" w:hAnsi="Calibri" w:cs="Calibri"/>
                <w:color w:val="000000"/>
                <w:sz w:val="18"/>
                <w:lang w:eastAsia="it-IT"/>
              </w:rPr>
              <w:t>4,4%</w:t>
            </w:r>
          </w:p>
        </w:tc>
      </w:tr>
      <w:tr w:rsidR="00242B71" w:rsidTr="00242B71">
        <w:trPr>
          <w:trHeight w:val="74"/>
        </w:trPr>
        <w:tc>
          <w:tcPr>
            <w:tcW w:w="4811" w:type="dxa"/>
            <w:tcBorders>
              <w:top w:val="nil"/>
              <w:left w:val="single" w:sz="4" w:space="0" w:color="auto"/>
              <w:bottom w:val="single" w:sz="4" w:space="0" w:color="auto"/>
              <w:right w:val="single" w:sz="4" w:space="0" w:color="auto"/>
            </w:tcBorders>
            <w:noWrap/>
            <w:vAlign w:val="bottom"/>
            <w:hideMark/>
          </w:tcPr>
          <w:p w:rsidR="00242B71" w:rsidRDefault="00242B71">
            <w:pPr>
              <w:spacing w:after="0" w:line="240" w:lineRule="auto"/>
              <w:rPr>
                <w:rFonts w:ascii="Calibri" w:eastAsia="Times New Roman" w:hAnsi="Calibri" w:cs="Calibri"/>
                <w:color w:val="000000"/>
                <w:sz w:val="18"/>
                <w:lang w:eastAsia="it-IT"/>
              </w:rPr>
            </w:pPr>
            <w:r>
              <w:rPr>
                <w:rFonts w:ascii="Calibri" w:eastAsia="Times New Roman" w:hAnsi="Calibri" w:cs="Calibri"/>
                <w:color w:val="000000"/>
                <w:sz w:val="18"/>
                <w:lang w:eastAsia="it-IT"/>
              </w:rPr>
              <w:t>Montatore di oreficeria</w:t>
            </w:r>
          </w:p>
        </w:tc>
        <w:tc>
          <w:tcPr>
            <w:tcW w:w="3639" w:type="dxa"/>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lang w:eastAsia="it-IT"/>
              </w:rPr>
            </w:pPr>
            <w:r>
              <w:rPr>
                <w:rFonts w:ascii="Calibri" w:eastAsia="Times New Roman" w:hAnsi="Calibri" w:cs="Calibri"/>
                <w:color w:val="000000"/>
                <w:sz w:val="18"/>
                <w:lang w:eastAsia="it-IT"/>
              </w:rPr>
              <w:t>11</w:t>
            </w:r>
          </w:p>
        </w:tc>
        <w:tc>
          <w:tcPr>
            <w:tcW w:w="1176" w:type="dxa"/>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lang w:eastAsia="it-IT"/>
              </w:rPr>
            </w:pPr>
            <w:r>
              <w:rPr>
                <w:rFonts w:ascii="Calibri" w:eastAsia="Times New Roman" w:hAnsi="Calibri" w:cs="Calibri"/>
                <w:color w:val="000000"/>
                <w:sz w:val="18"/>
                <w:lang w:eastAsia="it-IT"/>
              </w:rPr>
              <w:t>4,4%</w:t>
            </w:r>
          </w:p>
        </w:tc>
      </w:tr>
      <w:tr w:rsidR="00242B71" w:rsidTr="00242B71">
        <w:trPr>
          <w:trHeight w:val="134"/>
        </w:trPr>
        <w:tc>
          <w:tcPr>
            <w:tcW w:w="4811" w:type="dxa"/>
            <w:tcBorders>
              <w:top w:val="nil"/>
              <w:left w:val="single" w:sz="4" w:space="0" w:color="auto"/>
              <w:bottom w:val="single" w:sz="4" w:space="0" w:color="auto"/>
              <w:right w:val="single" w:sz="4" w:space="0" w:color="auto"/>
            </w:tcBorders>
            <w:noWrap/>
            <w:vAlign w:val="bottom"/>
            <w:hideMark/>
          </w:tcPr>
          <w:p w:rsidR="00242B71" w:rsidRDefault="00242B71">
            <w:pPr>
              <w:spacing w:after="0" w:line="240" w:lineRule="auto"/>
              <w:rPr>
                <w:rFonts w:ascii="Calibri" w:eastAsia="Times New Roman" w:hAnsi="Calibri" w:cs="Calibri"/>
                <w:color w:val="000000"/>
                <w:sz w:val="18"/>
                <w:lang w:eastAsia="it-IT"/>
              </w:rPr>
            </w:pPr>
            <w:r>
              <w:rPr>
                <w:rFonts w:ascii="Calibri" w:eastAsia="Times New Roman" w:hAnsi="Calibri" w:cs="Calibri"/>
                <w:color w:val="000000"/>
                <w:sz w:val="18"/>
                <w:lang w:eastAsia="it-IT"/>
              </w:rPr>
              <w:t>Altro (</w:t>
            </w:r>
            <w:proofErr w:type="spellStart"/>
            <w:r>
              <w:rPr>
                <w:rFonts w:ascii="Calibri" w:eastAsia="Times New Roman" w:hAnsi="Calibri" w:cs="Calibri"/>
                <w:color w:val="000000"/>
                <w:sz w:val="18"/>
                <w:lang w:eastAsia="it-IT"/>
              </w:rPr>
              <w:t>freq</w:t>
            </w:r>
            <w:proofErr w:type="spellEnd"/>
            <w:r>
              <w:rPr>
                <w:rFonts w:ascii="Calibri" w:eastAsia="Times New Roman" w:hAnsi="Calibri" w:cs="Calibri"/>
                <w:color w:val="000000"/>
                <w:sz w:val="18"/>
                <w:lang w:eastAsia="it-IT"/>
              </w:rPr>
              <w:t>. Inferiori a 10)</w:t>
            </w:r>
          </w:p>
        </w:tc>
        <w:tc>
          <w:tcPr>
            <w:tcW w:w="3639" w:type="dxa"/>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lang w:eastAsia="it-IT"/>
              </w:rPr>
            </w:pPr>
            <w:r>
              <w:rPr>
                <w:rFonts w:ascii="Calibri" w:eastAsia="Times New Roman" w:hAnsi="Calibri" w:cs="Calibri"/>
                <w:color w:val="000000"/>
                <w:sz w:val="18"/>
                <w:lang w:eastAsia="it-IT"/>
              </w:rPr>
              <w:t>198</w:t>
            </w:r>
          </w:p>
        </w:tc>
        <w:tc>
          <w:tcPr>
            <w:tcW w:w="1176" w:type="dxa"/>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lang w:eastAsia="it-IT"/>
              </w:rPr>
            </w:pPr>
            <w:r>
              <w:rPr>
                <w:rFonts w:ascii="Calibri" w:eastAsia="Times New Roman" w:hAnsi="Calibri" w:cs="Calibri"/>
                <w:color w:val="000000"/>
                <w:sz w:val="18"/>
                <w:lang w:eastAsia="it-IT"/>
              </w:rPr>
              <w:t>78,9%</w:t>
            </w:r>
          </w:p>
        </w:tc>
      </w:tr>
      <w:tr w:rsidR="00242B71" w:rsidTr="00242B71">
        <w:trPr>
          <w:trHeight w:val="194"/>
        </w:trPr>
        <w:tc>
          <w:tcPr>
            <w:tcW w:w="4811" w:type="dxa"/>
            <w:tcBorders>
              <w:top w:val="nil"/>
              <w:left w:val="single" w:sz="4" w:space="0" w:color="auto"/>
              <w:bottom w:val="single" w:sz="4" w:space="0" w:color="auto"/>
              <w:right w:val="single" w:sz="4" w:space="0" w:color="auto"/>
            </w:tcBorders>
            <w:noWrap/>
            <w:vAlign w:val="bottom"/>
            <w:hideMark/>
          </w:tcPr>
          <w:p w:rsidR="00242B71" w:rsidRDefault="00242B71">
            <w:pPr>
              <w:spacing w:after="0" w:line="240" w:lineRule="auto"/>
              <w:rPr>
                <w:rFonts w:ascii="Calibri" w:eastAsia="Times New Roman" w:hAnsi="Calibri" w:cs="Calibri"/>
                <w:b/>
                <w:bCs/>
                <w:color w:val="000000"/>
                <w:sz w:val="18"/>
                <w:lang w:eastAsia="it-IT"/>
              </w:rPr>
            </w:pPr>
            <w:r>
              <w:rPr>
                <w:rFonts w:ascii="Calibri" w:eastAsia="Times New Roman" w:hAnsi="Calibri" w:cs="Calibri"/>
                <w:b/>
                <w:bCs/>
                <w:color w:val="000000"/>
                <w:sz w:val="18"/>
                <w:lang w:eastAsia="it-IT"/>
              </w:rPr>
              <w:t>Totale</w:t>
            </w:r>
          </w:p>
        </w:tc>
        <w:tc>
          <w:tcPr>
            <w:tcW w:w="3639" w:type="dxa"/>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b/>
                <w:bCs/>
                <w:color w:val="000000"/>
                <w:sz w:val="18"/>
                <w:lang w:eastAsia="it-IT"/>
              </w:rPr>
            </w:pPr>
            <w:r>
              <w:rPr>
                <w:rFonts w:ascii="Calibri" w:eastAsia="Times New Roman" w:hAnsi="Calibri" w:cs="Calibri"/>
                <w:b/>
                <w:bCs/>
                <w:color w:val="000000"/>
                <w:sz w:val="18"/>
                <w:lang w:eastAsia="it-IT"/>
              </w:rPr>
              <w:t>251</w:t>
            </w:r>
          </w:p>
        </w:tc>
        <w:tc>
          <w:tcPr>
            <w:tcW w:w="1176" w:type="dxa"/>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lang w:eastAsia="it-IT"/>
              </w:rPr>
            </w:pPr>
            <w:r>
              <w:rPr>
                <w:rFonts w:ascii="Calibri" w:eastAsia="Times New Roman" w:hAnsi="Calibri" w:cs="Calibri"/>
                <w:color w:val="000000"/>
                <w:sz w:val="18"/>
                <w:lang w:eastAsia="it-IT"/>
              </w:rPr>
              <w:t>100,0%</w:t>
            </w:r>
          </w:p>
        </w:tc>
      </w:tr>
    </w:tbl>
    <w:p w:rsidR="00242B71" w:rsidRDefault="00242B71" w:rsidP="00242B71">
      <w:pPr>
        <w:jc w:val="both"/>
      </w:pPr>
    </w:p>
    <w:p w:rsidR="00242B71" w:rsidRDefault="00242B71" w:rsidP="00242B71">
      <w:pPr>
        <w:jc w:val="both"/>
      </w:pPr>
      <w:r>
        <w:t xml:space="preserve">Come per le immigrazioni nel settore orafo, le emigrazioni vedono i lavoratori impegnati solo in minima parte in mansioni coerenti con il settore di provenienza (vedi “montatore di oreficeria” 4,4%). La maggior parte di essi, infatti, va a svolgere attività non coerenti con le attività </w:t>
      </w:r>
      <w:r>
        <w:rPr>
          <w:i/>
        </w:rPr>
        <w:t>core</w:t>
      </w:r>
      <w:r>
        <w:t xml:space="preserve"> riconducibili alle lavorazioni orafe, oppure viene impiegata in attività aziendali di </w:t>
      </w:r>
      <w:r>
        <w:rPr>
          <w:i/>
        </w:rPr>
        <w:t>Staff</w:t>
      </w:r>
      <w:r>
        <w:t xml:space="preserve"> (amministrazione, contabilità, etc.).</w:t>
      </w:r>
    </w:p>
    <w:p w:rsidR="00242B71" w:rsidRDefault="00242B71" w:rsidP="00242B71"/>
    <w:p w:rsidR="00FF3EB8" w:rsidRDefault="00FF3EB8" w:rsidP="00FF3EB8">
      <w:pPr>
        <w:jc w:val="both"/>
      </w:pPr>
      <w:r>
        <w:t>Nel complesso, sugli oltre 6mila avviamenti verificatisi negli anni 2011-2015, solo il 4,7% risulta successivo ad una cessazione, nello stesso periodo, verificatasi in altri settori della stessa provincia, mentre solo il 4% delle cessazioni nel settore orafo è seguito, nello stesso periodo, da un avviamento in altro settore della provincia di Arezzo. Se ne deduce complessivamente, come si è già notato, una scarsa mobilità inter-settoriale, a favore di percorsi lavorativi interni al settore orafo locale.</w:t>
      </w:r>
    </w:p>
    <w:p w:rsidR="00FF3EB8" w:rsidRDefault="00FF3EB8" w:rsidP="00242B71"/>
    <w:p w:rsidR="00242B71" w:rsidRDefault="00946AD8" w:rsidP="00242B71">
      <w:pPr>
        <w:pStyle w:val="Titolo2"/>
      </w:pPr>
      <w:r>
        <w:t xml:space="preserve">3.5 </w:t>
      </w:r>
      <w:r w:rsidR="00242B71">
        <w:t>Lavoro energetico e cognitivo</w:t>
      </w:r>
    </w:p>
    <w:p w:rsidR="00242B71" w:rsidRDefault="00242B71" w:rsidP="00242B71"/>
    <w:p w:rsidR="00242B71" w:rsidRDefault="00242B71" w:rsidP="00242B71">
      <w:r>
        <w:t>Al fine di comprendere come si evolvano le professioni nell’ambito del settore orafo aretino può risultare utile introdurre i concetti di lavoro energetico e cognitivo</w:t>
      </w:r>
      <w:r>
        <w:rPr>
          <w:rStyle w:val="Rimandonotaapidipagina"/>
        </w:rPr>
        <w:footnoteReference w:id="18"/>
      </w:r>
      <w:r>
        <w:t>.</w:t>
      </w:r>
    </w:p>
    <w:p w:rsidR="00242B71" w:rsidRDefault="00242B71" w:rsidP="00242B71">
      <w:pPr>
        <w:jc w:val="both"/>
      </w:pPr>
      <w:r>
        <w:t xml:space="preserve">Da un punto di vista teorico, il </w:t>
      </w:r>
      <w:r>
        <w:rPr>
          <w:i/>
        </w:rPr>
        <w:t>lavoro cognitivo</w:t>
      </w:r>
      <w:r>
        <w:t xml:space="preserve"> consiste in ogni forma di lavoro che produce conoscenza. </w:t>
      </w:r>
    </w:p>
    <w:p w:rsidR="00242B71" w:rsidRDefault="00242B71" w:rsidP="00242B71">
      <w:pPr>
        <w:jc w:val="both"/>
      </w:pPr>
      <w:r>
        <w:t xml:space="preserve">Quest’ultima può essere impiegata sia per generare significati sia per avviare trasformazioni materiali effettuate da macchine o da energia artificiale. Il concetto di lavoro cognitivo si contrappone a quello di </w:t>
      </w:r>
      <w:r w:rsidR="00946AD8">
        <w:t xml:space="preserve">lavoro manuale, o </w:t>
      </w:r>
      <w:r>
        <w:rPr>
          <w:i/>
        </w:rPr>
        <w:t>lavoro energetico</w:t>
      </w:r>
      <w:r>
        <w:t>, che impiega la forza muscolare per modificare i materiali</w:t>
      </w:r>
      <w:r>
        <w:rPr>
          <w:rStyle w:val="Rimandonotaapidipagina"/>
        </w:rPr>
        <w:footnoteReference w:id="19"/>
      </w:r>
      <w:r>
        <w:t>.</w:t>
      </w:r>
    </w:p>
    <w:p w:rsidR="00242B71" w:rsidRDefault="00242B71" w:rsidP="00242B71">
      <w:pPr>
        <w:jc w:val="both"/>
      </w:pPr>
      <w:r>
        <w:t xml:space="preserve">Nella modernità può essere utile distinguere tra due sotto-tipi di lavoro cognitivo: quello </w:t>
      </w:r>
      <w:r>
        <w:rPr>
          <w:i/>
        </w:rPr>
        <w:t>generativo</w:t>
      </w:r>
      <w:r>
        <w:t xml:space="preserve"> che produce conoscenza codificata riproducibile e il lavoro cognitivo </w:t>
      </w:r>
      <w:r>
        <w:rPr>
          <w:i/>
        </w:rPr>
        <w:t>replicativo</w:t>
      </w:r>
      <w:r>
        <w:t>:</w:t>
      </w:r>
    </w:p>
    <w:p w:rsidR="00242B71" w:rsidRDefault="00242B71" w:rsidP="00242B71">
      <w:pPr>
        <w:pStyle w:val="Paragrafoelenco"/>
        <w:numPr>
          <w:ilvl w:val="0"/>
          <w:numId w:val="7"/>
        </w:numPr>
        <w:spacing w:line="256" w:lineRule="auto"/>
        <w:jc w:val="both"/>
      </w:pPr>
      <w:r>
        <w:t xml:space="preserve">Il lavoro cognitivo </w:t>
      </w:r>
      <w:r>
        <w:rPr>
          <w:i/>
        </w:rPr>
        <w:t>generativo</w:t>
      </w:r>
      <w:r>
        <w:t xml:space="preserve"> è il più pregiato, poiché elabora “le istruzioni” che permettono al lavoro energetico di effettuare le trasformazioni materiali;</w:t>
      </w:r>
    </w:p>
    <w:p w:rsidR="00242B71" w:rsidRDefault="00242B71" w:rsidP="00242B71">
      <w:pPr>
        <w:pStyle w:val="Paragrafoelenco"/>
        <w:numPr>
          <w:ilvl w:val="0"/>
          <w:numId w:val="7"/>
        </w:numPr>
        <w:spacing w:line="256" w:lineRule="auto"/>
        <w:jc w:val="both"/>
      </w:pPr>
      <w:r>
        <w:t xml:space="preserve">Il lavoro cognitivo </w:t>
      </w:r>
      <w:r>
        <w:rPr>
          <w:i/>
        </w:rPr>
        <w:t>replicativo</w:t>
      </w:r>
      <w:r>
        <w:t>, invece, consta in un lavoro intellettuale meramente esecutivo. A differenza del lavoro cognitivo generativo, quello replicativo è totalmente sostituibile da altro lavoro “astratto” che esegue le stesse operazioni.</w:t>
      </w:r>
    </w:p>
    <w:p w:rsidR="00242B71" w:rsidRDefault="00242B71" w:rsidP="00242B71">
      <w:pPr>
        <w:jc w:val="both"/>
      </w:pPr>
      <w:r>
        <w:t xml:space="preserve">Al lavoro cognitivo si affianca il lavoro energetico, il quale – se incorpora conoscenze tacite (perché legate alle caratteristiche intrinseche di chi lo esegue o al contesto) – diviene anch’esso difficilmente replicabile. </w:t>
      </w:r>
    </w:p>
    <w:p w:rsidR="00242B71" w:rsidRDefault="00242B71" w:rsidP="00242B71">
      <w:pPr>
        <w:jc w:val="both"/>
      </w:pPr>
      <w:r>
        <w:t xml:space="preserve">In termini operativi, abbiamo analizzato gli avviamenti del quinquennio 2011-2015 con riferimento alle mansioni attribuite ai lavoratori. Queste ultime sono state suddivise in tre grandi </w:t>
      </w:r>
      <w:proofErr w:type="spellStart"/>
      <w:r>
        <w:t>macrocategorie</w:t>
      </w:r>
      <w:proofErr w:type="spellEnd"/>
      <w:r>
        <w:t>:</w:t>
      </w:r>
    </w:p>
    <w:p w:rsidR="00242B71" w:rsidRDefault="00242B71" w:rsidP="00242B71">
      <w:pPr>
        <w:pStyle w:val="Paragrafoelenco"/>
        <w:numPr>
          <w:ilvl w:val="0"/>
          <w:numId w:val="7"/>
        </w:numPr>
        <w:spacing w:line="256" w:lineRule="auto"/>
        <w:jc w:val="both"/>
      </w:pPr>
      <w:r>
        <w:t>Le mansioni energetiche (E);</w:t>
      </w:r>
    </w:p>
    <w:p w:rsidR="00242B71" w:rsidRDefault="00242B71" w:rsidP="00242B71">
      <w:pPr>
        <w:pStyle w:val="Paragrafoelenco"/>
        <w:numPr>
          <w:ilvl w:val="0"/>
          <w:numId w:val="7"/>
        </w:numPr>
        <w:spacing w:line="256" w:lineRule="auto"/>
        <w:jc w:val="both"/>
      </w:pPr>
      <w:r>
        <w:t>Le mansioni cognitive generative (C/G);</w:t>
      </w:r>
    </w:p>
    <w:p w:rsidR="00242B71" w:rsidRDefault="00242B71" w:rsidP="00242B71">
      <w:pPr>
        <w:pStyle w:val="Paragrafoelenco"/>
        <w:numPr>
          <w:ilvl w:val="0"/>
          <w:numId w:val="7"/>
        </w:numPr>
        <w:spacing w:line="256" w:lineRule="auto"/>
        <w:jc w:val="both"/>
      </w:pPr>
      <w:r>
        <w:t>Le mansioni cognitive replicative (C/R).</w:t>
      </w:r>
    </w:p>
    <w:p w:rsidR="00242B71" w:rsidRDefault="00242B71" w:rsidP="00242B71">
      <w:pPr>
        <w:jc w:val="both"/>
      </w:pPr>
      <w:r>
        <w:t xml:space="preserve">Nella tabella seguente sono riportati i valori assoluti degli avviamenti e le </w:t>
      </w:r>
      <w:r>
        <w:rPr>
          <w:i/>
        </w:rPr>
        <w:t>teste</w:t>
      </w:r>
      <w:r>
        <w:rPr>
          <w:rStyle w:val="Rimandonotaapidipagina"/>
        </w:rPr>
        <w:footnoteReference w:id="20"/>
      </w:r>
      <w:r>
        <w:t xml:space="preserve"> distribuite a seconda della </w:t>
      </w:r>
      <w:proofErr w:type="spellStart"/>
      <w:r>
        <w:t>macrocategoria</w:t>
      </w:r>
      <w:proofErr w:type="spellEnd"/>
      <w:r>
        <w:t xml:space="preserve"> (di cui sopra) a cui è stata ricondotta la mansione.</w:t>
      </w:r>
    </w:p>
    <w:p w:rsidR="00242B71" w:rsidRPr="004963A6" w:rsidRDefault="00242B71" w:rsidP="00242B71">
      <w:pPr>
        <w:spacing w:line="240" w:lineRule="auto"/>
        <w:jc w:val="both"/>
        <w:rPr>
          <w:b/>
          <w:sz w:val="20"/>
          <w:szCs w:val="20"/>
        </w:rPr>
      </w:pPr>
      <w:r w:rsidRPr="004963A6">
        <w:rPr>
          <w:rFonts w:ascii="Calibri" w:eastAsia="Times New Roman" w:hAnsi="Calibri" w:cs="Calibri"/>
          <w:b/>
          <w:bCs/>
          <w:color w:val="000000"/>
          <w:sz w:val="20"/>
          <w:szCs w:val="20"/>
          <w:lang w:eastAsia="it-IT"/>
        </w:rPr>
        <w:t xml:space="preserve"> Tab.</w:t>
      </w:r>
      <w:r w:rsidR="004963A6" w:rsidRPr="004963A6">
        <w:rPr>
          <w:rFonts w:ascii="Calibri" w:eastAsia="Times New Roman" w:hAnsi="Calibri" w:cs="Calibri"/>
          <w:b/>
          <w:bCs/>
          <w:color w:val="000000"/>
          <w:sz w:val="20"/>
          <w:szCs w:val="20"/>
          <w:lang w:eastAsia="it-IT"/>
        </w:rPr>
        <w:t>3.8</w:t>
      </w:r>
      <w:r w:rsidRPr="004963A6">
        <w:rPr>
          <w:rFonts w:ascii="Calibri" w:eastAsia="Times New Roman" w:hAnsi="Calibri" w:cs="Calibri"/>
          <w:b/>
          <w:bCs/>
          <w:color w:val="000000"/>
          <w:sz w:val="20"/>
          <w:szCs w:val="20"/>
          <w:lang w:eastAsia="it-IT"/>
        </w:rPr>
        <w:t xml:space="preserve"> – Distribuzione delle mansioni svolte dai lavoratori in base alle </w:t>
      </w:r>
      <w:proofErr w:type="spellStart"/>
      <w:r w:rsidRPr="004963A6">
        <w:rPr>
          <w:rFonts w:ascii="Calibri" w:eastAsia="Times New Roman" w:hAnsi="Calibri" w:cs="Calibri"/>
          <w:b/>
          <w:bCs/>
          <w:color w:val="000000"/>
          <w:sz w:val="20"/>
          <w:szCs w:val="20"/>
          <w:lang w:eastAsia="it-IT"/>
        </w:rPr>
        <w:t>macrocategorie</w:t>
      </w:r>
      <w:proofErr w:type="spellEnd"/>
      <w:r w:rsidRPr="004963A6">
        <w:rPr>
          <w:rFonts w:ascii="Calibri" w:eastAsia="Times New Roman" w:hAnsi="Calibri" w:cs="Calibri"/>
          <w:b/>
          <w:bCs/>
          <w:color w:val="000000"/>
          <w:sz w:val="20"/>
          <w:szCs w:val="20"/>
          <w:lang w:eastAsia="it-IT"/>
        </w:rPr>
        <w:t xml:space="preserve"> energetica, cognitivo-generativo, cognitivo-replicativo (avviamenti e </w:t>
      </w:r>
      <w:r w:rsidRPr="004963A6">
        <w:rPr>
          <w:rFonts w:ascii="Calibri" w:eastAsia="Times New Roman" w:hAnsi="Calibri" w:cs="Calibri"/>
          <w:b/>
          <w:bCs/>
          <w:i/>
          <w:color w:val="000000"/>
          <w:sz w:val="20"/>
          <w:szCs w:val="20"/>
          <w:lang w:eastAsia="it-IT"/>
        </w:rPr>
        <w:t>teste</w:t>
      </w:r>
      <w:r w:rsidRPr="004963A6">
        <w:rPr>
          <w:rFonts w:ascii="Calibri" w:eastAsia="Times New Roman" w:hAnsi="Calibri" w:cs="Calibri"/>
          <w:b/>
          <w:bCs/>
          <w:color w:val="000000"/>
          <w:sz w:val="20"/>
          <w:szCs w:val="20"/>
          <w:lang w:eastAsia="it-IT"/>
        </w:rPr>
        <w:t>).</w:t>
      </w:r>
    </w:p>
    <w:tbl>
      <w:tblPr>
        <w:tblW w:w="5000" w:type="pct"/>
        <w:tblCellMar>
          <w:left w:w="70" w:type="dxa"/>
          <w:right w:w="70" w:type="dxa"/>
        </w:tblCellMar>
        <w:tblLook w:val="04A0" w:firstRow="1" w:lastRow="0" w:firstColumn="1" w:lastColumn="0" w:noHBand="0" w:noVBand="1"/>
      </w:tblPr>
      <w:tblGrid>
        <w:gridCol w:w="1239"/>
        <w:gridCol w:w="661"/>
        <w:gridCol w:w="712"/>
        <w:gridCol w:w="661"/>
        <w:gridCol w:w="712"/>
        <w:gridCol w:w="661"/>
        <w:gridCol w:w="712"/>
        <w:gridCol w:w="661"/>
        <w:gridCol w:w="712"/>
        <w:gridCol w:w="661"/>
        <w:gridCol w:w="712"/>
        <w:gridCol w:w="737"/>
        <w:gridCol w:w="787"/>
      </w:tblGrid>
      <w:tr w:rsidR="00242B71" w:rsidTr="00242B71">
        <w:trPr>
          <w:trHeight w:val="300"/>
        </w:trPr>
        <w:tc>
          <w:tcPr>
            <w:tcW w:w="622"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242B71" w:rsidRDefault="00242B71">
            <w:pPr>
              <w:spacing w:after="0" w:line="240" w:lineRule="auto"/>
              <w:jc w:val="center"/>
              <w:rPr>
                <w:rFonts w:ascii="Calibri" w:eastAsia="Times New Roman" w:hAnsi="Calibri" w:cs="Calibri"/>
                <w:b/>
                <w:color w:val="000000"/>
                <w:sz w:val="18"/>
                <w:szCs w:val="18"/>
                <w:lang w:eastAsia="it-IT"/>
              </w:rPr>
            </w:pPr>
            <w:r>
              <w:rPr>
                <w:rFonts w:ascii="Calibri" w:eastAsia="Times New Roman" w:hAnsi="Calibri" w:cs="Calibri"/>
                <w:b/>
                <w:color w:val="000000"/>
                <w:sz w:val="18"/>
                <w:szCs w:val="18"/>
                <w:lang w:eastAsia="it-IT"/>
              </w:rPr>
              <w:t>Macro-</w:t>
            </w:r>
            <w:proofErr w:type="spellStart"/>
            <w:r>
              <w:rPr>
                <w:rFonts w:ascii="Calibri" w:eastAsia="Times New Roman" w:hAnsi="Calibri" w:cs="Calibri"/>
                <w:b/>
                <w:color w:val="000000"/>
                <w:sz w:val="18"/>
                <w:szCs w:val="18"/>
                <w:lang w:eastAsia="it-IT"/>
              </w:rPr>
              <w:t>cat</w:t>
            </w:r>
            <w:proofErr w:type="spellEnd"/>
            <w:r>
              <w:rPr>
                <w:rFonts w:ascii="Calibri" w:eastAsia="Times New Roman" w:hAnsi="Calibri" w:cs="Calibri"/>
                <w:b/>
                <w:color w:val="000000"/>
                <w:sz w:val="18"/>
                <w:szCs w:val="18"/>
                <w:lang w:eastAsia="it-IT"/>
              </w:rPr>
              <w:t>. Mansioni</w:t>
            </w:r>
          </w:p>
        </w:tc>
        <w:tc>
          <w:tcPr>
            <w:tcW w:w="343"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242B71" w:rsidRDefault="00242B71">
            <w:pPr>
              <w:spacing w:after="0" w:line="240" w:lineRule="auto"/>
              <w:jc w:val="center"/>
              <w:rPr>
                <w:rFonts w:ascii="Calibri" w:eastAsia="Times New Roman" w:hAnsi="Calibri" w:cs="Calibri"/>
                <w:b/>
                <w:color w:val="000000"/>
                <w:sz w:val="18"/>
                <w:szCs w:val="18"/>
                <w:lang w:eastAsia="it-IT"/>
              </w:rPr>
            </w:pPr>
            <w:r>
              <w:rPr>
                <w:rFonts w:ascii="Calibri" w:eastAsia="Times New Roman" w:hAnsi="Calibri" w:cs="Calibri"/>
                <w:b/>
                <w:color w:val="000000"/>
                <w:sz w:val="18"/>
                <w:szCs w:val="18"/>
                <w:lang w:eastAsia="it-IT"/>
              </w:rPr>
              <w:t>Avv. 2015</w:t>
            </w:r>
          </w:p>
        </w:tc>
        <w:tc>
          <w:tcPr>
            <w:tcW w:w="375"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242B71" w:rsidRDefault="00242B71">
            <w:pPr>
              <w:spacing w:after="0" w:line="240" w:lineRule="auto"/>
              <w:jc w:val="center"/>
              <w:rPr>
                <w:rFonts w:ascii="Calibri" w:eastAsia="Times New Roman" w:hAnsi="Calibri" w:cs="Calibri"/>
                <w:b/>
                <w:color w:val="000000"/>
                <w:sz w:val="18"/>
                <w:szCs w:val="18"/>
                <w:lang w:eastAsia="it-IT"/>
              </w:rPr>
            </w:pPr>
            <w:r>
              <w:rPr>
                <w:rFonts w:ascii="Calibri" w:eastAsia="Times New Roman" w:hAnsi="Calibri" w:cs="Calibri"/>
                <w:b/>
                <w:i/>
                <w:color w:val="000000"/>
                <w:sz w:val="18"/>
                <w:szCs w:val="18"/>
                <w:lang w:eastAsia="it-IT"/>
              </w:rPr>
              <w:t>Teste</w:t>
            </w:r>
            <w:r>
              <w:rPr>
                <w:rFonts w:ascii="Calibri" w:eastAsia="Times New Roman" w:hAnsi="Calibri" w:cs="Calibri"/>
                <w:b/>
                <w:color w:val="000000"/>
                <w:sz w:val="18"/>
                <w:szCs w:val="18"/>
                <w:lang w:eastAsia="it-IT"/>
              </w:rPr>
              <w:t xml:space="preserve"> 2015</w:t>
            </w:r>
          </w:p>
        </w:tc>
        <w:tc>
          <w:tcPr>
            <w:tcW w:w="343"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242B71" w:rsidRDefault="00242B71">
            <w:pPr>
              <w:spacing w:after="0" w:line="240" w:lineRule="auto"/>
              <w:jc w:val="center"/>
              <w:rPr>
                <w:rFonts w:ascii="Calibri" w:eastAsia="Times New Roman" w:hAnsi="Calibri" w:cs="Calibri"/>
                <w:b/>
                <w:color w:val="000000"/>
                <w:sz w:val="18"/>
                <w:szCs w:val="18"/>
                <w:lang w:eastAsia="it-IT"/>
              </w:rPr>
            </w:pPr>
            <w:r>
              <w:rPr>
                <w:rFonts w:ascii="Calibri" w:eastAsia="Times New Roman" w:hAnsi="Calibri" w:cs="Calibri"/>
                <w:b/>
                <w:color w:val="000000"/>
                <w:sz w:val="18"/>
                <w:szCs w:val="18"/>
                <w:lang w:eastAsia="it-IT"/>
              </w:rPr>
              <w:t>Avv. 2014</w:t>
            </w:r>
          </w:p>
        </w:tc>
        <w:tc>
          <w:tcPr>
            <w:tcW w:w="375"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242B71" w:rsidRDefault="00242B71">
            <w:pPr>
              <w:spacing w:after="0" w:line="240" w:lineRule="auto"/>
              <w:jc w:val="center"/>
              <w:rPr>
                <w:rFonts w:ascii="Calibri" w:eastAsia="Times New Roman" w:hAnsi="Calibri" w:cs="Calibri"/>
                <w:b/>
                <w:color w:val="000000"/>
                <w:sz w:val="18"/>
                <w:szCs w:val="18"/>
                <w:lang w:eastAsia="it-IT"/>
              </w:rPr>
            </w:pPr>
            <w:r>
              <w:rPr>
                <w:rFonts w:ascii="Calibri" w:eastAsia="Times New Roman" w:hAnsi="Calibri" w:cs="Calibri"/>
                <w:b/>
                <w:i/>
                <w:color w:val="000000"/>
                <w:sz w:val="18"/>
                <w:szCs w:val="18"/>
                <w:lang w:eastAsia="it-IT"/>
              </w:rPr>
              <w:t>Teste</w:t>
            </w:r>
            <w:r>
              <w:rPr>
                <w:rFonts w:ascii="Calibri" w:eastAsia="Times New Roman" w:hAnsi="Calibri" w:cs="Calibri"/>
                <w:b/>
                <w:color w:val="000000"/>
                <w:sz w:val="18"/>
                <w:szCs w:val="18"/>
                <w:lang w:eastAsia="it-IT"/>
              </w:rPr>
              <w:t xml:space="preserve"> 2014</w:t>
            </w:r>
          </w:p>
        </w:tc>
        <w:tc>
          <w:tcPr>
            <w:tcW w:w="343"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242B71" w:rsidRDefault="00242B71">
            <w:pPr>
              <w:spacing w:after="0" w:line="240" w:lineRule="auto"/>
              <w:jc w:val="center"/>
              <w:rPr>
                <w:rFonts w:ascii="Calibri" w:eastAsia="Times New Roman" w:hAnsi="Calibri" w:cs="Calibri"/>
                <w:b/>
                <w:color w:val="000000"/>
                <w:sz w:val="18"/>
                <w:szCs w:val="18"/>
                <w:lang w:eastAsia="it-IT"/>
              </w:rPr>
            </w:pPr>
            <w:r>
              <w:rPr>
                <w:rFonts w:ascii="Calibri" w:eastAsia="Times New Roman" w:hAnsi="Calibri" w:cs="Calibri"/>
                <w:b/>
                <w:color w:val="000000"/>
                <w:sz w:val="18"/>
                <w:szCs w:val="18"/>
                <w:lang w:eastAsia="it-IT"/>
              </w:rPr>
              <w:t>Avv. 2013</w:t>
            </w:r>
          </w:p>
        </w:tc>
        <w:tc>
          <w:tcPr>
            <w:tcW w:w="375"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242B71" w:rsidRDefault="00242B71">
            <w:pPr>
              <w:spacing w:after="0" w:line="240" w:lineRule="auto"/>
              <w:jc w:val="center"/>
              <w:rPr>
                <w:rFonts w:ascii="Calibri" w:eastAsia="Times New Roman" w:hAnsi="Calibri" w:cs="Calibri"/>
                <w:b/>
                <w:color w:val="000000"/>
                <w:sz w:val="18"/>
                <w:szCs w:val="18"/>
                <w:lang w:eastAsia="it-IT"/>
              </w:rPr>
            </w:pPr>
            <w:r>
              <w:rPr>
                <w:rFonts w:ascii="Calibri" w:eastAsia="Times New Roman" w:hAnsi="Calibri" w:cs="Calibri"/>
                <w:b/>
                <w:i/>
                <w:color w:val="000000"/>
                <w:sz w:val="18"/>
                <w:szCs w:val="18"/>
                <w:lang w:eastAsia="it-IT"/>
              </w:rPr>
              <w:t>Teste</w:t>
            </w:r>
            <w:r>
              <w:rPr>
                <w:rFonts w:ascii="Calibri" w:eastAsia="Times New Roman" w:hAnsi="Calibri" w:cs="Calibri"/>
                <w:b/>
                <w:color w:val="000000"/>
                <w:sz w:val="18"/>
                <w:szCs w:val="18"/>
                <w:lang w:eastAsia="it-IT"/>
              </w:rPr>
              <w:t xml:space="preserve"> 2013</w:t>
            </w:r>
          </w:p>
        </w:tc>
        <w:tc>
          <w:tcPr>
            <w:tcW w:w="343"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242B71" w:rsidRDefault="00242B71">
            <w:pPr>
              <w:spacing w:after="0" w:line="240" w:lineRule="auto"/>
              <w:jc w:val="center"/>
              <w:rPr>
                <w:rFonts w:ascii="Calibri" w:eastAsia="Times New Roman" w:hAnsi="Calibri" w:cs="Calibri"/>
                <w:b/>
                <w:color w:val="000000"/>
                <w:sz w:val="18"/>
                <w:szCs w:val="18"/>
                <w:lang w:eastAsia="it-IT"/>
              </w:rPr>
            </w:pPr>
            <w:r>
              <w:rPr>
                <w:rFonts w:ascii="Calibri" w:eastAsia="Times New Roman" w:hAnsi="Calibri" w:cs="Calibri"/>
                <w:b/>
                <w:color w:val="000000"/>
                <w:sz w:val="18"/>
                <w:szCs w:val="18"/>
                <w:lang w:eastAsia="it-IT"/>
              </w:rPr>
              <w:t>Avv. 2012</w:t>
            </w:r>
          </w:p>
        </w:tc>
        <w:tc>
          <w:tcPr>
            <w:tcW w:w="375"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242B71" w:rsidRDefault="00242B71">
            <w:pPr>
              <w:spacing w:after="0" w:line="240" w:lineRule="auto"/>
              <w:jc w:val="center"/>
              <w:rPr>
                <w:rFonts w:ascii="Calibri" w:eastAsia="Times New Roman" w:hAnsi="Calibri" w:cs="Calibri"/>
                <w:b/>
                <w:color w:val="000000"/>
                <w:sz w:val="18"/>
                <w:szCs w:val="18"/>
                <w:lang w:eastAsia="it-IT"/>
              </w:rPr>
            </w:pPr>
            <w:r>
              <w:rPr>
                <w:rFonts w:ascii="Calibri" w:eastAsia="Times New Roman" w:hAnsi="Calibri" w:cs="Calibri"/>
                <w:b/>
                <w:i/>
                <w:color w:val="000000"/>
                <w:sz w:val="18"/>
                <w:szCs w:val="18"/>
                <w:lang w:eastAsia="it-IT"/>
              </w:rPr>
              <w:t>Teste</w:t>
            </w:r>
            <w:r>
              <w:rPr>
                <w:rFonts w:ascii="Calibri" w:eastAsia="Times New Roman" w:hAnsi="Calibri" w:cs="Calibri"/>
                <w:b/>
                <w:color w:val="000000"/>
                <w:sz w:val="18"/>
                <w:szCs w:val="18"/>
                <w:lang w:eastAsia="it-IT"/>
              </w:rPr>
              <w:t xml:space="preserve"> 2012</w:t>
            </w:r>
          </w:p>
        </w:tc>
        <w:tc>
          <w:tcPr>
            <w:tcW w:w="343"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242B71" w:rsidRDefault="00242B71">
            <w:pPr>
              <w:spacing w:after="0" w:line="240" w:lineRule="auto"/>
              <w:jc w:val="center"/>
              <w:rPr>
                <w:rFonts w:ascii="Calibri" w:eastAsia="Times New Roman" w:hAnsi="Calibri" w:cs="Calibri"/>
                <w:b/>
                <w:color w:val="000000"/>
                <w:sz w:val="18"/>
                <w:szCs w:val="18"/>
                <w:lang w:eastAsia="it-IT"/>
              </w:rPr>
            </w:pPr>
            <w:r>
              <w:rPr>
                <w:rFonts w:ascii="Calibri" w:eastAsia="Times New Roman" w:hAnsi="Calibri" w:cs="Calibri"/>
                <w:b/>
                <w:color w:val="000000"/>
                <w:sz w:val="18"/>
                <w:szCs w:val="18"/>
                <w:lang w:eastAsia="it-IT"/>
              </w:rPr>
              <w:t>Avv. 2011</w:t>
            </w:r>
          </w:p>
        </w:tc>
        <w:tc>
          <w:tcPr>
            <w:tcW w:w="375"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242B71" w:rsidRDefault="00242B71">
            <w:pPr>
              <w:spacing w:after="0" w:line="240" w:lineRule="auto"/>
              <w:jc w:val="center"/>
              <w:rPr>
                <w:rFonts w:ascii="Calibri" w:eastAsia="Times New Roman" w:hAnsi="Calibri" w:cs="Calibri"/>
                <w:b/>
                <w:color w:val="000000"/>
                <w:sz w:val="18"/>
                <w:szCs w:val="18"/>
                <w:lang w:eastAsia="it-IT"/>
              </w:rPr>
            </w:pPr>
            <w:r>
              <w:rPr>
                <w:rFonts w:ascii="Calibri" w:eastAsia="Times New Roman" w:hAnsi="Calibri" w:cs="Calibri"/>
                <w:b/>
                <w:i/>
                <w:color w:val="000000"/>
                <w:sz w:val="18"/>
                <w:szCs w:val="18"/>
                <w:lang w:eastAsia="it-IT"/>
              </w:rPr>
              <w:t>Teste</w:t>
            </w:r>
            <w:r>
              <w:rPr>
                <w:rFonts w:ascii="Calibri" w:eastAsia="Times New Roman" w:hAnsi="Calibri" w:cs="Calibri"/>
                <w:b/>
                <w:color w:val="000000"/>
                <w:sz w:val="18"/>
                <w:szCs w:val="18"/>
                <w:lang w:eastAsia="it-IT"/>
              </w:rPr>
              <w:t xml:space="preserve"> 2011</w:t>
            </w:r>
          </w:p>
        </w:tc>
        <w:tc>
          <w:tcPr>
            <w:tcW w:w="379"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242B71" w:rsidRDefault="00242B71">
            <w:pPr>
              <w:spacing w:after="0" w:line="240" w:lineRule="auto"/>
              <w:jc w:val="center"/>
              <w:rPr>
                <w:rFonts w:ascii="Calibri" w:eastAsia="Times New Roman" w:hAnsi="Calibri" w:cs="Calibri"/>
                <w:b/>
                <w:color w:val="000000"/>
                <w:sz w:val="18"/>
                <w:szCs w:val="18"/>
                <w:lang w:eastAsia="it-IT"/>
              </w:rPr>
            </w:pPr>
            <w:r>
              <w:rPr>
                <w:rFonts w:ascii="Calibri" w:eastAsia="Times New Roman" w:hAnsi="Calibri" w:cs="Calibri"/>
                <w:b/>
                <w:color w:val="000000"/>
                <w:sz w:val="18"/>
                <w:szCs w:val="18"/>
                <w:lang w:eastAsia="it-IT"/>
              </w:rPr>
              <w:t>Totale Avv.</w:t>
            </w:r>
          </w:p>
        </w:tc>
        <w:tc>
          <w:tcPr>
            <w:tcW w:w="411"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242B71" w:rsidRDefault="00242B71">
            <w:pPr>
              <w:spacing w:after="0" w:line="240" w:lineRule="auto"/>
              <w:jc w:val="center"/>
              <w:rPr>
                <w:rFonts w:ascii="Calibri" w:eastAsia="Times New Roman" w:hAnsi="Calibri" w:cs="Calibri"/>
                <w:b/>
                <w:color w:val="000000"/>
                <w:sz w:val="18"/>
                <w:szCs w:val="18"/>
                <w:lang w:eastAsia="it-IT"/>
              </w:rPr>
            </w:pPr>
            <w:r>
              <w:rPr>
                <w:rFonts w:ascii="Calibri" w:eastAsia="Times New Roman" w:hAnsi="Calibri" w:cs="Calibri"/>
                <w:b/>
                <w:color w:val="000000"/>
                <w:sz w:val="18"/>
                <w:szCs w:val="18"/>
                <w:lang w:eastAsia="it-IT"/>
              </w:rPr>
              <w:t xml:space="preserve">Totale </w:t>
            </w:r>
            <w:r>
              <w:rPr>
                <w:rFonts w:ascii="Calibri" w:eastAsia="Times New Roman" w:hAnsi="Calibri" w:cs="Calibri"/>
                <w:b/>
                <w:i/>
                <w:color w:val="000000"/>
                <w:sz w:val="18"/>
                <w:szCs w:val="18"/>
                <w:lang w:eastAsia="it-IT"/>
              </w:rPr>
              <w:t>Teste</w:t>
            </w:r>
          </w:p>
        </w:tc>
      </w:tr>
      <w:tr w:rsidR="00242B71" w:rsidTr="00242B71">
        <w:trPr>
          <w:trHeight w:val="227"/>
        </w:trPr>
        <w:tc>
          <w:tcPr>
            <w:tcW w:w="622" w:type="pct"/>
            <w:tcBorders>
              <w:top w:val="nil"/>
              <w:left w:val="single" w:sz="4" w:space="0" w:color="auto"/>
              <w:bottom w:val="single" w:sz="4" w:space="0" w:color="auto"/>
              <w:right w:val="single" w:sz="4" w:space="0" w:color="auto"/>
            </w:tcBorders>
            <w:noWrap/>
            <w:vAlign w:val="bottom"/>
            <w:hideMark/>
          </w:tcPr>
          <w:p w:rsidR="00242B71" w:rsidRDefault="00242B71">
            <w:pPr>
              <w:spacing w:after="0" w:line="240" w:lineRule="auto"/>
              <w:rPr>
                <w:rFonts w:ascii="Calibri" w:eastAsia="Times New Roman" w:hAnsi="Calibri" w:cs="Calibri"/>
                <w:b/>
                <w:color w:val="000000"/>
                <w:sz w:val="18"/>
                <w:szCs w:val="18"/>
                <w:lang w:eastAsia="it-IT"/>
              </w:rPr>
            </w:pPr>
            <w:r>
              <w:rPr>
                <w:rFonts w:ascii="Calibri" w:eastAsia="Times New Roman" w:hAnsi="Calibri" w:cs="Calibri"/>
                <w:b/>
                <w:color w:val="000000"/>
                <w:sz w:val="18"/>
                <w:szCs w:val="18"/>
                <w:lang w:eastAsia="it-IT"/>
              </w:rPr>
              <w:t>C/G</w:t>
            </w:r>
          </w:p>
        </w:tc>
        <w:tc>
          <w:tcPr>
            <w:tcW w:w="343"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szCs w:val="18"/>
                <w:lang w:eastAsia="it-IT"/>
              </w:rPr>
            </w:pPr>
            <w:r>
              <w:rPr>
                <w:rFonts w:ascii="Calibri" w:eastAsia="Times New Roman" w:hAnsi="Calibri" w:cs="Calibri"/>
                <w:color w:val="000000"/>
                <w:sz w:val="18"/>
                <w:szCs w:val="18"/>
                <w:lang w:eastAsia="it-IT"/>
              </w:rPr>
              <w:t>98</w:t>
            </w:r>
          </w:p>
        </w:tc>
        <w:tc>
          <w:tcPr>
            <w:tcW w:w="375"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szCs w:val="18"/>
                <w:lang w:eastAsia="it-IT"/>
              </w:rPr>
            </w:pPr>
            <w:r>
              <w:rPr>
                <w:rFonts w:ascii="Calibri" w:eastAsia="Times New Roman" w:hAnsi="Calibri" w:cs="Calibri"/>
                <w:color w:val="000000"/>
                <w:sz w:val="18"/>
                <w:szCs w:val="18"/>
                <w:lang w:eastAsia="it-IT"/>
              </w:rPr>
              <w:t>90</w:t>
            </w:r>
          </w:p>
        </w:tc>
        <w:tc>
          <w:tcPr>
            <w:tcW w:w="343"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szCs w:val="18"/>
                <w:lang w:eastAsia="it-IT"/>
              </w:rPr>
            </w:pPr>
            <w:r>
              <w:rPr>
                <w:rFonts w:ascii="Calibri" w:eastAsia="Times New Roman" w:hAnsi="Calibri" w:cs="Calibri"/>
                <w:color w:val="000000"/>
                <w:sz w:val="18"/>
                <w:szCs w:val="18"/>
                <w:lang w:eastAsia="it-IT"/>
              </w:rPr>
              <w:t>92</w:t>
            </w:r>
          </w:p>
        </w:tc>
        <w:tc>
          <w:tcPr>
            <w:tcW w:w="375"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szCs w:val="18"/>
                <w:lang w:eastAsia="it-IT"/>
              </w:rPr>
            </w:pPr>
            <w:r>
              <w:rPr>
                <w:rFonts w:ascii="Calibri" w:eastAsia="Times New Roman" w:hAnsi="Calibri" w:cs="Calibri"/>
                <w:color w:val="000000"/>
                <w:sz w:val="18"/>
                <w:szCs w:val="18"/>
                <w:lang w:eastAsia="it-IT"/>
              </w:rPr>
              <w:t>82</w:t>
            </w:r>
          </w:p>
        </w:tc>
        <w:tc>
          <w:tcPr>
            <w:tcW w:w="343"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szCs w:val="18"/>
                <w:lang w:eastAsia="it-IT"/>
              </w:rPr>
            </w:pPr>
            <w:r>
              <w:rPr>
                <w:rFonts w:ascii="Calibri" w:eastAsia="Times New Roman" w:hAnsi="Calibri" w:cs="Calibri"/>
                <w:color w:val="000000"/>
                <w:sz w:val="18"/>
                <w:szCs w:val="18"/>
                <w:lang w:eastAsia="it-IT"/>
              </w:rPr>
              <w:t>76</w:t>
            </w:r>
          </w:p>
        </w:tc>
        <w:tc>
          <w:tcPr>
            <w:tcW w:w="375"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szCs w:val="18"/>
                <w:lang w:eastAsia="it-IT"/>
              </w:rPr>
            </w:pPr>
            <w:r>
              <w:rPr>
                <w:rFonts w:ascii="Calibri" w:eastAsia="Times New Roman" w:hAnsi="Calibri" w:cs="Calibri"/>
                <w:color w:val="000000"/>
                <w:sz w:val="18"/>
                <w:szCs w:val="18"/>
                <w:lang w:eastAsia="it-IT"/>
              </w:rPr>
              <w:t>71</w:t>
            </w:r>
          </w:p>
        </w:tc>
        <w:tc>
          <w:tcPr>
            <w:tcW w:w="343"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szCs w:val="18"/>
                <w:lang w:eastAsia="it-IT"/>
              </w:rPr>
            </w:pPr>
            <w:r>
              <w:rPr>
                <w:rFonts w:ascii="Calibri" w:eastAsia="Times New Roman" w:hAnsi="Calibri" w:cs="Calibri"/>
                <w:color w:val="000000"/>
                <w:sz w:val="18"/>
                <w:szCs w:val="18"/>
                <w:lang w:eastAsia="it-IT"/>
              </w:rPr>
              <w:t>69</w:t>
            </w:r>
          </w:p>
        </w:tc>
        <w:tc>
          <w:tcPr>
            <w:tcW w:w="375"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szCs w:val="18"/>
                <w:lang w:eastAsia="it-IT"/>
              </w:rPr>
            </w:pPr>
            <w:r>
              <w:rPr>
                <w:rFonts w:ascii="Calibri" w:eastAsia="Times New Roman" w:hAnsi="Calibri" w:cs="Calibri"/>
                <w:color w:val="000000"/>
                <w:sz w:val="18"/>
                <w:szCs w:val="18"/>
                <w:lang w:eastAsia="it-IT"/>
              </w:rPr>
              <w:t>63</w:t>
            </w:r>
          </w:p>
        </w:tc>
        <w:tc>
          <w:tcPr>
            <w:tcW w:w="343"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szCs w:val="18"/>
                <w:lang w:eastAsia="it-IT"/>
              </w:rPr>
            </w:pPr>
            <w:r>
              <w:rPr>
                <w:rFonts w:ascii="Calibri" w:eastAsia="Times New Roman" w:hAnsi="Calibri" w:cs="Calibri"/>
                <w:color w:val="000000"/>
                <w:sz w:val="18"/>
                <w:szCs w:val="18"/>
                <w:lang w:eastAsia="it-IT"/>
              </w:rPr>
              <w:t>81</w:t>
            </w:r>
          </w:p>
        </w:tc>
        <w:tc>
          <w:tcPr>
            <w:tcW w:w="375"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szCs w:val="18"/>
                <w:lang w:eastAsia="it-IT"/>
              </w:rPr>
            </w:pPr>
            <w:r>
              <w:rPr>
                <w:rFonts w:ascii="Calibri" w:eastAsia="Times New Roman" w:hAnsi="Calibri" w:cs="Calibri"/>
                <w:color w:val="000000"/>
                <w:sz w:val="18"/>
                <w:szCs w:val="18"/>
                <w:lang w:eastAsia="it-IT"/>
              </w:rPr>
              <w:t>74</w:t>
            </w:r>
          </w:p>
        </w:tc>
        <w:tc>
          <w:tcPr>
            <w:tcW w:w="379"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szCs w:val="18"/>
                <w:lang w:eastAsia="it-IT"/>
              </w:rPr>
            </w:pPr>
            <w:r>
              <w:rPr>
                <w:rFonts w:ascii="Calibri" w:eastAsia="Times New Roman" w:hAnsi="Calibri" w:cs="Calibri"/>
                <w:color w:val="000000"/>
                <w:sz w:val="18"/>
                <w:szCs w:val="18"/>
                <w:lang w:eastAsia="it-IT"/>
              </w:rPr>
              <w:t>416</w:t>
            </w:r>
          </w:p>
        </w:tc>
        <w:tc>
          <w:tcPr>
            <w:tcW w:w="411"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szCs w:val="18"/>
                <w:lang w:eastAsia="it-IT"/>
              </w:rPr>
            </w:pPr>
            <w:r>
              <w:rPr>
                <w:rFonts w:ascii="Calibri" w:eastAsia="Times New Roman" w:hAnsi="Calibri" w:cs="Calibri"/>
                <w:color w:val="000000"/>
                <w:sz w:val="18"/>
                <w:szCs w:val="18"/>
                <w:lang w:eastAsia="it-IT"/>
              </w:rPr>
              <w:t>380</w:t>
            </w:r>
          </w:p>
        </w:tc>
      </w:tr>
      <w:tr w:rsidR="00242B71" w:rsidTr="00242B71">
        <w:trPr>
          <w:trHeight w:val="130"/>
        </w:trPr>
        <w:tc>
          <w:tcPr>
            <w:tcW w:w="622" w:type="pct"/>
            <w:tcBorders>
              <w:top w:val="nil"/>
              <w:left w:val="single" w:sz="4" w:space="0" w:color="auto"/>
              <w:bottom w:val="single" w:sz="4" w:space="0" w:color="auto"/>
              <w:right w:val="single" w:sz="4" w:space="0" w:color="auto"/>
            </w:tcBorders>
            <w:noWrap/>
            <w:vAlign w:val="bottom"/>
            <w:hideMark/>
          </w:tcPr>
          <w:p w:rsidR="00242B71" w:rsidRDefault="00242B71">
            <w:pPr>
              <w:spacing w:after="0" w:line="240" w:lineRule="auto"/>
              <w:rPr>
                <w:rFonts w:ascii="Calibri" w:eastAsia="Times New Roman" w:hAnsi="Calibri" w:cs="Calibri"/>
                <w:b/>
                <w:color w:val="000000"/>
                <w:sz w:val="18"/>
                <w:szCs w:val="18"/>
                <w:lang w:eastAsia="it-IT"/>
              </w:rPr>
            </w:pPr>
            <w:r>
              <w:rPr>
                <w:rFonts w:ascii="Calibri" w:eastAsia="Times New Roman" w:hAnsi="Calibri" w:cs="Calibri"/>
                <w:b/>
                <w:color w:val="000000"/>
                <w:sz w:val="18"/>
                <w:szCs w:val="18"/>
                <w:lang w:eastAsia="it-IT"/>
              </w:rPr>
              <w:t>C/R</w:t>
            </w:r>
          </w:p>
        </w:tc>
        <w:tc>
          <w:tcPr>
            <w:tcW w:w="343"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szCs w:val="18"/>
                <w:lang w:eastAsia="it-IT"/>
              </w:rPr>
            </w:pPr>
            <w:r>
              <w:rPr>
                <w:rFonts w:ascii="Calibri" w:eastAsia="Times New Roman" w:hAnsi="Calibri" w:cs="Calibri"/>
                <w:color w:val="000000"/>
                <w:sz w:val="18"/>
                <w:szCs w:val="18"/>
                <w:lang w:eastAsia="it-IT"/>
              </w:rPr>
              <w:t>171</w:t>
            </w:r>
          </w:p>
        </w:tc>
        <w:tc>
          <w:tcPr>
            <w:tcW w:w="375"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szCs w:val="18"/>
                <w:lang w:eastAsia="it-IT"/>
              </w:rPr>
            </w:pPr>
            <w:r>
              <w:rPr>
                <w:rFonts w:ascii="Calibri" w:eastAsia="Times New Roman" w:hAnsi="Calibri" w:cs="Calibri"/>
                <w:color w:val="000000"/>
                <w:sz w:val="18"/>
                <w:szCs w:val="18"/>
                <w:lang w:eastAsia="it-IT"/>
              </w:rPr>
              <w:t>161</w:t>
            </w:r>
          </w:p>
        </w:tc>
        <w:tc>
          <w:tcPr>
            <w:tcW w:w="343"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szCs w:val="18"/>
                <w:lang w:eastAsia="it-IT"/>
              </w:rPr>
            </w:pPr>
            <w:r>
              <w:rPr>
                <w:rFonts w:ascii="Calibri" w:eastAsia="Times New Roman" w:hAnsi="Calibri" w:cs="Calibri"/>
                <w:color w:val="000000"/>
                <w:sz w:val="18"/>
                <w:szCs w:val="18"/>
                <w:lang w:eastAsia="it-IT"/>
              </w:rPr>
              <w:t>155</w:t>
            </w:r>
          </w:p>
        </w:tc>
        <w:tc>
          <w:tcPr>
            <w:tcW w:w="375"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szCs w:val="18"/>
                <w:lang w:eastAsia="it-IT"/>
              </w:rPr>
            </w:pPr>
            <w:r>
              <w:rPr>
                <w:rFonts w:ascii="Calibri" w:eastAsia="Times New Roman" w:hAnsi="Calibri" w:cs="Calibri"/>
                <w:color w:val="000000"/>
                <w:sz w:val="18"/>
                <w:szCs w:val="18"/>
                <w:lang w:eastAsia="it-IT"/>
              </w:rPr>
              <w:t>147</w:t>
            </w:r>
          </w:p>
        </w:tc>
        <w:tc>
          <w:tcPr>
            <w:tcW w:w="343"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szCs w:val="18"/>
                <w:lang w:eastAsia="it-IT"/>
              </w:rPr>
            </w:pPr>
            <w:r>
              <w:rPr>
                <w:rFonts w:ascii="Calibri" w:eastAsia="Times New Roman" w:hAnsi="Calibri" w:cs="Calibri"/>
                <w:color w:val="000000"/>
                <w:sz w:val="18"/>
                <w:szCs w:val="18"/>
                <w:lang w:eastAsia="it-IT"/>
              </w:rPr>
              <w:t>128</w:t>
            </w:r>
          </w:p>
        </w:tc>
        <w:tc>
          <w:tcPr>
            <w:tcW w:w="375"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szCs w:val="18"/>
                <w:lang w:eastAsia="it-IT"/>
              </w:rPr>
            </w:pPr>
            <w:r>
              <w:rPr>
                <w:rFonts w:ascii="Calibri" w:eastAsia="Times New Roman" w:hAnsi="Calibri" w:cs="Calibri"/>
                <w:color w:val="000000"/>
                <w:sz w:val="18"/>
                <w:szCs w:val="18"/>
                <w:lang w:eastAsia="it-IT"/>
              </w:rPr>
              <w:t>121</w:t>
            </w:r>
          </w:p>
        </w:tc>
        <w:tc>
          <w:tcPr>
            <w:tcW w:w="343"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szCs w:val="18"/>
                <w:lang w:eastAsia="it-IT"/>
              </w:rPr>
            </w:pPr>
            <w:r>
              <w:rPr>
                <w:rFonts w:ascii="Calibri" w:eastAsia="Times New Roman" w:hAnsi="Calibri" w:cs="Calibri"/>
                <w:color w:val="000000"/>
                <w:sz w:val="18"/>
                <w:szCs w:val="18"/>
                <w:lang w:eastAsia="it-IT"/>
              </w:rPr>
              <w:t>143</w:t>
            </w:r>
          </w:p>
        </w:tc>
        <w:tc>
          <w:tcPr>
            <w:tcW w:w="375"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szCs w:val="18"/>
                <w:lang w:eastAsia="it-IT"/>
              </w:rPr>
            </w:pPr>
            <w:r>
              <w:rPr>
                <w:rFonts w:ascii="Calibri" w:eastAsia="Times New Roman" w:hAnsi="Calibri" w:cs="Calibri"/>
                <w:color w:val="000000"/>
                <w:sz w:val="18"/>
                <w:szCs w:val="18"/>
                <w:lang w:eastAsia="it-IT"/>
              </w:rPr>
              <w:t>136</w:t>
            </w:r>
          </w:p>
        </w:tc>
        <w:tc>
          <w:tcPr>
            <w:tcW w:w="343"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szCs w:val="18"/>
                <w:lang w:eastAsia="it-IT"/>
              </w:rPr>
            </w:pPr>
            <w:r>
              <w:rPr>
                <w:rFonts w:ascii="Calibri" w:eastAsia="Times New Roman" w:hAnsi="Calibri" w:cs="Calibri"/>
                <w:color w:val="000000"/>
                <w:sz w:val="18"/>
                <w:szCs w:val="18"/>
                <w:lang w:eastAsia="it-IT"/>
              </w:rPr>
              <w:t>120</w:t>
            </w:r>
          </w:p>
        </w:tc>
        <w:tc>
          <w:tcPr>
            <w:tcW w:w="375"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szCs w:val="18"/>
                <w:lang w:eastAsia="it-IT"/>
              </w:rPr>
            </w:pPr>
            <w:r>
              <w:rPr>
                <w:rFonts w:ascii="Calibri" w:eastAsia="Times New Roman" w:hAnsi="Calibri" w:cs="Calibri"/>
                <w:color w:val="000000"/>
                <w:sz w:val="18"/>
                <w:szCs w:val="18"/>
                <w:lang w:eastAsia="it-IT"/>
              </w:rPr>
              <w:t>113</w:t>
            </w:r>
          </w:p>
        </w:tc>
        <w:tc>
          <w:tcPr>
            <w:tcW w:w="379"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szCs w:val="18"/>
                <w:lang w:eastAsia="it-IT"/>
              </w:rPr>
            </w:pPr>
            <w:r>
              <w:rPr>
                <w:rFonts w:ascii="Calibri" w:eastAsia="Times New Roman" w:hAnsi="Calibri" w:cs="Calibri"/>
                <w:color w:val="000000"/>
                <w:sz w:val="18"/>
                <w:szCs w:val="18"/>
                <w:lang w:eastAsia="it-IT"/>
              </w:rPr>
              <w:t>717</w:t>
            </w:r>
          </w:p>
        </w:tc>
        <w:tc>
          <w:tcPr>
            <w:tcW w:w="411"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szCs w:val="18"/>
                <w:lang w:eastAsia="it-IT"/>
              </w:rPr>
            </w:pPr>
            <w:r>
              <w:rPr>
                <w:rFonts w:ascii="Calibri" w:eastAsia="Times New Roman" w:hAnsi="Calibri" w:cs="Calibri"/>
                <w:color w:val="000000"/>
                <w:sz w:val="18"/>
                <w:szCs w:val="18"/>
                <w:lang w:eastAsia="it-IT"/>
              </w:rPr>
              <w:t>678</w:t>
            </w:r>
          </w:p>
        </w:tc>
      </w:tr>
      <w:tr w:rsidR="00242B71" w:rsidTr="00242B71">
        <w:trPr>
          <w:trHeight w:val="176"/>
        </w:trPr>
        <w:tc>
          <w:tcPr>
            <w:tcW w:w="622" w:type="pct"/>
            <w:tcBorders>
              <w:top w:val="nil"/>
              <w:left w:val="single" w:sz="4" w:space="0" w:color="auto"/>
              <w:bottom w:val="single" w:sz="4" w:space="0" w:color="auto"/>
              <w:right w:val="single" w:sz="4" w:space="0" w:color="auto"/>
            </w:tcBorders>
            <w:noWrap/>
            <w:vAlign w:val="bottom"/>
            <w:hideMark/>
          </w:tcPr>
          <w:p w:rsidR="00242B71" w:rsidRDefault="00242B71">
            <w:pPr>
              <w:spacing w:after="0" w:line="240" w:lineRule="auto"/>
              <w:rPr>
                <w:rFonts w:ascii="Calibri" w:eastAsia="Times New Roman" w:hAnsi="Calibri" w:cs="Calibri"/>
                <w:b/>
                <w:color w:val="000000"/>
                <w:sz w:val="18"/>
                <w:szCs w:val="18"/>
                <w:lang w:eastAsia="it-IT"/>
              </w:rPr>
            </w:pPr>
            <w:r>
              <w:rPr>
                <w:rFonts w:ascii="Calibri" w:eastAsia="Times New Roman" w:hAnsi="Calibri" w:cs="Calibri"/>
                <w:b/>
                <w:color w:val="000000"/>
                <w:sz w:val="18"/>
                <w:szCs w:val="18"/>
                <w:lang w:eastAsia="it-IT"/>
              </w:rPr>
              <w:t>E</w:t>
            </w:r>
          </w:p>
        </w:tc>
        <w:tc>
          <w:tcPr>
            <w:tcW w:w="343"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szCs w:val="18"/>
                <w:lang w:eastAsia="it-IT"/>
              </w:rPr>
            </w:pPr>
            <w:r>
              <w:rPr>
                <w:rFonts w:ascii="Calibri" w:eastAsia="Times New Roman" w:hAnsi="Calibri" w:cs="Calibri"/>
                <w:color w:val="000000"/>
                <w:sz w:val="18"/>
                <w:szCs w:val="18"/>
                <w:lang w:eastAsia="it-IT"/>
              </w:rPr>
              <w:t>1.300</w:t>
            </w:r>
          </w:p>
        </w:tc>
        <w:tc>
          <w:tcPr>
            <w:tcW w:w="375"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szCs w:val="18"/>
                <w:lang w:eastAsia="it-IT"/>
              </w:rPr>
            </w:pPr>
            <w:r>
              <w:rPr>
                <w:rFonts w:ascii="Calibri" w:eastAsia="Times New Roman" w:hAnsi="Calibri" w:cs="Calibri"/>
                <w:color w:val="000000"/>
                <w:sz w:val="18"/>
                <w:szCs w:val="18"/>
                <w:lang w:eastAsia="it-IT"/>
              </w:rPr>
              <w:t>1.157</w:t>
            </w:r>
          </w:p>
        </w:tc>
        <w:tc>
          <w:tcPr>
            <w:tcW w:w="343"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szCs w:val="18"/>
                <w:lang w:eastAsia="it-IT"/>
              </w:rPr>
            </w:pPr>
            <w:r>
              <w:rPr>
                <w:rFonts w:ascii="Calibri" w:eastAsia="Times New Roman" w:hAnsi="Calibri" w:cs="Calibri"/>
                <w:color w:val="000000"/>
                <w:sz w:val="18"/>
                <w:szCs w:val="18"/>
                <w:lang w:eastAsia="it-IT"/>
              </w:rPr>
              <w:t>1.289</w:t>
            </w:r>
          </w:p>
        </w:tc>
        <w:tc>
          <w:tcPr>
            <w:tcW w:w="375"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szCs w:val="18"/>
                <w:lang w:eastAsia="it-IT"/>
              </w:rPr>
            </w:pPr>
            <w:r>
              <w:rPr>
                <w:rFonts w:ascii="Calibri" w:eastAsia="Times New Roman" w:hAnsi="Calibri" w:cs="Calibri"/>
                <w:color w:val="000000"/>
                <w:sz w:val="18"/>
                <w:szCs w:val="18"/>
                <w:lang w:eastAsia="it-IT"/>
              </w:rPr>
              <w:t>1.153</w:t>
            </w:r>
          </w:p>
        </w:tc>
        <w:tc>
          <w:tcPr>
            <w:tcW w:w="343"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szCs w:val="18"/>
                <w:lang w:eastAsia="it-IT"/>
              </w:rPr>
            </w:pPr>
            <w:r>
              <w:rPr>
                <w:rFonts w:ascii="Calibri" w:eastAsia="Times New Roman" w:hAnsi="Calibri" w:cs="Calibri"/>
                <w:color w:val="000000"/>
                <w:sz w:val="18"/>
                <w:szCs w:val="18"/>
                <w:lang w:eastAsia="it-IT"/>
              </w:rPr>
              <w:t>1.009</w:t>
            </w:r>
          </w:p>
        </w:tc>
        <w:tc>
          <w:tcPr>
            <w:tcW w:w="375"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szCs w:val="18"/>
                <w:lang w:eastAsia="it-IT"/>
              </w:rPr>
            </w:pPr>
            <w:r>
              <w:rPr>
                <w:rFonts w:ascii="Calibri" w:eastAsia="Times New Roman" w:hAnsi="Calibri" w:cs="Calibri"/>
                <w:color w:val="000000"/>
                <w:sz w:val="18"/>
                <w:szCs w:val="18"/>
                <w:lang w:eastAsia="it-IT"/>
              </w:rPr>
              <w:t>924</w:t>
            </w:r>
          </w:p>
        </w:tc>
        <w:tc>
          <w:tcPr>
            <w:tcW w:w="343"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szCs w:val="18"/>
                <w:lang w:eastAsia="it-IT"/>
              </w:rPr>
            </w:pPr>
            <w:r>
              <w:rPr>
                <w:rFonts w:ascii="Calibri" w:eastAsia="Times New Roman" w:hAnsi="Calibri" w:cs="Calibri"/>
                <w:color w:val="000000"/>
                <w:sz w:val="18"/>
                <w:szCs w:val="18"/>
                <w:lang w:eastAsia="it-IT"/>
              </w:rPr>
              <w:t>833</w:t>
            </w:r>
          </w:p>
        </w:tc>
        <w:tc>
          <w:tcPr>
            <w:tcW w:w="375"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szCs w:val="18"/>
                <w:lang w:eastAsia="it-IT"/>
              </w:rPr>
            </w:pPr>
            <w:r>
              <w:rPr>
                <w:rFonts w:ascii="Calibri" w:eastAsia="Times New Roman" w:hAnsi="Calibri" w:cs="Calibri"/>
                <w:color w:val="000000"/>
                <w:sz w:val="18"/>
                <w:szCs w:val="18"/>
                <w:lang w:eastAsia="it-IT"/>
              </w:rPr>
              <w:t>776</w:t>
            </w:r>
          </w:p>
        </w:tc>
        <w:tc>
          <w:tcPr>
            <w:tcW w:w="343"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szCs w:val="18"/>
                <w:lang w:eastAsia="it-IT"/>
              </w:rPr>
            </w:pPr>
            <w:r>
              <w:rPr>
                <w:rFonts w:ascii="Calibri" w:eastAsia="Times New Roman" w:hAnsi="Calibri" w:cs="Calibri"/>
                <w:color w:val="000000"/>
                <w:sz w:val="18"/>
                <w:szCs w:val="18"/>
                <w:lang w:eastAsia="it-IT"/>
              </w:rPr>
              <w:t>671</w:t>
            </w:r>
          </w:p>
        </w:tc>
        <w:tc>
          <w:tcPr>
            <w:tcW w:w="375"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szCs w:val="18"/>
                <w:lang w:eastAsia="it-IT"/>
              </w:rPr>
            </w:pPr>
            <w:r>
              <w:rPr>
                <w:rFonts w:ascii="Calibri" w:eastAsia="Times New Roman" w:hAnsi="Calibri" w:cs="Calibri"/>
                <w:color w:val="000000"/>
                <w:sz w:val="18"/>
                <w:szCs w:val="18"/>
                <w:lang w:eastAsia="it-IT"/>
              </w:rPr>
              <w:t>622</w:t>
            </w:r>
          </w:p>
        </w:tc>
        <w:tc>
          <w:tcPr>
            <w:tcW w:w="379"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szCs w:val="18"/>
                <w:lang w:eastAsia="it-IT"/>
              </w:rPr>
            </w:pPr>
            <w:r>
              <w:rPr>
                <w:rFonts w:ascii="Calibri" w:eastAsia="Times New Roman" w:hAnsi="Calibri" w:cs="Calibri"/>
                <w:color w:val="000000"/>
                <w:sz w:val="18"/>
                <w:szCs w:val="18"/>
                <w:lang w:eastAsia="it-IT"/>
              </w:rPr>
              <w:t>5.102</w:t>
            </w:r>
          </w:p>
        </w:tc>
        <w:tc>
          <w:tcPr>
            <w:tcW w:w="411"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szCs w:val="18"/>
                <w:lang w:eastAsia="it-IT"/>
              </w:rPr>
            </w:pPr>
            <w:r>
              <w:rPr>
                <w:rFonts w:ascii="Calibri" w:eastAsia="Times New Roman" w:hAnsi="Calibri" w:cs="Calibri"/>
                <w:color w:val="000000"/>
                <w:sz w:val="18"/>
                <w:szCs w:val="18"/>
                <w:lang w:eastAsia="it-IT"/>
              </w:rPr>
              <w:t>4.632</w:t>
            </w:r>
          </w:p>
        </w:tc>
      </w:tr>
      <w:tr w:rsidR="00242B71" w:rsidTr="00242B71">
        <w:trPr>
          <w:trHeight w:val="94"/>
        </w:trPr>
        <w:tc>
          <w:tcPr>
            <w:tcW w:w="622" w:type="pct"/>
            <w:tcBorders>
              <w:top w:val="nil"/>
              <w:left w:val="single" w:sz="4" w:space="0" w:color="auto"/>
              <w:bottom w:val="single" w:sz="4" w:space="0" w:color="auto"/>
              <w:right w:val="single" w:sz="4" w:space="0" w:color="auto"/>
            </w:tcBorders>
            <w:noWrap/>
            <w:vAlign w:val="bottom"/>
            <w:hideMark/>
          </w:tcPr>
          <w:p w:rsidR="00242B71" w:rsidRDefault="00242B71">
            <w:pPr>
              <w:spacing w:after="0" w:line="240" w:lineRule="auto"/>
              <w:rPr>
                <w:rFonts w:ascii="Calibri" w:eastAsia="Times New Roman" w:hAnsi="Calibri" w:cs="Calibri"/>
                <w:b/>
                <w:color w:val="000000"/>
                <w:sz w:val="18"/>
                <w:szCs w:val="18"/>
                <w:lang w:eastAsia="it-IT"/>
              </w:rPr>
            </w:pPr>
            <w:proofErr w:type="spellStart"/>
            <w:r>
              <w:rPr>
                <w:rFonts w:ascii="Calibri" w:eastAsia="Times New Roman" w:hAnsi="Calibri" w:cs="Calibri"/>
                <w:b/>
                <w:color w:val="000000"/>
                <w:sz w:val="18"/>
                <w:szCs w:val="18"/>
                <w:lang w:eastAsia="it-IT"/>
              </w:rPr>
              <w:t>Missing</w:t>
            </w:r>
            <w:proofErr w:type="spellEnd"/>
          </w:p>
        </w:tc>
        <w:tc>
          <w:tcPr>
            <w:tcW w:w="343"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szCs w:val="18"/>
                <w:lang w:eastAsia="it-IT"/>
              </w:rPr>
            </w:pPr>
            <w:r>
              <w:rPr>
                <w:rFonts w:ascii="Calibri" w:eastAsia="Times New Roman" w:hAnsi="Calibri" w:cs="Calibri"/>
                <w:color w:val="000000"/>
                <w:sz w:val="18"/>
                <w:szCs w:val="18"/>
                <w:lang w:eastAsia="it-IT"/>
              </w:rPr>
              <w:t>0</w:t>
            </w:r>
          </w:p>
        </w:tc>
        <w:tc>
          <w:tcPr>
            <w:tcW w:w="375"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szCs w:val="18"/>
                <w:lang w:eastAsia="it-IT"/>
              </w:rPr>
            </w:pPr>
            <w:r>
              <w:rPr>
                <w:rFonts w:ascii="Calibri" w:eastAsia="Times New Roman" w:hAnsi="Calibri" w:cs="Calibri"/>
                <w:color w:val="000000"/>
                <w:sz w:val="18"/>
                <w:szCs w:val="18"/>
                <w:lang w:eastAsia="it-IT"/>
              </w:rPr>
              <w:t>0</w:t>
            </w:r>
          </w:p>
        </w:tc>
        <w:tc>
          <w:tcPr>
            <w:tcW w:w="343"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szCs w:val="18"/>
                <w:lang w:eastAsia="it-IT"/>
              </w:rPr>
            </w:pPr>
            <w:r>
              <w:rPr>
                <w:rFonts w:ascii="Calibri" w:eastAsia="Times New Roman" w:hAnsi="Calibri" w:cs="Calibri"/>
                <w:color w:val="000000"/>
                <w:sz w:val="18"/>
                <w:szCs w:val="18"/>
                <w:lang w:eastAsia="it-IT"/>
              </w:rPr>
              <w:t>0</w:t>
            </w:r>
          </w:p>
        </w:tc>
        <w:tc>
          <w:tcPr>
            <w:tcW w:w="375"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szCs w:val="18"/>
                <w:lang w:eastAsia="it-IT"/>
              </w:rPr>
            </w:pPr>
            <w:r>
              <w:rPr>
                <w:rFonts w:ascii="Calibri" w:eastAsia="Times New Roman" w:hAnsi="Calibri" w:cs="Calibri"/>
                <w:color w:val="000000"/>
                <w:sz w:val="18"/>
                <w:szCs w:val="18"/>
                <w:lang w:eastAsia="it-IT"/>
              </w:rPr>
              <w:t>0</w:t>
            </w:r>
          </w:p>
        </w:tc>
        <w:tc>
          <w:tcPr>
            <w:tcW w:w="343"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szCs w:val="18"/>
                <w:lang w:eastAsia="it-IT"/>
              </w:rPr>
            </w:pPr>
            <w:r>
              <w:rPr>
                <w:rFonts w:ascii="Calibri" w:eastAsia="Times New Roman" w:hAnsi="Calibri" w:cs="Calibri"/>
                <w:color w:val="000000"/>
                <w:sz w:val="18"/>
                <w:szCs w:val="18"/>
                <w:lang w:eastAsia="it-IT"/>
              </w:rPr>
              <w:t>0</w:t>
            </w:r>
          </w:p>
        </w:tc>
        <w:tc>
          <w:tcPr>
            <w:tcW w:w="375"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szCs w:val="18"/>
                <w:lang w:eastAsia="it-IT"/>
              </w:rPr>
            </w:pPr>
            <w:r>
              <w:rPr>
                <w:rFonts w:ascii="Calibri" w:eastAsia="Times New Roman" w:hAnsi="Calibri" w:cs="Calibri"/>
                <w:color w:val="000000"/>
                <w:sz w:val="18"/>
                <w:szCs w:val="18"/>
                <w:lang w:eastAsia="it-IT"/>
              </w:rPr>
              <w:t>0</w:t>
            </w:r>
          </w:p>
        </w:tc>
        <w:tc>
          <w:tcPr>
            <w:tcW w:w="343"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szCs w:val="18"/>
                <w:lang w:eastAsia="it-IT"/>
              </w:rPr>
            </w:pPr>
            <w:r>
              <w:rPr>
                <w:rFonts w:ascii="Calibri" w:eastAsia="Times New Roman" w:hAnsi="Calibri" w:cs="Calibri"/>
                <w:color w:val="000000"/>
                <w:sz w:val="18"/>
                <w:szCs w:val="18"/>
                <w:lang w:eastAsia="it-IT"/>
              </w:rPr>
              <w:t>0</w:t>
            </w:r>
          </w:p>
        </w:tc>
        <w:tc>
          <w:tcPr>
            <w:tcW w:w="375"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szCs w:val="18"/>
                <w:lang w:eastAsia="it-IT"/>
              </w:rPr>
            </w:pPr>
            <w:r>
              <w:rPr>
                <w:rFonts w:ascii="Calibri" w:eastAsia="Times New Roman" w:hAnsi="Calibri" w:cs="Calibri"/>
                <w:color w:val="000000"/>
                <w:sz w:val="18"/>
                <w:szCs w:val="18"/>
                <w:lang w:eastAsia="it-IT"/>
              </w:rPr>
              <w:t>0</w:t>
            </w:r>
          </w:p>
        </w:tc>
        <w:tc>
          <w:tcPr>
            <w:tcW w:w="343"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szCs w:val="18"/>
                <w:lang w:eastAsia="it-IT"/>
              </w:rPr>
            </w:pPr>
            <w:r>
              <w:rPr>
                <w:rFonts w:ascii="Calibri" w:eastAsia="Times New Roman" w:hAnsi="Calibri" w:cs="Calibri"/>
                <w:color w:val="000000"/>
                <w:sz w:val="18"/>
                <w:szCs w:val="18"/>
                <w:lang w:eastAsia="it-IT"/>
              </w:rPr>
              <w:t>1</w:t>
            </w:r>
          </w:p>
        </w:tc>
        <w:tc>
          <w:tcPr>
            <w:tcW w:w="375"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szCs w:val="18"/>
                <w:lang w:eastAsia="it-IT"/>
              </w:rPr>
            </w:pPr>
            <w:r>
              <w:rPr>
                <w:rFonts w:ascii="Calibri" w:eastAsia="Times New Roman" w:hAnsi="Calibri" w:cs="Calibri"/>
                <w:color w:val="000000"/>
                <w:sz w:val="18"/>
                <w:szCs w:val="18"/>
                <w:lang w:eastAsia="it-IT"/>
              </w:rPr>
              <w:t>1</w:t>
            </w:r>
          </w:p>
        </w:tc>
        <w:tc>
          <w:tcPr>
            <w:tcW w:w="379"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szCs w:val="18"/>
                <w:lang w:eastAsia="it-IT"/>
              </w:rPr>
            </w:pPr>
            <w:r>
              <w:rPr>
                <w:rFonts w:ascii="Calibri" w:eastAsia="Times New Roman" w:hAnsi="Calibri" w:cs="Calibri"/>
                <w:color w:val="000000"/>
                <w:sz w:val="18"/>
                <w:szCs w:val="18"/>
                <w:lang w:eastAsia="it-IT"/>
              </w:rPr>
              <w:t>1</w:t>
            </w:r>
          </w:p>
        </w:tc>
        <w:tc>
          <w:tcPr>
            <w:tcW w:w="411"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szCs w:val="18"/>
                <w:lang w:eastAsia="it-IT"/>
              </w:rPr>
            </w:pPr>
            <w:r>
              <w:rPr>
                <w:rFonts w:ascii="Calibri" w:eastAsia="Times New Roman" w:hAnsi="Calibri" w:cs="Calibri"/>
                <w:color w:val="000000"/>
                <w:sz w:val="18"/>
                <w:szCs w:val="18"/>
                <w:lang w:eastAsia="it-IT"/>
              </w:rPr>
              <w:t>1</w:t>
            </w:r>
          </w:p>
        </w:tc>
      </w:tr>
      <w:tr w:rsidR="00242B71" w:rsidTr="00242B71">
        <w:trPr>
          <w:trHeight w:val="300"/>
        </w:trPr>
        <w:tc>
          <w:tcPr>
            <w:tcW w:w="622" w:type="pct"/>
            <w:tcBorders>
              <w:top w:val="nil"/>
              <w:left w:val="single" w:sz="4" w:space="0" w:color="auto"/>
              <w:bottom w:val="single" w:sz="4" w:space="0" w:color="auto"/>
              <w:right w:val="single" w:sz="4" w:space="0" w:color="auto"/>
            </w:tcBorders>
            <w:noWrap/>
            <w:vAlign w:val="bottom"/>
            <w:hideMark/>
          </w:tcPr>
          <w:p w:rsidR="00242B71" w:rsidRDefault="00242B71">
            <w:pPr>
              <w:spacing w:after="0" w:line="240" w:lineRule="auto"/>
              <w:rPr>
                <w:rFonts w:ascii="Calibri" w:eastAsia="Times New Roman" w:hAnsi="Calibri" w:cs="Calibri"/>
                <w:b/>
                <w:color w:val="000000"/>
                <w:sz w:val="18"/>
                <w:szCs w:val="18"/>
                <w:lang w:eastAsia="it-IT"/>
              </w:rPr>
            </w:pPr>
            <w:r>
              <w:rPr>
                <w:rFonts w:ascii="Calibri" w:eastAsia="Times New Roman" w:hAnsi="Calibri" w:cs="Calibri"/>
                <w:b/>
                <w:color w:val="000000"/>
                <w:sz w:val="18"/>
                <w:szCs w:val="18"/>
                <w:lang w:eastAsia="it-IT"/>
              </w:rPr>
              <w:t>Totale</w:t>
            </w:r>
          </w:p>
        </w:tc>
        <w:tc>
          <w:tcPr>
            <w:tcW w:w="343"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b/>
                <w:color w:val="000000"/>
                <w:sz w:val="18"/>
                <w:szCs w:val="18"/>
                <w:lang w:eastAsia="it-IT"/>
              </w:rPr>
            </w:pPr>
            <w:r>
              <w:rPr>
                <w:rFonts w:ascii="Calibri" w:eastAsia="Times New Roman" w:hAnsi="Calibri" w:cs="Calibri"/>
                <w:b/>
                <w:color w:val="000000"/>
                <w:sz w:val="18"/>
                <w:szCs w:val="18"/>
                <w:lang w:eastAsia="it-IT"/>
              </w:rPr>
              <w:t>1.569</w:t>
            </w:r>
          </w:p>
        </w:tc>
        <w:tc>
          <w:tcPr>
            <w:tcW w:w="375"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b/>
                <w:color w:val="000000"/>
                <w:sz w:val="18"/>
                <w:szCs w:val="18"/>
                <w:lang w:eastAsia="it-IT"/>
              </w:rPr>
            </w:pPr>
            <w:r>
              <w:rPr>
                <w:rFonts w:ascii="Calibri" w:eastAsia="Times New Roman" w:hAnsi="Calibri" w:cs="Calibri"/>
                <w:b/>
                <w:color w:val="000000"/>
                <w:sz w:val="18"/>
                <w:szCs w:val="18"/>
                <w:lang w:eastAsia="it-IT"/>
              </w:rPr>
              <w:t>1.408</w:t>
            </w:r>
          </w:p>
        </w:tc>
        <w:tc>
          <w:tcPr>
            <w:tcW w:w="343"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b/>
                <w:color w:val="000000"/>
                <w:sz w:val="18"/>
                <w:szCs w:val="18"/>
                <w:lang w:eastAsia="it-IT"/>
              </w:rPr>
            </w:pPr>
            <w:r>
              <w:rPr>
                <w:rFonts w:ascii="Calibri" w:eastAsia="Times New Roman" w:hAnsi="Calibri" w:cs="Calibri"/>
                <w:b/>
                <w:color w:val="000000"/>
                <w:sz w:val="18"/>
                <w:szCs w:val="18"/>
                <w:lang w:eastAsia="it-IT"/>
              </w:rPr>
              <w:t>1.536</w:t>
            </w:r>
          </w:p>
        </w:tc>
        <w:tc>
          <w:tcPr>
            <w:tcW w:w="375"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b/>
                <w:color w:val="000000"/>
                <w:sz w:val="18"/>
                <w:szCs w:val="18"/>
                <w:lang w:eastAsia="it-IT"/>
              </w:rPr>
            </w:pPr>
            <w:r>
              <w:rPr>
                <w:rFonts w:ascii="Calibri" w:eastAsia="Times New Roman" w:hAnsi="Calibri" w:cs="Calibri"/>
                <w:b/>
                <w:color w:val="000000"/>
                <w:sz w:val="18"/>
                <w:szCs w:val="18"/>
                <w:lang w:eastAsia="it-IT"/>
              </w:rPr>
              <w:t>1.382</w:t>
            </w:r>
          </w:p>
        </w:tc>
        <w:tc>
          <w:tcPr>
            <w:tcW w:w="343"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b/>
                <w:color w:val="000000"/>
                <w:sz w:val="18"/>
                <w:szCs w:val="18"/>
                <w:lang w:eastAsia="it-IT"/>
              </w:rPr>
            </w:pPr>
            <w:r>
              <w:rPr>
                <w:rFonts w:ascii="Calibri" w:eastAsia="Times New Roman" w:hAnsi="Calibri" w:cs="Calibri"/>
                <w:b/>
                <w:color w:val="000000"/>
                <w:sz w:val="18"/>
                <w:szCs w:val="18"/>
                <w:lang w:eastAsia="it-IT"/>
              </w:rPr>
              <w:t>1.213</w:t>
            </w:r>
          </w:p>
        </w:tc>
        <w:tc>
          <w:tcPr>
            <w:tcW w:w="375"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b/>
                <w:color w:val="000000"/>
                <w:sz w:val="18"/>
                <w:szCs w:val="18"/>
                <w:lang w:eastAsia="it-IT"/>
              </w:rPr>
            </w:pPr>
            <w:r>
              <w:rPr>
                <w:rFonts w:ascii="Calibri" w:eastAsia="Times New Roman" w:hAnsi="Calibri" w:cs="Calibri"/>
                <w:b/>
                <w:color w:val="000000"/>
                <w:sz w:val="18"/>
                <w:szCs w:val="18"/>
                <w:lang w:eastAsia="it-IT"/>
              </w:rPr>
              <w:t>1.116</w:t>
            </w:r>
          </w:p>
        </w:tc>
        <w:tc>
          <w:tcPr>
            <w:tcW w:w="343"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b/>
                <w:color w:val="000000"/>
                <w:sz w:val="18"/>
                <w:szCs w:val="18"/>
                <w:lang w:eastAsia="it-IT"/>
              </w:rPr>
            </w:pPr>
            <w:r>
              <w:rPr>
                <w:rFonts w:ascii="Calibri" w:eastAsia="Times New Roman" w:hAnsi="Calibri" w:cs="Calibri"/>
                <w:b/>
                <w:color w:val="000000"/>
                <w:sz w:val="18"/>
                <w:szCs w:val="18"/>
                <w:lang w:eastAsia="it-IT"/>
              </w:rPr>
              <w:t>1.045</w:t>
            </w:r>
          </w:p>
        </w:tc>
        <w:tc>
          <w:tcPr>
            <w:tcW w:w="375"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b/>
                <w:color w:val="000000"/>
                <w:sz w:val="18"/>
                <w:szCs w:val="18"/>
                <w:lang w:eastAsia="it-IT"/>
              </w:rPr>
            </w:pPr>
            <w:r>
              <w:rPr>
                <w:rFonts w:ascii="Calibri" w:eastAsia="Times New Roman" w:hAnsi="Calibri" w:cs="Calibri"/>
                <w:b/>
                <w:color w:val="000000"/>
                <w:sz w:val="18"/>
                <w:szCs w:val="18"/>
                <w:lang w:eastAsia="it-IT"/>
              </w:rPr>
              <w:t>975</w:t>
            </w:r>
          </w:p>
        </w:tc>
        <w:tc>
          <w:tcPr>
            <w:tcW w:w="343"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b/>
                <w:color w:val="000000"/>
                <w:sz w:val="18"/>
                <w:szCs w:val="18"/>
                <w:lang w:eastAsia="it-IT"/>
              </w:rPr>
            </w:pPr>
            <w:r>
              <w:rPr>
                <w:rFonts w:ascii="Calibri" w:eastAsia="Times New Roman" w:hAnsi="Calibri" w:cs="Calibri"/>
                <w:b/>
                <w:color w:val="000000"/>
                <w:sz w:val="18"/>
                <w:szCs w:val="18"/>
                <w:lang w:eastAsia="it-IT"/>
              </w:rPr>
              <w:t>873</w:t>
            </w:r>
          </w:p>
        </w:tc>
        <w:tc>
          <w:tcPr>
            <w:tcW w:w="375"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b/>
                <w:color w:val="000000"/>
                <w:sz w:val="18"/>
                <w:szCs w:val="18"/>
                <w:lang w:eastAsia="it-IT"/>
              </w:rPr>
            </w:pPr>
            <w:r>
              <w:rPr>
                <w:rFonts w:ascii="Calibri" w:eastAsia="Times New Roman" w:hAnsi="Calibri" w:cs="Calibri"/>
                <w:b/>
                <w:color w:val="000000"/>
                <w:sz w:val="18"/>
                <w:szCs w:val="18"/>
                <w:lang w:eastAsia="it-IT"/>
              </w:rPr>
              <w:t>810</w:t>
            </w:r>
          </w:p>
        </w:tc>
        <w:tc>
          <w:tcPr>
            <w:tcW w:w="379"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b/>
                <w:color w:val="000000"/>
                <w:sz w:val="18"/>
                <w:szCs w:val="18"/>
                <w:lang w:eastAsia="it-IT"/>
              </w:rPr>
            </w:pPr>
            <w:r>
              <w:rPr>
                <w:rFonts w:ascii="Calibri" w:eastAsia="Times New Roman" w:hAnsi="Calibri" w:cs="Calibri"/>
                <w:b/>
                <w:color w:val="000000"/>
                <w:sz w:val="18"/>
                <w:szCs w:val="18"/>
                <w:lang w:eastAsia="it-IT"/>
              </w:rPr>
              <w:t>6.236</w:t>
            </w:r>
          </w:p>
        </w:tc>
        <w:tc>
          <w:tcPr>
            <w:tcW w:w="411"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b/>
                <w:color w:val="000000"/>
                <w:sz w:val="18"/>
                <w:szCs w:val="18"/>
                <w:lang w:eastAsia="it-IT"/>
              </w:rPr>
            </w:pPr>
            <w:r>
              <w:rPr>
                <w:rFonts w:ascii="Calibri" w:eastAsia="Times New Roman" w:hAnsi="Calibri" w:cs="Calibri"/>
                <w:b/>
                <w:color w:val="000000"/>
                <w:sz w:val="18"/>
                <w:szCs w:val="18"/>
                <w:lang w:eastAsia="it-IT"/>
              </w:rPr>
              <w:t>5.691</w:t>
            </w:r>
          </w:p>
        </w:tc>
      </w:tr>
    </w:tbl>
    <w:p w:rsidR="00242B71" w:rsidRDefault="00242B71" w:rsidP="00242B71">
      <w:pPr>
        <w:spacing w:after="0"/>
        <w:jc w:val="both"/>
        <w:rPr>
          <w:sz w:val="18"/>
        </w:rPr>
      </w:pPr>
      <w:r>
        <w:rPr>
          <w:sz w:val="18"/>
        </w:rPr>
        <w:t>Nota: la categoria “</w:t>
      </w:r>
      <w:proofErr w:type="spellStart"/>
      <w:r>
        <w:rPr>
          <w:sz w:val="18"/>
        </w:rPr>
        <w:t>Missing</w:t>
      </w:r>
      <w:proofErr w:type="spellEnd"/>
      <w:r>
        <w:rPr>
          <w:sz w:val="18"/>
        </w:rPr>
        <w:t>” indica una mansione che non si è stati in grado di ricondurre alle attività del settore orafo (probabilmente frutto di un errore di inserimento da parte dei datori di lavoro.</w:t>
      </w:r>
    </w:p>
    <w:p w:rsidR="00242B71" w:rsidRDefault="00242B71" w:rsidP="00242B71">
      <w:pPr>
        <w:spacing w:after="0"/>
        <w:jc w:val="both"/>
        <w:rPr>
          <w:sz w:val="18"/>
        </w:rPr>
      </w:pPr>
    </w:p>
    <w:p w:rsidR="00242B71" w:rsidRDefault="00242B71" w:rsidP="00242B71">
      <w:pPr>
        <w:spacing w:after="0"/>
        <w:jc w:val="both"/>
      </w:pPr>
      <w:r>
        <w:t>La tabella di cui sopra indica una crescita degli avviamenti nelle mansioni energetiche, relativa al periodo 2011-2015, di +93,7%: si è passati da 671 avviamenti del 2011, ai 1.300 avviamenti del 2015.</w:t>
      </w:r>
    </w:p>
    <w:p w:rsidR="00242B71" w:rsidRDefault="00242B71" w:rsidP="00242B71">
      <w:pPr>
        <w:spacing w:after="0"/>
        <w:jc w:val="both"/>
      </w:pPr>
    </w:p>
    <w:p w:rsidR="00242B71" w:rsidRDefault="00242B71" w:rsidP="00242B71">
      <w:pPr>
        <w:spacing w:after="0"/>
        <w:jc w:val="both"/>
      </w:pPr>
      <w:r>
        <w:t>Con riferimento alle mansioni cognitivo – replicative la variazione nel quinquennio considerato è stata del +42,5%: gli avviamenti cognitivo-replicativi erano 120 nel 2011 e divengono 171 nel 2015.</w:t>
      </w:r>
    </w:p>
    <w:p w:rsidR="00242B71" w:rsidRDefault="00242B71" w:rsidP="00242B71">
      <w:pPr>
        <w:spacing w:after="0"/>
        <w:jc w:val="both"/>
      </w:pPr>
    </w:p>
    <w:p w:rsidR="00242B71" w:rsidRDefault="00242B71" w:rsidP="00242B71">
      <w:pPr>
        <w:spacing w:after="0"/>
        <w:jc w:val="both"/>
      </w:pPr>
      <w:r>
        <w:t xml:space="preserve"> Infine, per quanto concerne le mansioni cognitivo – generative, la crescita è stata nel periodo considerato di + 21%: si è passati da 81 avviamenti nel 2011 a 98 nel 2015.  </w:t>
      </w:r>
    </w:p>
    <w:p w:rsidR="00242B71" w:rsidRDefault="00242B71" w:rsidP="00242B71">
      <w:pPr>
        <w:spacing w:after="0"/>
        <w:jc w:val="both"/>
      </w:pPr>
    </w:p>
    <w:p w:rsidR="00242B71" w:rsidRDefault="00242B71" w:rsidP="00242B71">
      <w:pPr>
        <w:spacing w:after="0"/>
        <w:jc w:val="both"/>
      </w:pPr>
      <w:r>
        <w:t xml:space="preserve">Se si analizza il rapporto tra avviamenti e </w:t>
      </w:r>
      <w:r>
        <w:rPr>
          <w:i/>
        </w:rPr>
        <w:t>teste</w:t>
      </w:r>
      <w:r>
        <w:t xml:space="preserve"> in riferimento a ciascuna delle tre macro-categorie sopra considerate che si ottiene in ciascuno degli anni di osservazione è pari a 1,1. Lo stesso valore si ha in riferimento al quinquennio analizzato. Dunque, il </w:t>
      </w:r>
      <w:r>
        <w:rPr>
          <w:i/>
        </w:rPr>
        <w:t>turn over</w:t>
      </w:r>
      <w:r>
        <w:t xml:space="preserve"> associato alle mansioni – indipendentemente dalla macro-categoria di appartenenza – è piuttosto contenuto: chi trova lavoro nel settore orafo tende mantenere il proprio impiego per tutto il periodo di osservazione, a prescindere dal tipo di lavoro effettivamente svolto.</w:t>
      </w:r>
    </w:p>
    <w:p w:rsidR="00242B71" w:rsidRDefault="00242B71" w:rsidP="00242B71">
      <w:pPr>
        <w:spacing w:after="0"/>
        <w:jc w:val="both"/>
      </w:pPr>
    </w:p>
    <w:p w:rsidR="00242B71" w:rsidRDefault="00242B71" w:rsidP="00242B71">
      <w:pPr>
        <w:spacing w:after="0"/>
        <w:jc w:val="both"/>
      </w:pPr>
      <w:r>
        <w:t>Nel grafico seguente gli avviamenti riconducibili alle tre macro-categorie sopra riportate sono raffrontati ai valori assunti nel 2011 (=100%)</w:t>
      </w:r>
    </w:p>
    <w:p w:rsidR="00242B71" w:rsidRDefault="00242B71" w:rsidP="00242B71">
      <w:pPr>
        <w:spacing w:after="0"/>
        <w:jc w:val="both"/>
      </w:pPr>
    </w:p>
    <w:p w:rsidR="00242B71" w:rsidRPr="004963A6" w:rsidRDefault="004963A6" w:rsidP="00242B71">
      <w:pPr>
        <w:spacing w:line="240" w:lineRule="auto"/>
        <w:jc w:val="both"/>
        <w:rPr>
          <w:rFonts w:ascii="Calibri" w:eastAsia="Times New Roman" w:hAnsi="Calibri" w:cs="Calibri"/>
          <w:b/>
          <w:bCs/>
          <w:color w:val="000000"/>
          <w:sz w:val="20"/>
          <w:szCs w:val="20"/>
          <w:lang w:eastAsia="it-IT"/>
        </w:rPr>
      </w:pPr>
      <w:r w:rsidRPr="004963A6">
        <w:rPr>
          <w:rFonts w:ascii="Calibri" w:eastAsia="Times New Roman" w:hAnsi="Calibri" w:cs="Calibri"/>
          <w:b/>
          <w:bCs/>
          <w:color w:val="000000"/>
          <w:sz w:val="20"/>
          <w:szCs w:val="20"/>
          <w:lang w:eastAsia="it-IT"/>
        </w:rPr>
        <w:t>Graf. 3.5</w:t>
      </w:r>
      <w:r w:rsidR="00242B71" w:rsidRPr="004963A6">
        <w:rPr>
          <w:rFonts w:ascii="Calibri" w:eastAsia="Times New Roman" w:hAnsi="Calibri" w:cs="Calibri"/>
          <w:b/>
          <w:bCs/>
          <w:color w:val="000000"/>
          <w:sz w:val="20"/>
          <w:szCs w:val="20"/>
          <w:lang w:eastAsia="it-IT"/>
        </w:rPr>
        <w:t xml:space="preserve"> Variazione delle mansioni svolte in base alle </w:t>
      </w:r>
      <w:proofErr w:type="spellStart"/>
      <w:r w:rsidR="00242B71" w:rsidRPr="004963A6">
        <w:rPr>
          <w:rFonts w:ascii="Calibri" w:eastAsia="Times New Roman" w:hAnsi="Calibri" w:cs="Calibri"/>
          <w:b/>
          <w:bCs/>
          <w:color w:val="000000"/>
          <w:sz w:val="20"/>
          <w:szCs w:val="20"/>
          <w:lang w:eastAsia="it-IT"/>
        </w:rPr>
        <w:t>macrocategorie</w:t>
      </w:r>
      <w:proofErr w:type="spellEnd"/>
      <w:r w:rsidR="00242B71" w:rsidRPr="004963A6">
        <w:rPr>
          <w:rFonts w:ascii="Calibri" w:eastAsia="Times New Roman" w:hAnsi="Calibri" w:cs="Calibri"/>
          <w:b/>
          <w:bCs/>
          <w:color w:val="000000"/>
          <w:sz w:val="20"/>
          <w:szCs w:val="20"/>
          <w:lang w:eastAsia="it-IT"/>
        </w:rPr>
        <w:t xml:space="preserve"> nel periodo 2011-2015 (avviamenti).</w:t>
      </w:r>
    </w:p>
    <w:p w:rsidR="00242B71" w:rsidRDefault="00242B71" w:rsidP="00242B71">
      <w:pPr>
        <w:spacing w:after="0"/>
        <w:jc w:val="both"/>
      </w:pPr>
      <w:r>
        <w:rPr>
          <w:noProof/>
          <w:lang w:eastAsia="it-IT"/>
        </w:rPr>
        <w:drawing>
          <wp:inline distT="0" distB="0" distL="0" distR="0">
            <wp:extent cx="6134100" cy="2600325"/>
            <wp:effectExtent l="0" t="0" r="0" b="9525"/>
            <wp:docPr id="20" name="Gra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42B71" w:rsidRDefault="00242B71" w:rsidP="00242B71">
      <w:pPr>
        <w:spacing w:after="0"/>
        <w:jc w:val="both"/>
      </w:pPr>
    </w:p>
    <w:p w:rsidR="00242B71" w:rsidRDefault="00242B71" w:rsidP="00242B71">
      <w:pPr>
        <w:jc w:val="both"/>
      </w:pPr>
      <w:r>
        <w:t xml:space="preserve">L’andamento delle tre curve del grafico indica una notevole crescita degli avviamenti “energetici”, seguita, a lunga distanza, da quelli cognitivo-replicativi e da un piccolo incremento del lavoro cognitivo – generativo. Il dato indica quindi, che per quanto concerne la forza lavoro, il ricorso a figure professionali in grado di introdurre innovazioni di processo e di prodotto risulta estremamente contenuto (+21%, pari a un incremento di 17 avviamenti che corrispondono a 16 </w:t>
      </w:r>
      <w:r>
        <w:rPr>
          <w:i/>
        </w:rPr>
        <w:t>teste</w:t>
      </w:r>
      <w:r>
        <w:t xml:space="preserve">): in termini di mansioni, l’orafo aretino sembra continuare a fondare il proprio </w:t>
      </w:r>
      <w:r>
        <w:rPr>
          <w:i/>
        </w:rPr>
        <w:t>know-how</w:t>
      </w:r>
      <w:r>
        <w:t xml:space="preserve"> sulle conoscenze e competenze possedute dai profili professionali tradizionali, più in grado di replicare prodotti e processi tradizionali che di innovarli.</w:t>
      </w:r>
    </w:p>
    <w:p w:rsidR="00946AD8" w:rsidRPr="004963A6" w:rsidRDefault="004963A6" w:rsidP="00242B71">
      <w:pPr>
        <w:jc w:val="both"/>
        <w:rPr>
          <w:b/>
          <w:sz w:val="20"/>
          <w:szCs w:val="20"/>
        </w:rPr>
      </w:pPr>
      <w:r w:rsidRPr="004963A6">
        <w:rPr>
          <w:b/>
          <w:sz w:val="20"/>
          <w:szCs w:val="20"/>
        </w:rPr>
        <w:t xml:space="preserve">Tab.3.9 composizione e variazioni delle </w:t>
      </w:r>
      <w:proofErr w:type="spellStart"/>
      <w:r w:rsidRPr="004963A6">
        <w:rPr>
          <w:b/>
          <w:sz w:val="20"/>
          <w:szCs w:val="20"/>
        </w:rPr>
        <w:t>macrocategorie</w:t>
      </w:r>
      <w:proofErr w:type="spellEnd"/>
      <w:r w:rsidRPr="004963A6">
        <w:rPr>
          <w:b/>
          <w:sz w:val="20"/>
          <w:szCs w:val="20"/>
        </w:rPr>
        <w:t xml:space="preserve"> di mansioni (avviamenti 2011-2015)</w:t>
      </w:r>
    </w:p>
    <w:tbl>
      <w:tblPr>
        <w:tblW w:w="8921" w:type="dxa"/>
        <w:tblCellMar>
          <w:left w:w="70" w:type="dxa"/>
          <w:right w:w="70" w:type="dxa"/>
        </w:tblCellMar>
        <w:tblLook w:val="04A0" w:firstRow="1" w:lastRow="0" w:firstColumn="1" w:lastColumn="0" w:noHBand="0" w:noVBand="1"/>
      </w:tblPr>
      <w:tblGrid>
        <w:gridCol w:w="3392"/>
        <w:gridCol w:w="2410"/>
        <w:gridCol w:w="3119"/>
      </w:tblGrid>
      <w:tr w:rsidR="00946AD8" w:rsidRPr="00946AD8" w:rsidTr="00946AD8">
        <w:trPr>
          <w:trHeight w:val="735"/>
        </w:trPr>
        <w:tc>
          <w:tcPr>
            <w:tcW w:w="3392" w:type="dxa"/>
            <w:tcBorders>
              <w:top w:val="single" w:sz="8" w:space="0" w:color="FFFFFF"/>
              <w:left w:val="single" w:sz="8" w:space="0" w:color="FFFFFF"/>
              <w:bottom w:val="single" w:sz="12" w:space="0" w:color="FFFFFF"/>
              <w:right w:val="single" w:sz="8" w:space="0" w:color="FFFFFF"/>
            </w:tcBorders>
            <w:shd w:val="clear" w:color="000000" w:fill="5B9BD5"/>
            <w:vAlign w:val="center"/>
            <w:hideMark/>
          </w:tcPr>
          <w:p w:rsidR="00946AD8" w:rsidRPr="00946AD8" w:rsidRDefault="00946AD8" w:rsidP="00946AD8">
            <w:pPr>
              <w:spacing w:after="0" w:line="240" w:lineRule="auto"/>
              <w:jc w:val="center"/>
              <w:rPr>
                <w:rFonts w:ascii="Calibri" w:eastAsia="Times New Roman" w:hAnsi="Calibri" w:cs="Calibri"/>
                <w:b/>
                <w:bCs/>
                <w:color w:val="FFFFFF"/>
                <w:lang w:eastAsia="it-IT"/>
              </w:rPr>
            </w:pPr>
            <w:r w:rsidRPr="00946AD8">
              <w:rPr>
                <w:rFonts w:ascii="Calibri" w:eastAsia="Times New Roman" w:hAnsi="Calibri" w:cs="Calibri"/>
                <w:b/>
                <w:bCs/>
                <w:color w:val="FFFFFF"/>
                <w:lang w:eastAsia="it-IT"/>
              </w:rPr>
              <w:t>Macro-categorie Mansioni</w:t>
            </w:r>
          </w:p>
        </w:tc>
        <w:tc>
          <w:tcPr>
            <w:tcW w:w="2410" w:type="dxa"/>
            <w:tcBorders>
              <w:top w:val="single" w:sz="8" w:space="0" w:color="FFFFFF"/>
              <w:left w:val="nil"/>
              <w:bottom w:val="single" w:sz="12" w:space="0" w:color="FFFFFF"/>
              <w:right w:val="single" w:sz="8" w:space="0" w:color="FFFFFF"/>
            </w:tcBorders>
            <w:shd w:val="clear" w:color="000000" w:fill="5B9BD5"/>
            <w:vAlign w:val="center"/>
            <w:hideMark/>
          </w:tcPr>
          <w:p w:rsidR="00946AD8" w:rsidRPr="00946AD8" w:rsidRDefault="00946AD8" w:rsidP="00946AD8">
            <w:pPr>
              <w:spacing w:after="0" w:line="240" w:lineRule="auto"/>
              <w:jc w:val="center"/>
              <w:rPr>
                <w:rFonts w:ascii="Calibri" w:eastAsia="Times New Roman" w:hAnsi="Calibri" w:cs="Calibri"/>
                <w:b/>
                <w:bCs/>
                <w:color w:val="FFFFFF"/>
                <w:lang w:eastAsia="it-IT"/>
              </w:rPr>
            </w:pPr>
            <w:r w:rsidRPr="00946AD8">
              <w:rPr>
                <w:rFonts w:ascii="Calibri" w:eastAsia="Times New Roman" w:hAnsi="Calibri" w:cs="Calibri"/>
                <w:b/>
                <w:bCs/>
                <w:color w:val="FFFFFF"/>
                <w:lang w:eastAsia="it-IT"/>
              </w:rPr>
              <w:t xml:space="preserve"> Composizione 2011-2015</w:t>
            </w:r>
          </w:p>
        </w:tc>
        <w:tc>
          <w:tcPr>
            <w:tcW w:w="3119" w:type="dxa"/>
            <w:tcBorders>
              <w:top w:val="single" w:sz="8" w:space="0" w:color="FFFFFF"/>
              <w:left w:val="nil"/>
              <w:bottom w:val="single" w:sz="12" w:space="0" w:color="FFFFFF"/>
              <w:right w:val="single" w:sz="8" w:space="0" w:color="FFFFFF"/>
            </w:tcBorders>
            <w:shd w:val="clear" w:color="000000" w:fill="5B9BD5"/>
            <w:vAlign w:val="center"/>
            <w:hideMark/>
          </w:tcPr>
          <w:p w:rsidR="00946AD8" w:rsidRPr="00946AD8" w:rsidRDefault="00946AD8" w:rsidP="00946AD8">
            <w:pPr>
              <w:spacing w:after="0" w:line="240" w:lineRule="auto"/>
              <w:jc w:val="center"/>
              <w:rPr>
                <w:rFonts w:ascii="Calibri" w:eastAsia="Times New Roman" w:hAnsi="Calibri" w:cs="Calibri"/>
                <w:b/>
                <w:bCs/>
                <w:color w:val="FFFFFF"/>
                <w:lang w:eastAsia="it-IT"/>
              </w:rPr>
            </w:pPr>
            <w:r w:rsidRPr="00946AD8">
              <w:rPr>
                <w:rFonts w:ascii="Calibri" w:eastAsia="Times New Roman" w:hAnsi="Calibri" w:cs="Calibri"/>
                <w:b/>
                <w:bCs/>
                <w:color w:val="FFFFFF"/>
                <w:lang w:eastAsia="it-IT"/>
              </w:rPr>
              <w:t>Variazione fra il 2011 e il 2015</w:t>
            </w:r>
          </w:p>
        </w:tc>
      </w:tr>
      <w:tr w:rsidR="00946AD8" w:rsidRPr="00946AD8" w:rsidTr="00946AD8">
        <w:trPr>
          <w:trHeight w:val="372"/>
        </w:trPr>
        <w:tc>
          <w:tcPr>
            <w:tcW w:w="3392" w:type="dxa"/>
            <w:tcBorders>
              <w:top w:val="nil"/>
              <w:left w:val="single" w:sz="8" w:space="0" w:color="FFFFFF"/>
              <w:bottom w:val="single" w:sz="8" w:space="0" w:color="FFFFFF"/>
              <w:right w:val="single" w:sz="8" w:space="0" w:color="FFFFFF"/>
            </w:tcBorders>
            <w:shd w:val="clear" w:color="000000" w:fill="5B9BD5"/>
            <w:vAlign w:val="center"/>
            <w:hideMark/>
          </w:tcPr>
          <w:p w:rsidR="00946AD8" w:rsidRPr="00946AD8" w:rsidRDefault="00946AD8" w:rsidP="00946AD8">
            <w:pPr>
              <w:spacing w:after="0" w:line="240" w:lineRule="auto"/>
              <w:rPr>
                <w:rFonts w:ascii="Calibri" w:eastAsia="Times New Roman" w:hAnsi="Calibri" w:cs="Calibri"/>
                <w:b/>
                <w:bCs/>
                <w:color w:val="FFFFFF"/>
                <w:lang w:eastAsia="it-IT"/>
              </w:rPr>
            </w:pPr>
            <w:r w:rsidRPr="00946AD8">
              <w:rPr>
                <w:rFonts w:ascii="Calibri" w:eastAsia="Times New Roman" w:hAnsi="Calibri" w:cs="Calibri"/>
                <w:b/>
                <w:bCs/>
                <w:color w:val="FFFFFF"/>
                <w:lang w:eastAsia="it-IT"/>
              </w:rPr>
              <w:t>Mansioni cognitivo-generative</w:t>
            </w:r>
          </w:p>
        </w:tc>
        <w:tc>
          <w:tcPr>
            <w:tcW w:w="2410" w:type="dxa"/>
            <w:tcBorders>
              <w:top w:val="nil"/>
              <w:left w:val="nil"/>
              <w:bottom w:val="single" w:sz="8" w:space="0" w:color="FFFFFF"/>
              <w:right w:val="single" w:sz="8" w:space="0" w:color="FFFFFF"/>
            </w:tcBorders>
            <w:shd w:val="clear" w:color="000000" w:fill="D2DEEF"/>
            <w:vAlign w:val="center"/>
            <w:hideMark/>
          </w:tcPr>
          <w:p w:rsidR="00946AD8" w:rsidRPr="00946AD8" w:rsidRDefault="00946AD8" w:rsidP="00946AD8">
            <w:pPr>
              <w:spacing w:after="0" w:line="240" w:lineRule="auto"/>
              <w:jc w:val="right"/>
              <w:rPr>
                <w:rFonts w:ascii="Calibri" w:eastAsia="Times New Roman" w:hAnsi="Calibri" w:cs="Calibri"/>
                <w:b/>
                <w:bCs/>
                <w:color w:val="000000"/>
                <w:lang w:eastAsia="it-IT"/>
              </w:rPr>
            </w:pPr>
            <w:r w:rsidRPr="00946AD8">
              <w:rPr>
                <w:rFonts w:ascii="Calibri" w:eastAsia="Times New Roman" w:hAnsi="Calibri" w:cs="Calibri"/>
                <w:b/>
                <w:bCs/>
                <w:color w:val="000000"/>
                <w:lang w:eastAsia="it-IT"/>
              </w:rPr>
              <w:t>7%</w:t>
            </w:r>
          </w:p>
        </w:tc>
        <w:tc>
          <w:tcPr>
            <w:tcW w:w="3119" w:type="dxa"/>
            <w:tcBorders>
              <w:top w:val="nil"/>
              <w:left w:val="nil"/>
              <w:bottom w:val="single" w:sz="8" w:space="0" w:color="FFFFFF"/>
              <w:right w:val="single" w:sz="8" w:space="0" w:color="FFFFFF"/>
            </w:tcBorders>
            <w:shd w:val="clear" w:color="000000" w:fill="D2DEEF"/>
            <w:vAlign w:val="center"/>
            <w:hideMark/>
          </w:tcPr>
          <w:p w:rsidR="00946AD8" w:rsidRPr="00946AD8" w:rsidRDefault="00946AD8" w:rsidP="00946AD8">
            <w:pPr>
              <w:spacing w:after="0" w:line="240" w:lineRule="auto"/>
              <w:jc w:val="right"/>
              <w:rPr>
                <w:rFonts w:ascii="Calibri" w:eastAsia="Times New Roman" w:hAnsi="Calibri" w:cs="Calibri"/>
                <w:b/>
                <w:bCs/>
                <w:color w:val="000000"/>
                <w:lang w:eastAsia="it-IT"/>
              </w:rPr>
            </w:pPr>
            <w:r w:rsidRPr="00946AD8">
              <w:rPr>
                <w:rFonts w:ascii="Calibri" w:eastAsia="Times New Roman" w:hAnsi="Calibri" w:cs="Calibri"/>
                <w:b/>
                <w:bCs/>
                <w:color w:val="000000"/>
                <w:lang w:eastAsia="it-IT"/>
              </w:rPr>
              <w:t>21%</w:t>
            </w:r>
          </w:p>
        </w:tc>
      </w:tr>
      <w:tr w:rsidR="00946AD8" w:rsidRPr="00946AD8" w:rsidTr="00946AD8">
        <w:trPr>
          <w:trHeight w:val="390"/>
        </w:trPr>
        <w:tc>
          <w:tcPr>
            <w:tcW w:w="3392" w:type="dxa"/>
            <w:tcBorders>
              <w:top w:val="nil"/>
              <w:left w:val="single" w:sz="8" w:space="0" w:color="FFFFFF"/>
              <w:bottom w:val="single" w:sz="8" w:space="0" w:color="FFFFFF"/>
              <w:right w:val="single" w:sz="8" w:space="0" w:color="FFFFFF"/>
            </w:tcBorders>
            <w:shd w:val="clear" w:color="000000" w:fill="5B9BD5"/>
            <w:vAlign w:val="center"/>
            <w:hideMark/>
          </w:tcPr>
          <w:p w:rsidR="00946AD8" w:rsidRPr="00946AD8" w:rsidRDefault="00946AD8" w:rsidP="00946AD8">
            <w:pPr>
              <w:spacing w:after="0" w:line="240" w:lineRule="auto"/>
              <w:rPr>
                <w:rFonts w:ascii="Calibri" w:eastAsia="Times New Roman" w:hAnsi="Calibri" w:cs="Calibri"/>
                <w:b/>
                <w:bCs/>
                <w:color w:val="FFFFFF"/>
                <w:lang w:eastAsia="it-IT"/>
              </w:rPr>
            </w:pPr>
            <w:r w:rsidRPr="00946AD8">
              <w:rPr>
                <w:rFonts w:ascii="Calibri" w:eastAsia="Times New Roman" w:hAnsi="Calibri" w:cs="Calibri"/>
                <w:b/>
                <w:bCs/>
                <w:color w:val="FFFFFF"/>
                <w:lang w:eastAsia="it-IT"/>
              </w:rPr>
              <w:t>Mansioni cognitivo-replicative</w:t>
            </w:r>
          </w:p>
        </w:tc>
        <w:tc>
          <w:tcPr>
            <w:tcW w:w="2410" w:type="dxa"/>
            <w:tcBorders>
              <w:top w:val="nil"/>
              <w:left w:val="nil"/>
              <w:bottom w:val="single" w:sz="8" w:space="0" w:color="FFFFFF"/>
              <w:right w:val="single" w:sz="8" w:space="0" w:color="FFFFFF"/>
            </w:tcBorders>
            <w:shd w:val="clear" w:color="000000" w:fill="EAEFF7"/>
            <w:vAlign w:val="center"/>
            <w:hideMark/>
          </w:tcPr>
          <w:p w:rsidR="00946AD8" w:rsidRPr="00946AD8" w:rsidRDefault="00946AD8" w:rsidP="00946AD8">
            <w:pPr>
              <w:spacing w:after="0" w:line="240" w:lineRule="auto"/>
              <w:jc w:val="right"/>
              <w:rPr>
                <w:rFonts w:ascii="Calibri" w:eastAsia="Times New Roman" w:hAnsi="Calibri" w:cs="Calibri"/>
                <w:b/>
                <w:bCs/>
                <w:color w:val="000000"/>
                <w:lang w:eastAsia="it-IT"/>
              </w:rPr>
            </w:pPr>
            <w:r w:rsidRPr="00946AD8">
              <w:rPr>
                <w:rFonts w:ascii="Calibri" w:eastAsia="Times New Roman" w:hAnsi="Calibri" w:cs="Calibri"/>
                <w:b/>
                <w:bCs/>
                <w:color w:val="000000"/>
                <w:lang w:eastAsia="it-IT"/>
              </w:rPr>
              <w:t>11%</w:t>
            </w:r>
          </w:p>
        </w:tc>
        <w:tc>
          <w:tcPr>
            <w:tcW w:w="3119" w:type="dxa"/>
            <w:tcBorders>
              <w:top w:val="nil"/>
              <w:left w:val="nil"/>
              <w:bottom w:val="single" w:sz="8" w:space="0" w:color="FFFFFF"/>
              <w:right w:val="single" w:sz="8" w:space="0" w:color="FFFFFF"/>
            </w:tcBorders>
            <w:shd w:val="clear" w:color="000000" w:fill="EAEFF7"/>
            <w:vAlign w:val="center"/>
            <w:hideMark/>
          </w:tcPr>
          <w:p w:rsidR="00946AD8" w:rsidRPr="00946AD8" w:rsidRDefault="00946AD8" w:rsidP="00946AD8">
            <w:pPr>
              <w:spacing w:after="0" w:line="240" w:lineRule="auto"/>
              <w:jc w:val="right"/>
              <w:rPr>
                <w:rFonts w:ascii="Calibri" w:eastAsia="Times New Roman" w:hAnsi="Calibri" w:cs="Calibri"/>
                <w:b/>
                <w:bCs/>
                <w:color w:val="000000"/>
                <w:lang w:eastAsia="it-IT"/>
              </w:rPr>
            </w:pPr>
            <w:r w:rsidRPr="00946AD8">
              <w:rPr>
                <w:rFonts w:ascii="Calibri" w:eastAsia="Times New Roman" w:hAnsi="Calibri" w:cs="Calibri"/>
                <w:b/>
                <w:bCs/>
                <w:color w:val="000000"/>
                <w:lang w:eastAsia="it-IT"/>
              </w:rPr>
              <w:t>42%</w:t>
            </w:r>
          </w:p>
        </w:tc>
      </w:tr>
      <w:tr w:rsidR="00946AD8" w:rsidRPr="00946AD8" w:rsidTr="00946AD8">
        <w:trPr>
          <w:trHeight w:val="421"/>
        </w:trPr>
        <w:tc>
          <w:tcPr>
            <w:tcW w:w="3392" w:type="dxa"/>
            <w:tcBorders>
              <w:top w:val="nil"/>
              <w:left w:val="single" w:sz="8" w:space="0" w:color="FFFFFF"/>
              <w:bottom w:val="single" w:sz="8" w:space="0" w:color="FFFFFF"/>
              <w:right w:val="single" w:sz="8" w:space="0" w:color="FFFFFF"/>
            </w:tcBorders>
            <w:shd w:val="clear" w:color="000000" w:fill="5B9BD5"/>
            <w:vAlign w:val="center"/>
            <w:hideMark/>
          </w:tcPr>
          <w:p w:rsidR="00946AD8" w:rsidRPr="00946AD8" w:rsidRDefault="00946AD8" w:rsidP="00946AD8">
            <w:pPr>
              <w:spacing w:after="0" w:line="240" w:lineRule="auto"/>
              <w:rPr>
                <w:rFonts w:ascii="Calibri" w:eastAsia="Times New Roman" w:hAnsi="Calibri" w:cs="Calibri"/>
                <w:b/>
                <w:bCs/>
                <w:color w:val="FFFFFF"/>
                <w:lang w:eastAsia="it-IT"/>
              </w:rPr>
            </w:pPr>
            <w:r w:rsidRPr="00946AD8">
              <w:rPr>
                <w:rFonts w:ascii="Calibri" w:eastAsia="Times New Roman" w:hAnsi="Calibri" w:cs="Calibri"/>
                <w:b/>
                <w:bCs/>
                <w:color w:val="FFFFFF"/>
                <w:lang w:eastAsia="it-IT"/>
              </w:rPr>
              <w:t>Mansioni manuali</w:t>
            </w:r>
          </w:p>
        </w:tc>
        <w:tc>
          <w:tcPr>
            <w:tcW w:w="2410" w:type="dxa"/>
            <w:tcBorders>
              <w:top w:val="nil"/>
              <w:left w:val="nil"/>
              <w:bottom w:val="single" w:sz="8" w:space="0" w:color="FFFFFF"/>
              <w:right w:val="single" w:sz="8" w:space="0" w:color="FFFFFF"/>
            </w:tcBorders>
            <w:shd w:val="clear" w:color="000000" w:fill="D2DEEF"/>
            <w:vAlign w:val="center"/>
            <w:hideMark/>
          </w:tcPr>
          <w:p w:rsidR="00946AD8" w:rsidRPr="00946AD8" w:rsidRDefault="00946AD8" w:rsidP="00946AD8">
            <w:pPr>
              <w:spacing w:after="0" w:line="240" w:lineRule="auto"/>
              <w:jc w:val="right"/>
              <w:rPr>
                <w:rFonts w:ascii="Calibri" w:eastAsia="Times New Roman" w:hAnsi="Calibri" w:cs="Calibri"/>
                <w:b/>
                <w:bCs/>
                <w:color w:val="000000"/>
                <w:lang w:eastAsia="it-IT"/>
              </w:rPr>
            </w:pPr>
            <w:r w:rsidRPr="00946AD8">
              <w:rPr>
                <w:rFonts w:ascii="Calibri" w:eastAsia="Times New Roman" w:hAnsi="Calibri" w:cs="Calibri"/>
                <w:b/>
                <w:bCs/>
                <w:color w:val="000000"/>
                <w:lang w:eastAsia="it-IT"/>
              </w:rPr>
              <w:t>82%</w:t>
            </w:r>
          </w:p>
        </w:tc>
        <w:tc>
          <w:tcPr>
            <w:tcW w:w="3119" w:type="dxa"/>
            <w:tcBorders>
              <w:top w:val="nil"/>
              <w:left w:val="nil"/>
              <w:bottom w:val="single" w:sz="8" w:space="0" w:color="FFFFFF"/>
              <w:right w:val="single" w:sz="8" w:space="0" w:color="FFFFFF"/>
            </w:tcBorders>
            <w:shd w:val="clear" w:color="000000" w:fill="D2DEEF"/>
            <w:vAlign w:val="center"/>
            <w:hideMark/>
          </w:tcPr>
          <w:p w:rsidR="00946AD8" w:rsidRPr="00946AD8" w:rsidRDefault="00946AD8" w:rsidP="00946AD8">
            <w:pPr>
              <w:spacing w:after="0" w:line="240" w:lineRule="auto"/>
              <w:jc w:val="right"/>
              <w:rPr>
                <w:rFonts w:ascii="Calibri" w:eastAsia="Times New Roman" w:hAnsi="Calibri" w:cs="Calibri"/>
                <w:b/>
                <w:bCs/>
                <w:color w:val="000000"/>
                <w:lang w:eastAsia="it-IT"/>
              </w:rPr>
            </w:pPr>
            <w:r w:rsidRPr="00946AD8">
              <w:rPr>
                <w:rFonts w:ascii="Calibri" w:eastAsia="Times New Roman" w:hAnsi="Calibri" w:cs="Calibri"/>
                <w:b/>
                <w:bCs/>
                <w:color w:val="000000"/>
                <w:lang w:eastAsia="it-IT"/>
              </w:rPr>
              <w:t>94%</w:t>
            </w:r>
          </w:p>
        </w:tc>
      </w:tr>
      <w:tr w:rsidR="00946AD8" w:rsidRPr="00946AD8" w:rsidTr="00946AD8">
        <w:trPr>
          <w:trHeight w:val="270"/>
        </w:trPr>
        <w:tc>
          <w:tcPr>
            <w:tcW w:w="3392" w:type="dxa"/>
            <w:tcBorders>
              <w:top w:val="nil"/>
              <w:left w:val="single" w:sz="8" w:space="0" w:color="FFFFFF"/>
              <w:bottom w:val="single" w:sz="8" w:space="0" w:color="FFFFFF"/>
              <w:right w:val="single" w:sz="8" w:space="0" w:color="FFFFFF"/>
            </w:tcBorders>
            <w:shd w:val="clear" w:color="000000" w:fill="5B9BD5"/>
            <w:vAlign w:val="center"/>
            <w:hideMark/>
          </w:tcPr>
          <w:p w:rsidR="00946AD8" w:rsidRPr="00946AD8" w:rsidRDefault="00946AD8" w:rsidP="00946AD8">
            <w:pPr>
              <w:spacing w:after="0" w:line="240" w:lineRule="auto"/>
              <w:rPr>
                <w:rFonts w:ascii="Calibri" w:eastAsia="Times New Roman" w:hAnsi="Calibri" w:cs="Calibri"/>
                <w:b/>
                <w:bCs/>
                <w:color w:val="FFFFFF"/>
                <w:lang w:eastAsia="it-IT"/>
              </w:rPr>
            </w:pPr>
            <w:r w:rsidRPr="00946AD8">
              <w:rPr>
                <w:rFonts w:ascii="Calibri" w:eastAsia="Times New Roman" w:hAnsi="Calibri" w:cs="Calibri"/>
                <w:b/>
                <w:bCs/>
                <w:color w:val="FFFFFF"/>
                <w:lang w:eastAsia="it-IT"/>
              </w:rPr>
              <w:t>Totale</w:t>
            </w:r>
          </w:p>
        </w:tc>
        <w:tc>
          <w:tcPr>
            <w:tcW w:w="2410" w:type="dxa"/>
            <w:tcBorders>
              <w:top w:val="nil"/>
              <w:left w:val="nil"/>
              <w:bottom w:val="single" w:sz="8" w:space="0" w:color="FFFFFF"/>
              <w:right w:val="single" w:sz="8" w:space="0" w:color="FFFFFF"/>
            </w:tcBorders>
            <w:shd w:val="clear" w:color="000000" w:fill="EAEFF7"/>
            <w:vAlign w:val="center"/>
            <w:hideMark/>
          </w:tcPr>
          <w:p w:rsidR="00946AD8" w:rsidRPr="00946AD8" w:rsidRDefault="00946AD8" w:rsidP="00946AD8">
            <w:pPr>
              <w:spacing w:after="0" w:line="240" w:lineRule="auto"/>
              <w:jc w:val="right"/>
              <w:rPr>
                <w:rFonts w:ascii="Calibri" w:eastAsia="Times New Roman" w:hAnsi="Calibri" w:cs="Calibri"/>
                <w:b/>
                <w:bCs/>
                <w:color w:val="000000"/>
                <w:lang w:eastAsia="it-IT"/>
              </w:rPr>
            </w:pPr>
            <w:r w:rsidRPr="00946AD8">
              <w:rPr>
                <w:rFonts w:ascii="Calibri" w:eastAsia="Times New Roman" w:hAnsi="Calibri" w:cs="Calibri"/>
                <w:b/>
                <w:bCs/>
                <w:color w:val="000000"/>
                <w:lang w:eastAsia="it-IT"/>
              </w:rPr>
              <w:t>100%</w:t>
            </w:r>
          </w:p>
        </w:tc>
        <w:tc>
          <w:tcPr>
            <w:tcW w:w="3119" w:type="dxa"/>
            <w:tcBorders>
              <w:top w:val="nil"/>
              <w:left w:val="nil"/>
              <w:bottom w:val="single" w:sz="8" w:space="0" w:color="FFFFFF"/>
              <w:right w:val="single" w:sz="8" w:space="0" w:color="FFFFFF"/>
            </w:tcBorders>
            <w:shd w:val="clear" w:color="000000" w:fill="EAEFF7"/>
            <w:vAlign w:val="center"/>
            <w:hideMark/>
          </w:tcPr>
          <w:p w:rsidR="00946AD8" w:rsidRPr="00946AD8" w:rsidRDefault="00946AD8" w:rsidP="00946AD8">
            <w:pPr>
              <w:spacing w:after="0" w:line="240" w:lineRule="auto"/>
              <w:jc w:val="right"/>
              <w:rPr>
                <w:rFonts w:ascii="Calibri" w:eastAsia="Times New Roman" w:hAnsi="Calibri" w:cs="Calibri"/>
                <w:b/>
                <w:bCs/>
                <w:color w:val="000000"/>
                <w:lang w:eastAsia="it-IT"/>
              </w:rPr>
            </w:pPr>
            <w:r w:rsidRPr="00946AD8">
              <w:rPr>
                <w:rFonts w:ascii="Calibri" w:eastAsia="Times New Roman" w:hAnsi="Calibri" w:cs="Calibri"/>
                <w:b/>
                <w:bCs/>
                <w:color w:val="000000"/>
                <w:lang w:eastAsia="it-IT"/>
              </w:rPr>
              <w:t>80%</w:t>
            </w:r>
          </w:p>
        </w:tc>
      </w:tr>
    </w:tbl>
    <w:p w:rsidR="00946AD8" w:rsidRDefault="00946AD8" w:rsidP="00242B71">
      <w:pPr>
        <w:jc w:val="both"/>
      </w:pPr>
    </w:p>
    <w:p w:rsidR="00946AD8" w:rsidRDefault="00946AD8" w:rsidP="00242B71">
      <w:pPr>
        <w:jc w:val="both"/>
      </w:pPr>
    </w:p>
    <w:p w:rsidR="00242B71" w:rsidRDefault="00242B71" w:rsidP="00242B71">
      <w:pPr>
        <w:jc w:val="both"/>
      </w:pPr>
      <w:r>
        <w:t xml:space="preserve">Si noti che tale tendenza non è necessariamente negativa: nel settore della pelletteria fiorentina, per esempio, le attività produttive vengono volutamente mantenute all’interno di un </w:t>
      </w:r>
      <w:proofErr w:type="spellStart"/>
      <w:r>
        <w:rPr>
          <w:i/>
        </w:rPr>
        <w:t>mileu</w:t>
      </w:r>
      <w:proofErr w:type="spellEnd"/>
      <w:r>
        <w:t xml:space="preserve"> artigianale poiché ciò conferisce valore aggiunto alla produzione stessa, soprattutto, con riferimento ai segmenti di mercato del lusso</w:t>
      </w:r>
      <w:r>
        <w:rPr>
          <w:rStyle w:val="Rimandonotaapidipagina"/>
        </w:rPr>
        <w:footnoteReference w:id="21"/>
      </w:r>
      <w:r>
        <w:t>. Tuttavia, i profili innovativi si concentrano nelle fasi a monte e a valle della filiera produttiva</w:t>
      </w:r>
      <w:r>
        <w:rPr>
          <w:rStyle w:val="Rimandonotaapidipagina"/>
        </w:rPr>
        <w:footnoteReference w:id="22"/>
      </w:r>
      <w:r>
        <w:t xml:space="preserve"> condizionandone in maniera notevole i processi.</w:t>
      </w:r>
    </w:p>
    <w:p w:rsidR="00242B71" w:rsidRDefault="00242B71" w:rsidP="00242B71">
      <w:pPr>
        <w:jc w:val="both"/>
      </w:pPr>
      <w:r>
        <w:t>Dai dati esposti questo sembra non accadere nel settore orafo aretino: il numero di lavoratori avviati nel quinquennio considerato sembra essere troppo esiguo per determinarne cambiamenti strutturali.</w:t>
      </w:r>
    </w:p>
    <w:p w:rsidR="00242B71" w:rsidRDefault="00242B71" w:rsidP="00242B71">
      <w:pPr>
        <w:jc w:val="both"/>
      </w:pPr>
      <w:r>
        <w:t xml:space="preserve">Tuttavia, da quanto esposto sin ora appare – seppur in forma estremamente embrionale – l’esistenza di un processo di cambiamento nella conformazione della forza lavoro: il +21% degli avviamenti cognitivi generativi è indice del tentativo di alcune aziende di innovare processi e prodotti attraverso </w:t>
      </w:r>
      <w:r>
        <w:rPr>
          <w:i/>
        </w:rPr>
        <w:t>know-how</w:t>
      </w:r>
      <w:r>
        <w:t xml:space="preserve"> nuovi, in grado di incrementare il valore aggiunto delle produzioni. Può, quindi valere la pena di analizzare da più vicino quali siano le mansioni che, nel quinquennio considerato, risultano fra le più richieste.</w:t>
      </w:r>
    </w:p>
    <w:p w:rsidR="00242B71" w:rsidRPr="0029619D" w:rsidRDefault="0029619D" w:rsidP="00242B71">
      <w:pPr>
        <w:spacing w:line="240" w:lineRule="auto"/>
        <w:jc w:val="both"/>
        <w:rPr>
          <w:b/>
          <w:sz w:val="20"/>
          <w:szCs w:val="20"/>
        </w:rPr>
      </w:pPr>
      <w:r w:rsidRPr="0029619D">
        <w:rPr>
          <w:rFonts w:ascii="Calibri" w:eastAsia="Times New Roman" w:hAnsi="Calibri" w:cs="Calibri"/>
          <w:b/>
          <w:bCs/>
          <w:color w:val="000000"/>
          <w:sz w:val="20"/>
          <w:szCs w:val="20"/>
          <w:lang w:eastAsia="it-IT"/>
        </w:rPr>
        <w:t>Tab.3.10</w:t>
      </w:r>
      <w:r w:rsidR="00242B71" w:rsidRPr="0029619D">
        <w:rPr>
          <w:rFonts w:ascii="Calibri" w:eastAsia="Times New Roman" w:hAnsi="Calibri" w:cs="Calibri"/>
          <w:b/>
          <w:bCs/>
          <w:color w:val="000000"/>
          <w:sz w:val="20"/>
          <w:szCs w:val="20"/>
          <w:lang w:eastAsia="it-IT"/>
        </w:rPr>
        <w:t xml:space="preserve"> – Distribuzione delle mansioni svolte dai lavoratori appartenenti alla </w:t>
      </w:r>
      <w:proofErr w:type="spellStart"/>
      <w:r w:rsidR="00242B71" w:rsidRPr="0029619D">
        <w:rPr>
          <w:rFonts w:ascii="Calibri" w:eastAsia="Times New Roman" w:hAnsi="Calibri" w:cs="Calibri"/>
          <w:b/>
          <w:bCs/>
          <w:color w:val="000000"/>
          <w:sz w:val="20"/>
          <w:szCs w:val="20"/>
          <w:lang w:eastAsia="it-IT"/>
        </w:rPr>
        <w:t>macrocategoria</w:t>
      </w:r>
      <w:proofErr w:type="spellEnd"/>
      <w:r w:rsidR="00242B71" w:rsidRPr="0029619D">
        <w:rPr>
          <w:rFonts w:ascii="Calibri" w:eastAsia="Times New Roman" w:hAnsi="Calibri" w:cs="Calibri"/>
          <w:b/>
          <w:bCs/>
          <w:color w:val="000000"/>
          <w:sz w:val="20"/>
          <w:szCs w:val="20"/>
          <w:lang w:eastAsia="it-IT"/>
        </w:rPr>
        <w:t xml:space="preserve"> energetica, nel periodo 2011-2015 (avviamenti e </w:t>
      </w:r>
      <w:r w:rsidR="00242B71" w:rsidRPr="0029619D">
        <w:rPr>
          <w:rFonts w:ascii="Calibri" w:eastAsia="Times New Roman" w:hAnsi="Calibri" w:cs="Calibri"/>
          <w:b/>
          <w:bCs/>
          <w:i/>
          <w:color w:val="000000"/>
          <w:sz w:val="20"/>
          <w:szCs w:val="20"/>
          <w:lang w:eastAsia="it-IT"/>
        </w:rPr>
        <w:t>teste</w:t>
      </w:r>
      <w:r w:rsidR="00242B71" w:rsidRPr="0029619D">
        <w:rPr>
          <w:rFonts w:ascii="Calibri" w:eastAsia="Times New Roman" w:hAnsi="Calibri" w:cs="Calibri"/>
          <w:b/>
          <w:bCs/>
          <w:color w:val="000000"/>
          <w:sz w:val="20"/>
          <w:szCs w:val="20"/>
          <w:lang w:eastAsia="it-IT"/>
        </w:rPr>
        <w:t>) con avviamenti &gt;= 50.</w:t>
      </w:r>
    </w:p>
    <w:tbl>
      <w:tblPr>
        <w:tblW w:w="5000" w:type="pct"/>
        <w:tblCellMar>
          <w:left w:w="70" w:type="dxa"/>
          <w:right w:w="70" w:type="dxa"/>
        </w:tblCellMar>
        <w:tblLook w:val="04A0" w:firstRow="1" w:lastRow="0" w:firstColumn="1" w:lastColumn="0" w:noHBand="0" w:noVBand="1"/>
      </w:tblPr>
      <w:tblGrid>
        <w:gridCol w:w="1458"/>
        <w:gridCol w:w="1635"/>
        <w:gridCol w:w="2301"/>
        <w:gridCol w:w="2370"/>
        <w:gridCol w:w="1864"/>
      </w:tblGrid>
      <w:tr w:rsidR="00242B71" w:rsidTr="00242B71">
        <w:trPr>
          <w:trHeight w:val="20"/>
        </w:trPr>
        <w:tc>
          <w:tcPr>
            <w:tcW w:w="75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242B71" w:rsidRDefault="00242B71">
            <w:pPr>
              <w:spacing w:after="0" w:line="240" w:lineRule="auto"/>
              <w:jc w:val="center"/>
              <w:rPr>
                <w:rFonts w:ascii="Calibri" w:eastAsia="Times New Roman" w:hAnsi="Calibri" w:cs="Calibri"/>
                <w:b/>
                <w:color w:val="000000"/>
                <w:sz w:val="18"/>
                <w:szCs w:val="18"/>
                <w:lang w:eastAsia="it-IT"/>
              </w:rPr>
            </w:pPr>
            <w:r>
              <w:rPr>
                <w:rFonts w:ascii="Calibri" w:eastAsia="Times New Roman" w:hAnsi="Calibri" w:cs="Calibri"/>
                <w:b/>
                <w:color w:val="000000"/>
                <w:sz w:val="18"/>
                <w:szCs w:val="18"/>
                <w:lang w:eastAsia="it-IT"/>
              </w:rPr>
              <w:t>Qualifiche</w:t>
            </w:r>
          </w:p>
        </w:tc>
        <w:tc>
          <w:tcPr>
            <w:tcW w:w="849"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242B71" w:rsidRDefault="00242B71">
            <w:pPr>
              <w:spacing w:after="0" w:line="240" w:lineRule="auto"/>
              <w:jc w:val="center"/>
              <w:rPr>
                <w:rFonts w:ascii="Calibri" w:eastAsia="Times New Roman" w:hAnsi="Calibri" w:cs="Calibri"/>
                <w:b/>
                <w:color w:val="000000"/>
                <w:sz w:val="18"/>
                <w:szCs w:val="18"/>
                <w:lang w:eastAsia="it-IT"/>
              </w:rPr>
            </w:pPr>
            <w:r>
              <w:rPr>
                <w:rFonts w:ascii="Calibri" w:eastAsia="Times New Roman" w:hAnsi="Calibri" w:cs="Calibri"/>
                <w:b/>
                <w:color w:val="000000"/>
                <w:sz w:val="18"/>
                <w:szCs w:val="18"/>
                <w:lang w:eastAsia="it-IT"/>
              </w:rPr>
              <w:t>Totale avviamenti</w:t>
            </w:r>
          </w:p>
          <w:p w:rsidR="00242B71" w:rsidRDefault="00242B71">
            <w:pPr>
              <w:spacing w:after="0" w:line="240" w:lineRule="auto"/>
              <w:jc w:val="center"/>
              <w:rPr>
                <w:rFonts w:ascii="Calibri" w:eastAsia="Times New Roman" w:hAnsi="Calibri" w:cs="Calibri"/>
                <w:b/>
                <w:color w:val="000000"/>
                <w:sz w:val="18"/>
                <w:szCs w:val="18"/>
                <w:lang w:eastAsia="it-IT"/>
              </w:rPr>
            </w:pPr>
            <w:r>
              <w:rPr>
                <w:rFonts w:ascii="Calibri" w:eastAsia="Times New Roman" w:hAnsi="Calibri" w:cs="Calibri"/>
                <w:b/>
                <w:color w:val="000000"/>
                <w:sz w:val="18"/>
                <w:szCs w:val="18"/>
                <w:lang w:eastAsia="it-IT"/>
              </w:rPr>
              <w:t>2011-2015</w:t>
            </w:r>
          </w:p>
        </w:tc>
        <w:tc>
          <w:tcPr>
            <w:tcW w:w="1195"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242B71" w:rsidRDefault="00242B71">
            <w:pPr>
              <w:spacing w:after="0" w:line="240" w:lineRule="auto"/>
              <w:jc w:val="center"/>
              <w:rPr>
                <w:rFonts w:ascii="Calibri" w:eastAsia="Times New Roman" w:hAnsi="Calibri" w:cs="Calibri"/>
                <w:b/>
                <w:color w:val="000000"/>
                <w:sz w:val="18"/>
                <w:szCs w:val="18"/>
                <w:lang w:eastAsia="it-IT"/>
              </w:rPr>
            </w:pPr>
            <w:r>
              <w:rPr>
                <w:rFonts w:ascii="Calibri" w:eastAsia="Times New Roman" w:hAnsi="Calibri" w:cs="Calibri"/>
                <w:b/>
                <w:color w:val="000000"/>
                <w:sz w:val="18"/>
                <w:szCs w:val="18"/>
                <w:lang w:eastAsia="it-IT"/>
              </w:rPr>
              <w:t xml:space="preserve">Totale </w:t>
            </w:r>
            <w:r>
              <w:rPr>
                <w:rFonts w:ascii="Calibri" w:eastAsia="Times New Roman" w:hAnsi="Calibri" w:cs="Calibri"/>
                <w:b/>
                <w:i/>
                <w:color w:val="000000"/>
                <w:sz w:val="18"/>
                <w:szCs w:val="18"/>
                <w:lang w:eastAsia="it-IT"/>
              </w:rPr>
              <w:t>teste</w:t>
            </w:r>
          </w:p>
          <w:p w:rsidR="00242B71" w:rsidRDefault="00242B71">
            <w:pPr>
              <w:spacing w:after="0" w:line="240" w:lineRule="auto"/>
              <w:jc w:val="center"/>
              <w:rPr>
                <w:rFonts w:ascii="Calibri" w:eastAsia="Times New Roman" w:hAnsi="Calibri" w:cs="Calibri"/>
                <w:b/>
                <w:color w:val="000000"/>
                <w:sz w:val="18"/>
                <w:szCs w:val="18"/>
                <w:lang w:eastAsia="it-IT"/>
              </w:rPr>
            </w:pPr>
            <w:r>
              <w:rPr>
                <w:rFonts w:ascii="Calibri" w:eastAsia="Times New Roman" w:hAnsi="Calibri" w:cs="Calibri"/>
                <w:b/>
                <w:color w:val="000000"/>
                <w:sz w:val="18"/>
                <w:szCs w:val="18"/>
                <w:lang w:eastAsia="it-IT"/>
              </w:rPr>
              <w:t>2011-2015</w:t>
            </w:r>
          </w:p>
        </w:tc>
        <w:tc>
          <w:tcPr>
            <w:tcW w:w="1231"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242B71" w:rsidRDefault="00242B71">
            <w:pPr>
              <w:spacing w:after="0" w:line="240" w:lineRule="auto"/>
              <w:jc w:val="center"/>
              <w:rPr>
                <w:rFonts w:ascii="Calibri" w:eastAsia="Times New Roman" w:hAnsi="Calibri" w:cs="Calibri"/>
                <w:b/>
                <w:color w:val="000000"/>
                <w:sz w:val="18"/>
                <w:szCs w:val="18"/>
                <w:lang w:eastAsia="it-IT"/>
              </w:rPr>
            </w:pPr>
            <w:proofErr w:type="spellStart"/>
            <w:r>
              <w:rPr>
                <w:rFonts w:ascii="Calibri" w:eastAsia="Times New Roman" w:hAnsi="Calibri" w:cs="Calibri"/>
                <w:b/>
                <w:color w:val="000000"/>
                <w:sz w:val="18"/>
                <w:szCs w:val="18"/>
                <w:lang w:eastAsia="it-IT"/>
              </w:rPr>
              <w:t>Var</w:t>
            </w:r>
            <w:proofErr w:type="spellEnd"/>
            <w:r>
              <w:rPr>
                <w:rFonts w:ascii="Calibri" w:eastAsia="Times New Roman" w:hAnsi="Calibri" w:cs="Calibri"/>
                <w:b/>
                <w:color w:val="000000"/>
                <w:sz w:val="18"/>
                <w:szCs w:val="18"/>
                <w:lang w:eastAsia="it-IT"/>
              </w:rPr>
              <w:t>. avviamenti 2015-2011</w:t>
            </w:r>
          </w:p>
        </w:tc>
        <w:tc>
          <w:tcPr>
            <w:tcW w:w="968"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242B71" w:rsidRDefault="00242B71">
            <w:pPr>
              <w:spacing w:after="0" w:line="240" w:lineRule="auto"/>
              <w:jc w:val="center"/>
              <w:rPr>
                <w:rFonts w:ascii="Calibri" w:eastAsia="Times New Roman" w:hAnsi="Calibri" w:cs="Calibri"/>
                <w:b/>
                <w:color w:val="000000"/>
                <w:sz w:val="18"/>
                <w:szCs w:val="18"/>
                <w:lang w:eastAsia="it-IT"/>
              </w:rPr>
            </w:pPr>
            <w:proofErr w:type="spellStart"/>
            <w:r>
              <w:rPr>
                <w:rFonts w:ascii="Calibri" w:eastAsia="Times New Roman" w:hAnsi="Calibri" w:cs="Calibri"/>
                <w:b/>
                <w:color w:val="000000"/>
                <w:sz w:val="18"/>
                <w:szCs w:val="18"/>
                <w:lang w:eastAsia="it-IT"/>
              </w:rPr>
              <w:t>Var</w:t>
            </w:r>
            <w:proofErr w:type="spellEnd"/>
            <w:r>
              <w:rPr>
                <w:rFonts w:ascii="Calibri" w:eastAsia="Times New Roman" w:hAnsi="Calibri" w:cs="Calibri"/>
                <w:b/>
                <w:color w:val="000000"/>
                <w:sz w:val="18"/>
                <w:szCs w:val="18"/>
                <w:lang w:eastAsia="it-IT"/>
              </w:rPr>
              <w:t xml:space="preserve">. </w:t>
            </w:r>
            <w:r>
              <w:rPr>
                <w:rFonts w:ascii="Calibri" w:eastAsia="Times New Roman" w:hAnsi="Calibri" w:cs="Calibri"/>
                <w:b/>
                <w:i/>
                <w:color w:val="000000"/>
                <w:sz w:val="18"/>
                <w:szCs w:val="18"/>
                <w:lang w:eastAsia="it-IT"/>
              </w:rPr>
              <w:t>teste</w:t>
            </w:r>
            <w:r>
              <w:rPr>
                <w:rFonts w:ascii="Calibri" w:eastAsia="Times New Roman" w:hAnsi="Calibri" w:cs="Calibri"/>
                <w:b/>
                <w:color w:val="000000"/>
                <w:sz w:val="18"/>
                <w:szCs w:val="18"/>
                <w:lang w:eastAsia="it-IT"/>
              </w:rPr>
              <w:t xml:space="preserve"> 2015-2011</w:t>
            </w:r>
          </w:p>
        </w:tc>
      </w:tr>
      <w:tr w:rsidR="00242B71" w:rsidTr="00242B71">
        <w:trPr>
          <w:trHeight w:val="20"/>
        </w:trPr>
        <w:tc>
          <w:tcPr>
            <w:tcW w:w="757" w:type="pct"/>
            <w:tcBorders>
              <w:top w:val="nil"/>
              <w:left w:val="single" w:sz="4" w:space="0" w:color="auto"/>
              <w:bottom w:val="single" w:sz="4" w:space="0" w:color="auto"/>
              <w:right w:val="single" w:sz="4" w:space="0" w:color="auto"/>
            </w:tcBorders>
            <w:vAlign w:val="bottom"/>
            <w:hideMark/>
          </w:tcPr>
          <w:p w:rsidR="00242B71" w:rsidRDefault="00242B71">
            <w:pPr>
              <w:spacing w:after="0" w:line="240" w:lineRule="auto"/>
              <w:rPr>
                <w:rFonts w:ascii="Calibri" w:eastAsia="Times New Roman" w:hAnsi="Calibri" w:cs="Calibri"/>
                <w:b/>
                <w:color w:val="000000"/>
                <w:sz w:val="18"/>
                <w:szCs w:val="18"/>
                <w:lang w:eastAsia="it-IT"/>
              </w:rPr>
            </w:pPr>
            <w:r>
              <w:rPr>
                <w:rFonts w:ascii="Calibri" w:eastAsia="Times New Roman" w:hAnsi="Calibri" w:cs="Calibri"/>
                <w:b/>
                <w:color w:val="000000"/>
                <w:sz w:val="18"/>
                <w:szCs w:val="18"/>
                <w:lang w:eastAsia="it-IT"/>
              </w:rPr>
              <w:t>Orafo</w:t>
            </w:r>
          </w:p>
        </w:tc>
        <w:tc>
          <w:tcPr>
            <w:tcW w:w="849"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szCs w:val="18"/>
                <w:lang w:eastAsia="it-IT"/>
              </w:rPr>
            </w:pPr>
            <w:r>
              <w:rPr>
                <w:rFonts w:ascii="Calibri" w:eastAsia="Times New Roman" w:hAnsi="Calibri" w:cs="Calibri"/>
                <w:color w:val="000000"/>
                <w:sz w:val="18"/>
                <w:szCs w:val="18"/>
                <w:lang w:eastAsia="it-IT"/>
              </w:rPr>
              <w:t>1.605</w:t>
            </w:r>
          </w:p>
        </w:tc>
        <w:tc>
          <w:tcPr>
            <w:tcW w:w="1195"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szCs w:val="18"/>
                <w:lang w:eastAsia="it-IT"/>
              </w:rPr>
            </w:pPr>
            <w:r>
              <w:rPr>
                <w:rFonts w:ascii="Calibri" w:eastAsia="Times New Roman" w:hAnsi="Calibri" w:cs="Calibri"/>
                <w:color w:val="000000"/>
                <w:sz w:val="18"/>
                <w:szCs w:val="18"/>
                <w:lang w:eastAsia="it-IT"/>
              </w:rPr>
              <w:t>1.415</w:t>
            </w:r>
          </w:p>
        </w:tc>
        <w:tc>
          <w:tcPr>
            <w:tcW w:w="1231"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szCs w:val="18"/>
                <w:lang w:eastAsia="it-IT"/>
              </w:rPr>
            </w:pPr>
            <w:r>
              <w:rPr>
                <w:rFonts w:ascii="Calibri" w:eastAsia="Times New Roman" w:hAnsi="Calibri" w:cs="Calibri"/>
                <w:color w:val="000000"/>
                <w:sz w:val="18"/>
                <w:szCs w:val="18"/>
                <w:lang w:eastAsia="it-IT"/>
              </w:rPr>
              <w:t>153,2%</w:t>
            </w:r>
          </w:p>
        </w:tc>
        <w:tc>
          <w:tcPr>
            <w:tcW w:w="968"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szCs w:val="18"/>
                <w:lang w:eastAsia="it-IT"/>
              </w:rPr>
            </w:pPr>
            <w:r>
              <w:rPr>
                <w:rFonts w:ascii="Calibri" w:eastAsia="Times New Roman" w:hAnsi="Calibri" w:cs="Calibri"/>
                <w:color w:val="000000"/>
                <w:sz w:val="18"/>
                <w:szCs w:val="18"/>
                <w:lang w:eastAsia="it-IT"/>
              </w:rPr>
              <w:t>124,7%</w:t>
            </w:r>
          </w:p>
        </w:tc>
      </w:tr>
      <w:tr w:rsidR="00242B71" w:rsidTr="00242B71">
        <w:trPr>
          <w:trHeight w:val="20"/>
        </w:trPr>
        <w:tc>
          <w:tcPr>
            <w:tcW w:w="757" w:type="pct"/>
            <w:tcBorders>
              <w:top w:val="nil"/>
              <w:left w:val="single" w:sz="4" w:space="0" w:color="auto"/>
              <w:bottom w:val="single" w:sz="4" w:space="0" w:color="auto"/>
              <w:right w:val="single" w:sz="4" w:space="0" w:color="auto"/>
            </w:tcBorders>
            <w:vAlign w:val="bottom"/>
            <w:hideMark/>
          </w:tcPr>
          <w:p w:rsidR="00242B71" w:rsidRDefault="00242B71">
            <w:pPr>
              <w:spacing w:after="0" w:line="240" w:lineRule="auto"/>
              <w:rPr>
                <w:rFonts w:ascii="Calibri" w:eastAsia="Times New Roman" w:hAnsi="Calibri" w:cs="Calibri"/>
                <w:b/>
                <w:color w:val="000000"/>
                <w:sz w:val="18"/>
                <w:szCs w:val="18"/>
                <w:lang w:eastAsia="it-IT"/>
              </w:rPr>
            </w:pPr>
            <w:r>
              <w:rPr>
                <w:rFonts w:ascii="Calibri" w:eastAsia="Times New Roman" w:hAnsi="Calibri" w:cs="Calibri"/>
                <w:b/>
                <w:color w:val="000000"/>
                <w:sz w:val="18"/>
                <w:szCs w:val="18"/>
                <w:lang w:eastAsia="it-IT"/>
              </w:rPr>
              <w:t>Montatore orafo</w:t>
            </w:r>
          </w:p>
        </w:tc>
        <w:tc>
          <w:tcPr>
            <w:tcW w:w="849"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szCs w:val="18"/>
                <w:lang w:eastAsia="it-IT"/>
              </w:rPr>
            </w:pPr>
            <w:r>
              <w:rPr>
                <w:rFonts w:ascii="Calibri" w:eastAsia="Times New Roman" w:hAnsi="Calibri" w:cs="Calibri"/>
                <w:color w:val="000000"/>
                <w:sz w:val="18"/>
                <w:szCs w:val="18"/>
                <w:lang w:eastAsia="it-IT"/>
              </w:rPr>
              <w:t>1.139</w:t>
            </w:r>
          </w:p>
        </w:tc>
        <w:tc>
          <w:tcPr>
            <w:tcW w:w="1195"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szCs w:val="18"/>
                <w:lang w:eastAsia="it-IT"/>
              </w:rPr>
            </w:pPr>
            <w:r>
              <w:rPr>
                <w:rFonts w:ascii="Calibri" w:eastAsia="Times New Roman" w:hAnsi="Calibri" w:cs="Calibri"/>
                <w:color w:val="000000"/>
                <w:sz w:val="18"/>
                <w:szCs w:val="18"/>
                <w:lang w:eastAsia="it-IT"/>
              </w:rPr>
              <w:t>1.049</w:t>
            </w:r>
          </w:p>
        </w:tc>
        <w:tc>
          <w:tcPr>
            <w:tcW w:w="1231"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szCs w:val="18"/>
                <w:lang w:eastAsia="it-IT"/>
              </w:rPr>
            </w:pPr>
            <w:r>
              <w:rPr>
                <w:rFonts w:ascii="Calibri" w:eastAsia="Times New Roman" w:hAnsi="Calibri" w:cs="Calibri"/>
                <w:color w:val="000000"/>
                <w:sz w:val="18"/>
                <w:szCs w:val="18"/>
                <w:lang w:eastAsia="it-IT"/>
              </w:rPr>
              <w:t>141,8%</w:t>
            </w:r>
          </w:p>
        </w:tc>
        <w:tc>
          <w:tcPr>
            <w:tcW w:w="968"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szCs w:val="18"/>
                <w:lang w:eastAsia="it-IT"/>
              </w:rPr>
            </w:pPr>
            <w:r>
              <w:rPr>
                <w:rFonts w:ascii="Calibri" w:eastAsia="Times New Roman" w:hAnsi="Calibri" w:cs="Calibri"/>
                <w:color w:val="000000"/>
                <w:sz w:val="18"/>
                <w:szCs w:val="18"/>
                <w:lang w:eastAsia="it-IT"/>
              </w:rPr>
              <w:t>141,5%</w:t>
            </w:r>
          </w:p>
        </w:tc>
      </w:tr>
      <w:tr w:rsidR="00242B71" w:rsidTr="00242B71">
        <w:trPr>
          <w:trHeight w:val="20"/>
        </w:trPr>
        <w:tc>
          <w:tcPr>
            <w:tcW w:w="757" w:type="pct"/>
            <w:tcBorders>
              <w:top w:val="nil"/>
              <w:left w:val="single" w:sz="4" w:space="0" w:color="auto"/>
              <w:bottom w:val="single" w:sz="4" w:space="0" w:color="auto"/>
              <w:right w:val="single" w:sz="4" w:space="0" w:color="auto"/>
            </w:tcBorders>
            <w:vAlign w:val="bottom"/>
            <w:hideMark/>
          </w:tcPr>
          <w:p w:rsidR="00242B71" w:rsidRDefault="00242B71">
            <w:pPr>
              <w:spacing w:after="0" w:line="240" w:lineRule="auto"/>
              <w:rPr>
                <w:rFonts w:ascii="Calibri" w:eastAsia="Times New Roman" w:hAnsi="Calibri" w:cs="Calibri"/>
                <w:b/>
                <w:color w:val="000000"/>
                <w:sz w:val="18"/>
                <w:szCs w:val="18"/>
                <w:lang w:eastAsia="it-IT"/>
              </w:rPr>
            </w:pPr>
            <w:r>
              <w:rPr>
                <w:rFonts w:ascii="Calibri" w:eastAsia="Times New Roman" w:hAnsi="Calibri" w:cs="Calibri"/>
                <w:b/>
                <w:color w:val="000000"/>
                <w:sz w:val="18"/>
                <w:szCs w:val="18"/>
                <w:lang w:eastAsia="it-IT"/>
              </w:rPr>
              <w:t>Pulitore orafo</w:t>
            </w:r>
          </w:p>
        </w:tc>
        <w:tc>
          <w:tcPr>
            <w:tcW w:w="849"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szCs w:val="18"/>
                <w:lang w:eastAsia="it-IT"/>
              </w:rPr>
            </w:pPr>
            <w:r>
              <w:rPr>
                <w:rFonts w:ascii="Calibri" w:eastAsia="Times New Roman" w:hAnsi="Calibri" w:cs="Calibri"/>
                <w:color w:val="000000"/>
                <w:sz w:val="18"/>
                <w:szCs w:val="18"/>
                <w:lang w:eastAsia="it-IT"/>
              </w:rPr>
              <w:t>605</w:t>
            </w:r>
          </w:p>
        </w:tc>
        <w:tc>
          <w:tcPr>
            <w:tcW w:w="1195"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szCs w:val="18"/>
                <w:lang w:eastAsia="it-IT"/>
              </w:rPr>
            </w:pPr>
            <w:r>
              <w:rPr>
                <w:rFonts w:ascii="Calibri" w:eastAsia="Times New Roman" w:hAnsi="Calibri" w:cs="Calibri"/>
                <w:color w:val="000000"/>
                <w:sz w:val="18"/>
                <w:szCs w:val="18"/>
                <w:lang w:eastAsia="it-IT"/>
              </w:rPr>
              <w:t>554</w:t>
            </w:r>
          </w:p>
        </w:tc>
        <w:tc>
          <w:tcPr>
            <w:tcW w:w="1231"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szCs w:val="18"/>
                <w:lang w:eastAsia="it-IT"/>
              </w:rPr>
            </w:pPr>
            <w:r>
              <w:rPr>
                <w:rFonts w:ascii="Calibri" w:eastAsia="Times New Roman" w:hAnsi="Calibri" w:cs="Calibri"/>
                <w:color w:val="000000"/>
                <w:sz w:val="18"/>
                <w:szCs w:val="18"/>
                <w:lang w:eastAsia="it-IT"/>
              </w:rPr>
              <w:t>35,6%</w:t>
            </w:r>
          </w:p>
        </w:tc>
        <w:tc>
          <w:tcPr>
            <w:tcW w:w="968"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szCs w:val="18"/>
                <w:lang w:eastAsia="it-IT"/>
              </w:rPr>
            </w:pPr>
            <w:r>
              <w:rPr>
                <w:rFonts w:ascii="Calibri" w:eastAsia="Times New Roman" w:hAnsi="Calibri" w:cs="Calibri"/>
                <w:color w:val="000000"/>
                <w:sz w:val="18"/>
                <w:szCs w:val="18"/>
                <w:lang w:eastAsia="it-IT"/>
              </w:rPr>
              <w:t>39,7%</w:t>
            </w:r>
          </w:p>
        </w:tc>
      </w:tr>
      <w:tr w:rsidR="00242B71" w:rsidTr="00242B71">
        <w:trPr>
          <w:trHeight w:val="20"/>
        </w:trPr>
        <w:tc>
          <w:tcPr>
            <w:tcW w:w="757" w:type="pct"/>
            <w:tcBorders>
              <w:top w:val="nil"/>
              <w:left w:val="single" w:sz="4" w:space="0" w:color="auto"/>
              <w:bottom w:val="single" w:sz="4" w:space="0" w:color="auto"/>
              <w:right w:val="single" w:sz="4" w:space="0" w:color="auto"/>
            </w:tcBorders>
            <w:vAlign w:val="bottom"/>
            <w:hideMark/>
          </w:tcPr>
          <w:p w:rsidR="00242B71" w:rsidRDefault="00242B71">
            <w:pPr>
              <w:spacing w:after="0" w:line="240" w:lineRule="auto"/>
              <w:rPr>
                <w:rFonts w:ascii="Calibri" w:eastAsia="Times New Roman" w:hAnsi="Calibri" w:cs="Calibri"/>
                <w:b/>
                <w:color w:val="000000"/>
                <w:sz w:val="18"/>
                <w:szCs w:val="18"/>
                <w:lang w:eastAsia="it-IT"/>
              </w:rPr>
            </w:pPr>
            <w:r>
              <w:rPr>
                <w:rFonts w:ascii="Calibri" w:eastAsia="Times New Roman" w:hAnsi="Calibri" w:cs="Calibri"/>
                <w:b/>
                <w:color w:val="000000"/>
                <w:sz w:val="18"/>
                <w:szCs w:val="18"/>
                <w:lang w:eastAsia="it-IT"/>
              </w:rPr>
              <w:t>Saldatore</w:t>
            </w:r>
          </w:p>
        </w:tc>
        <w:tc>
          <w:tcPr>
            <w:tcW w:w="849"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szCs w:val="18"/>
                <w:lang w:eastAsia="it-IT"/>
              </w:rPr>
            </w:pPr>
            <w:r>
              <w:rPr>
                <w:rFonts w:ascii="Calibri" w:eastAsia="Times New Roman" w:hAnsi="Calibri" w:cs="Calibri"/>
                <w:color w:val="000000"/>
                <w:sz w:val="18"/>
                <w:szCs w:val="18"/>
                <w:lang w:eastAsia="it-IT"/>
              </w:rPr>
              <w:t>306</w:t>
            </w:r>
          </w:p>
        </w:tc>
        <w:tc>
          <w:tcPr>
            <w:tcW w:w="1195"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szCs w:val="18"/>
                <w:lang w:eastAsia="it-IT"/>
              </w:rPr>
            </w:pPr>
            <w:r>
              <w:rPr>
                <w:rFonts w:ascii="Calibri" w:eastAsia="Times New Roman" w:hAnsi="Calibri" w:cs="Calibri"/>
                <w:color w:val="000000"/>
                <w:sz w:val="18"/>
                <w:szCs w:val="18"/>
                <w:lang w:eastAsia="it-IT"/>
              </w:rPr>
              <w:t>290</w:t>
            </w:r>
          </w:p>
        </w:tc>
        <w:tc>
          <w:tcPr>
            <w:tcW w:w="1231"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szCs w:val="18"/>
                <w:lang w:eastAsia="it-IT"/>
              </w:rPr>
            </w:pPr>
            <w:r>
              <w:rPr>
                <w:rFonts w:ascii="Calibri" w:eastAsia="Times New Roman" w:hAnsi="Calibri" w:cs="Calibri"/>
                <w:color w:val="000000"/>
                <w:sz w:val="18"/>
                <w:szCs w:val="18"/>
                <w:lang w:eastAsia="it-IT"/>
              </w:rPr>
              <w:t>40,4%</w:t>
            </w:r>
          </w:p>
        </w:tc>
        <w:tc>
          <w:tcPr>
            <w:tcW w:w="968"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szCs w:val="18"/>
                <w:lang w:eastAsia="it-IT"/>
              </w:rPr>
            </w:pPr>
            <w:r>
              <w:rPr>
                <w:rFonts w:ascii="Calibri" w:eastAsia="Times New Roman" w:hAnsi="Calibri" w:cs="Calibri"/>
                <w:color w:val="000000"/>
                <w:sz w:val="18"/>
                <w:szCs w:val="18"/>
                <w:lang w:eastAsia="it-IT"/>
              </w:rPr>
              <w:t>41,3%</w:t>
            </w:r>
          </w:p>
        </w:tc>
      </w:tr>
      <w:tr w:rsidR="00242B71" w:rsidTr="00242B71">
        <w:trPr>
          <w:trHeight w:val="20"/>
        </w:trPr>
        <w:tc>
          <w:tcPr>
            <w:tcW w:w="757" w:type="pct"/>
            <w:tcBorders>
              <w:top w:val="nil"/>
              <w:left w:val="single" w:sz="4" w:space="0" w:color="auto"/>
              <w:bottom w:val="single" w:sz="4" w:space="0" w:color="auto"/>
              <w:right w:val="single" w:sz="4" w:space="0" w:color="auto"/>
            </w:tcBorders>
            <w:vAlign w:val="bottom"/>
            <w:hideMark/>
          </w:tcPr>
          <w:p w:rsidR="00242B71" w:rsidRDefault="00242B71">
            <w:pPr>
              <w:spacing w:after="0" w:line="240" w:lineRule="auto"/>
              <w:rPr>
                <w:rFonts w:ascii="Calibri" w:eastAsia="Times New Roman" w:hAnsi="Calibri" w:cs="Calibri"/>
                <w:b/>
                <w:color w:val="000000"/>
                <w:sz w:val="18"/>
                <w:szCs w:val="18"/>
                <w:lang w:eastAsia="it-IT"/>
              </w:rPr>
            </w:pPr>
            <w:r>
              <w:rPr>
                <w:rFonts w:ascii="Calibri" w:eastAsia="Times New Roman" w:hAnsi="Calibri" w:cs="Calibri"/>
                <w:b/>
                <w:color w:val="000000"/>
                <w:sz w:val="18"/>
                <w:szCs w:val="18"/>
                <w:lang w:eastAsia="it-IT"/>
              </w:rPr>
              <w:t>Operaio generico</w:t>
            </w:r>
          </w:p>
        </w:tc>
        <w:tc>
          <w:tcPr>
            <w:tcW w:w="849"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szCs w:val="18"/>
                <w:lang w:eastAsia="it-IT"/>
              </w:rPr>
            </w:pPr>
            <w:r>
              <w:rPr>
                <w:rFonts w:ascii="Calibri" w:eastAsia="Times New Roman" w:hAnsi="Calibri" w:cs="Calibri"/>
                <w:color w:val="000000"/>
                <w:sz w:val="18"/>
                <w:szCs w:val="18"/>
                <w:lang w:eastAsia="it-IT"/>
              </w:rPr>
              <w:t>332</w:t>
            </w:r>
          </w:p>
        </w:tc>
        <w:tc>
          <w:tcPr>
            <w:tcW w:w="1195"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szCs w:val="18"/>
                <w:lang w:eastAsia="it-IT"/>
              </w:rPr>
            </w:pPr>
            <w:r>
              <w:rPr>
                <w:rFonts w:ascii="Calibri" w:eastAsia="Times New Roman" w:hAnsi="Calibri" w:cs="Calibri"/>
                <w:color w:val="000000"/>
                <w:sz w:val="18"/>
                <w:szCs w:val="18"/>
                <w:lang w:eastAsia="it-IT"/>
              </w:rPr>
              <w:t>274</w:t>
            </w:r>
          </w:p>
        </w:tc>
        <w:tc>
          <w:tcPr>
            <w:tcW w:w="1231"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szCs w:val="18"/>
                <w:lang w:eastAsia="it-IT"/>
              </w:rPr>
            </w:pPr>
            <w:r>
              <w:rPr>
                <w:rFonts w:ascii="Calibri" w:eastAsia="Times New Roman" w:hAnsi="Calibri" w:cs="Calibri"/>
                <w:color w:val="000000"/>
                <w:sz w:val="18"/>
                <w:szCs w:val="18"/>
                <w:lang w:eastAsia="it-IT"/>
              </w:rPr>
              <w:t>40,0%</w:t>
            </w:r>
          </w:p>
        </w:tc>
        <w:tc>
          <w:tcPr>
            <w:tcW w:w="968"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szCs w:val="18"/>
                <w:lang w:eastAsia="it-IT"/>
              </w:rPr>
            </w:pPr>
            <w:r>
              <w:rPr>
                <w:rFonts w:ascii="Calibri" w:eastAsia="Times New Roman" w:hAnsi="Calibri" w:cs="Calibri"/>
                <w:color w:val="000000"/>
                <w:sz w:val="18"/>
                <w:szCs w:val="18"/>
                <w:lang w:eastAsia="it-IT"/>
              </w:rPr>
              <w:t>44,7%</w:t>
            </w:r>
          </w:p>
        </w:tc>
      </w:tr>
      <w:tr w:rsidR="00242B71" w:rsidTr="00242B71">
        <w:trPr>
          <w:trHeight w:val="20"/>
        </w:trPr>
        <w:tc>
          <w:tcPr>
            <w:tcW w:w="757" w:type="pct"/>
            <w:tcBorders>
              <w:top w:val="nil"/>
              <w:left w:val="single" w:sz="4" w:space="0" w:color="auto"/>
              <w:bottom w:val="single" w:sz="4" w:space="0" w:color="auto"/>
              <w:right w:val="single" w:sz="4" w:space="0" w:color="auto"/>
            </w:tcBorders>
            <w:vAlign w:val="bottom"/>
            <w:hideMark/>
          </w:tcPr>
          <w:p w:rsidR="00242B71" w:rsidRDefault="00242B71">
            <w:pPr>
              <w:spacing w:after="0" w:line="240" w:lineRule="auto"/>
              <w:rPr>
                <w:rFonts w:ascii="Calibri" w:eastAsia="Times New Roman" w:hAnsi="Calibri" w:cs="Calibri"/>
                <w:b/>
                <w:color w:val="000000"/>
                <w:sz w:val="18"/>
                <w:szCs w:val="18"/>
                <w:lang w:eastAsia="it-IT"/>
              </w:rPr>
            </w:pPr>
            <w:r>
              <w:rPr>
                <w:rFonts w:ascii="Calibri" w:eastAsia="Times New Roman" w:hAnsi="Calibri" w:cs="Calibri"/>
                <w:b/>
                <w:color w:val="000000"/>
                <w:sz w:val="18"/>
                <w:szCs w:val="18"/>
                <w:lang w:eastAsia="it-IT"/>
              </w:rPr>
              <w:t>Preparatore di metalli preziosi</w:t>
            </w:r>
          </w:p>
        </w:tc>
        <w:tc>
          <w:tcPr>
            <w:tcW w:w="849"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szCs w:val="18"/>
                <w:lang w:eastAsia="it-IT"/>
              </w:rPr>
            </w:pPr>
            <w:r>
              <w:rPr>
                <w:rFonts w:ascii="Calibri" w:eastAsia="Times New Roman" w:hAnsi="Calibri" w:cs="Calibri"/>
                <w:color w:val="000000"/>
                <w:sz w:val="18"/>
                <w:szCs w:val="18"/>
                <w:lang w:eastAsia="it-IT"/>
              </w:rPr>
              <w:t>235</w:t>
            </w:r>
          </w:p>
        </w:tc>
        <w:tc>
          <w:tcPr>
            <w:tcW w:w="1195"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szCs w:val="18"/>
                <w:lang w:eastAsia="it-IT"/>
              </w:rPr>
            </w:pPr>
            <w:r>
              <w:rPr>
                <w:rFonts w:ascii="Calibri" w:eastAsia="Times New Roman" w:hAnsi="Calibri" w:cs="Calibri"/>
                <w:color w:val="000000"/>
                <w:sz w:val="18"/>
                <w:szCs w:val="18"/>
                <w:lang w:eastAsia="it-IT"/>
              </w:rPr>
              <w:t>222</w:t>
            </w:r>
          </w:p>
        </w:tc>
        <w:tc>
          <w:tcPr>
            <w:tcW w:w="1231"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szCs w:val="18"/>
                <w:lang w:eastAsia="it-IT"/>
              </w:rPr>
            </w:pPr>
            <w:r>
              <w:rPr>
                <w:rFonts w:ascii="Calibri" w:eastAsia="Times New Roman" w:hAnsi="Calibri" w:cs="Calibri"/>
                <w:color w:val="000000"/>
                <w:sz w:val="18"/>
                <w:szCs w:val="18"/>
                <w:lang w:eastAsia="it-IT"/>
              </w:rPr>
              <w:t>-16,7%</w:t>
            </w:r>
          </w:p>
        </w:tc>
        <w:tc>
          <w:tcPr>
            <w:tcW w:w="968"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szCs w:val="18"/>
                <w:lang w:eastAsia="it-IT"/>
              </w:rPr>
            </w:pPr>
            <w:r>
              <w:rPr>
                <w:rFonts w:ascii="Calibri" w:eastAsia="Times New Roman" w:hAnsi="Calibri" w:cs="Calibri"/>
                <w:color w:val="000000"/>
                <w:sz w:val="18"/>
                <w:szCs w:val="18"/>
                <w:lang w:eastAsia="it-IT"/>
              </w:rPr>
              <w:t>-9,1%</w:t>
            </w:r>
          </w:p>
        </w:tc>
      </w:tr>
      <w:tr w:rsidR="00242B71" w:rsidTr="00242B71">
        <w:trPr>
          <w:trHeight w:val="20"/>
        </w:trPr>
        <w:tc>
          <w:tcPr>
            <w:tcW w:w="757" w:type="pct"/>
            <w:tcBorders>
              <w:top w:val="nil"/>
              <w:left w:val="single" w:sz="4" w:space="0" w:color="auto"/>
              <w:bottom w:val="single" w:sz="4" w:space="0" w:color="auto"/>
              <w:right w:val="single" w:sz="4" w:space="0" w:color="auto"/>
            </w:tcBorders>
            <w:vAlign w:val="bottom"/>
            <w:hideMark/>
          </w:tcPr>
          <w:p w:rsidR="00242B71" w:rsidRDefault="00242B71">
            <w:pPr>
              <w:spacing w:after="0" w:line="240" w:lineRule="auto"/>
              <w:rPr>
                <w:rFonts w:ascii="Calibri" w:eastAsia="Times New Roman" w:hAnsi="Calibri" w:cs="Calibri"/>
                <w:b/>
                <w:color w:val="000000"/>
                <w:sz w:val="18"/>
                <w:szCs w:val="18"/>
                <w:lang w:eastAsia="it-IT"/>
              </w:rPr>
            </w:pPr>
            <w:proofErr w:type="spellStart"/>
            <w:r>
              <w:rPr>
                <w:rFonts w:ascii="Calibri" w:eastAsia="Times New Roman" w:hAnsi="Calibri" w:cs="Calibri"/>
                <w:b/>
                <w:color w:val="000000"/>
                <w:sz w:val="18"/>
                <w:szCs w:val="18"/>
                <w:lang w:eastAsia="it-IT"/>
              </w:rPr>
              <w:t>Catenista</w:t>
            </w:r>
            <w:proofErr w:type="spellEnd"/>
            <w:r>
              <w:rPr>
                <w:rFonts w:ascii="Calibri" w:eastAsia="Times New Roman" w:hAnsi="Calibri" w:cs="Calibri"/>
                <w:b/>
                <w:color w:val="000000"/>
                <w:sz w:val="18"/>
                <w:szCs w:val="18"/>
                <w:lang w:eastAsia="it-IT"/>
              </w:rPr>
              <w:t xml:space="preserve"> orafo</w:t>
            </w:r>
          </w:p>
        </w:tc>
        <w:tc>
          <w:tcPr>
            <w:tcW w:w="849"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szCs w:val="18"/>
                <w:lang w:eastAsia="it-IT"/>
              </w:rPr>
            </w:pPr>
            <w:r>
              <w:rPr>
                <w:rFonts w:ascii="Calibri" w:eastAsia="Times New Roman" w:hAnsi="Calibri" w:cs="Calibri"/>
                <w:color w:val="000000"/>
                <w:sz w:val="18"/>
                <w:szCs w:val="18"/>
                <w:lang w:eastAsia="it-IT"/>
              </w:rPr>
              <w:t>184</w:t>
            </w:r>
          </w:p>
        </w:tc>
        <w:tc>
          <w:tcPr>
            <w:tcW w:w="1195"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szCs w:val="18"/>
                <w:lang w:eastAsia="it-IT"/>
              </w:rPr>
            </w:pPr>
            <w:r>
              <w:rPr>
                <w:rFonts w:ascii="Calibri" w:eastAsia="Times New Roman" w:hAnsi="Calibri" w:cs="Calibri"/>
                <w:color w:val="000000"/>
                <w:sz w:val="18"/>
                <w:szCs w:val="18"/>
                <w:lang w:eastAsia="it-IT"/>
              </w:rPr>
              <w:t>173</w:t>
            </w:r>
          </w:p>
        </w:tc>
        <w:tc>
          <w:tcPr>
            <w:tcW w:w="1231"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szCs w:val="18"/>
                <w:lang w:eastAsia="it-IT"/>
              </w:rPr>
            </w:pPr>
            <w:r>
              <w:rPr>
                <w:rFonts w:ascii="Calibri" w:eastAsia="Times New Roman" w:hAnsi="Calibri" w:cs="Calibri"/>
                <w:color w:val="000000"/>
                <w:sz w:val="18"/>
                <w:szCs w:val="18"/>
                <w:lang w:eastAsia="it-IT"/>
              </w:rPr>
              <w:t>100,0%</w:t>
            </w:r>
          </w:p>
        </w:tc>
        <w:tc>
          <w:tcPr>
            <w:tcW w:w="968"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szCs w:val="18"/>
                <w:lang w:eastAsia="it-IT"/>
              </w:rPr>
            </w:pPr>
            <w:r>
              <w:rPr>
                <w:rFonts w:ascii="Calibri" w:eastAsia="Times New Roman" w:hAnsi="Calibri" w:cs="Calibri"/>
                <w:color w:val="000000"/>
                <w:sz w:val="18"/>
                <w:szCs w:val="18"/>
                <w:lang w:eastAsia="it-IT"/>
              </w:rPr>
              <w:t>95,0%</w:t>
            </w:r>
          </w:p>
        </w:tc>
      </w:tr>
      <w:tr w:rsidR="00242B71" w:rsidTr="00242B71">
        <w:trPr>
          <w:trHeight w:val="20"/>
        </w:trPr>
        <w:tc>
          <w:tcPr>
            <w:tcW w:w="757" w:type="pct"/>
            <w:tcBorders>
              <w:top w:val="nil"/>
              <w:left w:val="single" w:sz="4" w:space="0" w:color="auto"/>
              <w:bottom w:val="single" w:sz="4" w:space="0" w:color="auto"/>
              <w:right w:val="single" w:sz="4" w:space="0" w:color="auto"/>
            </w:tcBorders>
            <w:vAlign w:val="bottom"/>
            <w:hideMark/>
          </w:tcPr>
          <w:p w:rsidR="00242B71" w:rsidRDefault="00242B71">
            <w:pPr>
              <w:spacing w:after="0" w:line="240" w:lineRule="auto"/>
              <w:rPr>
                <w:rFonts w:ascii="Calibri" w:eastAsia="Times New Roman" w:hAnsi="Calibri" w:cs="Calibri"/>
                <w:b/>
                <w:color w:val="000000"/>
                <w:sz w:val="18"/>
                <w:szCs w:val="18"/>
                <w:lang w:eastAsia="it-IT"/>
              </w:rPr>
            </w:pPr>
            <w:r>
              <w:rPr>
                <w:rFonts w:ascii="Calibri" w:eastAsia="Times New Roman" w:hAnsi="Calibri" w:cs="Calibri"/>
                <w:b/>
                <w:color w:val="000000"/>
                <w:sz w:val="18"/>
                <w:szCs w:val="18"/>
                <w:lang w:eastAsia="it-IT"/>
              </w:rPr>
              <w:t>Incastonatore di perle e pietre preziose</w:t>
            </w:r>
          </w:p>
        </w:tc>
        <w:tc>
          <w:tcPr>
            <w:tcW w:w="849"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szCs w:val="18"/>
                <w:lang w:eastAsia="it-IT"/>
              </w:rPr>
            </w:pPr>
            <w:r>
              <w:rPr>
                <w:rFonts w:ascii="Calibri" w:eastAsia="Times New Roman" w:hAnsi="Calibri" w:cs="Calibri"/>
                <w:color w:val="000000"/>
                <w:sz w:val="18"/>
                <w:szCs w:val="18"/>
                <w:lang w:eastAsia="it-IT"/>
              </w:rPr>
              <w:t>66</w:t>
            </w:r>
          </w:p>
        </w:tc>
        <w:tc>
          <w:tcPr>
            <w:tcW w:w="1195"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szCs w:val="18"/>
                <w:lang w:eastAsia="it-IT"/>
              </w:rPr>
            </w:pPr>
            <w:r>
              <w:rPr>
                <w:rFonts w:ascii="Calibri" w:eastAsia="Times New Roman" w:hAnsi="Calibri" w:cs="Calibri"/>
                <w:color w:val="000000"/>
                <w:sz w:val="18"/>
                <w:szCs w:val="18"/>
                <w:lang w:eastAsia="it-IT"/>
              </w:rPr>
              <w:t>58</w:t>
            </w:r>
          </w:p>
        </w:tc>
        <w:tc>
          <w:tcPr>
            <w:tcW w:w="1231"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szCs w:val="18"/>
                <w:lang w:eastAsia="it-IT"/>
              </w:rPr>
            </w:pPr>
            <w:r>
              <w:rPr>
                <w:rFonts w:ascii="Calibri" w:eastAsia="Times New Roman" w:hAnsi="Calibri" w:cs="Calibri"/>
                <w:color w:val="000000"/>
                <w:sz w:val="18"/>
                <w:szCs w:val="18"/>
                <w:lang w:eastAsia="it-IT"/>
              </w:rPr>
              <w:t>33,3%</w:t>
            </w:r>
          </w:p>
        </w:tc>
        <w:tc>
          <w:tcPr>
            <w:tcW w:w="968"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szCs w:val="18"/>
                <w:lang w:eastAsia="it-IT"/>
              </w:rPr>
            </w:pPr>
            <w:r>
              <w:rPr>
                <w:rFonts w:ascii="Calibri" w:eastAsia="Times New Roman" w:hAnsi="Calibri" w:cs="Calibri"/>
                <w:color w:val="000000"/>
                <w:sz w:val="18"/>
                <w:szCs w:val="18"/>
                <w:lang w:eastAsia="it-IT"/>
              </w:rPr>
              <w:t>11,1%</w:t>
            </w:r>
          </w:p>
        </w:tc>
      </w:tr>
      <w:tr w:rsidR="00242B71" w:rsidTr="00242B71">
        <w:trPr>
          <w:trHeight w:val="20"/>
        </w:trPr>
        <w:tc>
          <w:tcPr>
            <w:tcW w:w="757" w:type="pct"/>
            <w:tcBorders>
              <w:top w:val="nil"/>
              <w:left w:val="single" w:sz="4" w:space="0" w:color="auto"/>
              <w:bottom w:val="single" w:sz="4" w:space="0" w:color="auto"/>
              <w:right w:val="single" w:sz="4" w:space="0" w:color="auto"/>
            </w:tcBorders>
            <w:vAlign w:val="bottom"/>
            <w:hideMark/>
          </w:tcPr>
          <w:p w:rsidR="00242B71" w:rsidRDefault="00242B71">
            <w:pPr>
              <w:spacing w:after="0" w:line="240" w:lineRule="auto"/>
              <w:rPr>
                <w:rFonts w:ascii="Calibri" w:eastAsia="Times New Roman" w:hAnsi="Calibri" w:cs="Calibri"/>
                <w:b/>
                <w:color w:val="000000"/>
                <w:sz w:val="18"/>
                <w:szCs w:val="18"/>
                <w:lang w:eastAsia="it-IT"/>
              </w:rPr>
            </w:pPr>
            <w:proofErr w:type="spellStart"/>
            <w:r>
              <w:rPr>
                <w:rFonts w:ascii="Calibri" w:eastAsia="Times New Roman" w:hAnsi="Calibri" w:cs="Calibri"/>
                <w:b/>
                <w:color w:val="000000"/>
                <w:sz w:val="18"/>
                <w:szCs w:val="18"/>
                <w:lang w:eastAsia="it-IT"/>
              </w:rPr>
              <w:t>Bagnista</w:t>
            </w:r>
            <w:proofErr w:type="spellEnd"/>
            <w:r>
              <w:rPr>
                <w:rFonts w:ascii="Calibri" w:eastAsia="Times New Roman" w:hAnsi="Calibri" w:cs="Calibri"/>
                <w:b/>
                <w:color w:val="000000"/>
                <w:sz w:val="18"/>
                <w:szCs w:val="18"/>
                <w:lang w:eastAsia="it-IT"/>
              </w:rPr>
              <w:t xml:space="preserve"> galvanico</w:t>
            </w:r>
          </w:p>
        </w:tc>
        <w:tc>
          <w:tcPr>
            <w:tcW w:w="849"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szCs w:val="18"/>
                <w:lang w:eastAsia="it-IT"/>
              </w:rPr>
            </w:pPr>
            <w:r>
              <w:rPr>
                <w:rFonts w:ascii="Calibri" w:eastAsia="Times New Roman" w:hAnsi="Calibri" w:cs="Calibri"/>
                <w:color w:val="000000"/>
                <w:sz w:val="18"/>
                <w:szCs w:val="18"/>
                <w:lang w:eastAsia="it-IT"/>
              </w:rPr>
              <w:t>62</w:t>
            </w:r>
          </w:p>
        </w:tc>
        <w:tc>
          <w:tcPr>
            <w:tcW w:w="1195"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szCs w:val="18"/>
                <w:lang w:eastAsia="it-IT"/>
              </w:rPr>
            </w:pPr>
            <w:r>
              <w:rPr>
                <w:rFonts w:ascii="Calibri" w:eastAsia="Times New Roman" w:hAnsi="Calibri" w:cs="Calibri"/>
                <w:color w:val="000000"/>
                <w:sz w:val="18"/>
                <w:szCs w:val="18"/>
                <w:lang w:eastAsia="it-IT"/>
              </w:rPr>
              <w:t>57</w:t>
            </w:r>
          </w:p>
        </w:tc>
        <w:tc>
          <w:tcPr>
            <w:tcW w:w="1231"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szCs w:val="18"/>
                <w:lang w:eastAsia="it-IT"/>
              </w:rPr>
            </w:pPr>
            <w:r>
              <w:rPr>
                <w:rFonts w:ascii="Calibri" w:eastAsia="Times New Roman" w:hAnsi="Calibri" w:cs="Calibri"/>
                <w:color w:val="000000"/>
                <w:sz w:val="18"/>
                <w:szCs w:val="18"/>
                <w:lang w:eastAsia="it-IT"/>
              </w:rPr>
              <w:t>240,0%</w:t>
            </w:r>
          </w:p>
        </w:tc>
        <w:tc>
          <w:tcPr>
            <w:tcW w:w="968"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szCs w:val="18"/>
                <w:lang w:eastAsia="it-IT"/>
              </w:rPr>
            </w:pPr>
            <w:r>
              <w:rPr>
                <w:rFonts w:ascii="Calibri" w:eastAsia="Times New Roman" w:hAnsi="Calibri" w:cs="Calibri"/>
                <w:color w:val="000000"/>
                <w:sz w:val="18"/>
                <w:szCs w:val="18"/>
                <w:lang w:eastAsia="it-IT"/>
              </w:rPr>
              <w:t>300,0%</w:t>
            </w:r>
          </w:p>
        </w:tc>
      </w:tr>
    </w:tbl>
    <w:p w:rsidR="00242B71" w:rsidRDefault="00242B71" w:rsidP="00242B71">
      <w:pPr>
        <w:jc w:val="both"/>
      </w:pPr>
    </w:p>
    <w:p w:rsidR="00242B71" w:rsidRDefault="00242B71" w:rsidP="00242B71">
      <w:pPr>
        <w:jc w:val="both"/>
      </w:pPr>
      <w:r>
        <w:t xml:space="preserve">Fra le mansioni energetiche quella più richiesta è quella </w:t>
      </w:r>
      <w:proofErr w:type="gramStart"/>
      <w:r>
        <w:t>dell’ “</w:t>
      </w:r>
      <w:proofErr w:type="gramEnd"/>
      <w:r>
        <w:t xml:space="preserve">Orafo”: gli avviamenti sono passati da 186 del 2011 (inerenti 174 </w:t>
      </w:r>
      <w:r>
        <w:rPr>
          <w:i/>
        </w:rPr>
        <w:t>teste</w:t>
      </w:r>
      <w:r>
        <w:t xml:space="preserve">) a 471 del 2015 (relativi a 391 </w:t>
      </w:r>
      <w:r>
        <w:rPr>
          <w:i/>
        </w:rPr>
        <w:t>teste</w:t>
      </w:r>
      <w:r>
        <w:t xml:space="preserve">). Si tratta di un incremento del 153% degli avviamenti e del 124% delle </w:t>
      </w:r>
      <w:r>
        <w:rPr>
          <w:i/>
        </w:rPr>
        <w:t>teste</w:t>
      </w:r>
      <w:r>
        <w:t xml:space="preserve"> nel quinquennio considerato. Seguono i “Montatori orafi” i cui avviamenti sono passati da 141 (riferibili a 130 </w:t>
      </w:r>
      <w:r>
        <w:rPr>
          <w:i/>
        </w:rPr>
        <w:t>teste</w:t>
      </w:r>
      <w:r>
        <w:t xml:space="preserve">) nel 2011 a 314 nel 2015 (inerenti 314 </w:t>
      </w:r>
      <w:r>
        <w:rPr>
          <w:i/>
        </w:rPr>
        <w:t>teste</w:t>
      </w:r>
      <w:r>
        <w:t xml:space="preserve">): la crescita in questo caso, sia degli avviamenti che delle </w:t>
      </w:r>
      <w:r>
        <w:rPr>
          <w:i/>
        </w:rPr>
        <w:t>teste</w:t>
      </w:r>
      <w:r>
        <w:t xml:space="preserve"> è stata del 141%.</w:t>
      </w:r>
    </w:p>
    <w:p w:rsidR="00242B71" w:rsidRDefault="00242B71" w:rsidP="00242B71">
      <w:pPr>
        <w:jc w:val="both"/>
      </w:pPr>
      <w:r>
        <w:t xml:space="preserve">Nella tabella vi sono anche valori negativi associati alla figura professionale del “Preparatore di metalli preziosi” che, nel 2011, contava 48 avviamenti (pari a 44 </w:t>
      </w:r>
      <w:r>
        <w:rPr>
          <w:i/>
        </w:rPr>
        <w:t>teste</w:t>
      </w:r>
      <w:r>
        <w:t xml:space="preserve">) mentre nel 2015 gli avviamenti si sono ridotti a 40 (pari a altrettante </w:t>
      </w:r>
      <w:r>
        <w:rPr>
          <w:i/>
        </w:rPr>
        <w:t>teste</w:t>
      </w:r>
      <w:r>
        <w:t xml:space="preserve">): complessivamente gli avviamenti associati a tale mansione sono scesi del -16,7%, mentre le </w:t>
      </w:r>
      <w:r>
        <w:rPr>
          <w:i/>
        </w:rPr>
        <w:t>teste</w:t>
      </w:r>
      <w:r>
        <w:t xml:space="preserve"> sono calate del -9,1%.</w:t>
      </w:r>
    </w:p>
    <w:p w:rsidR="00242B71" w:rsidRDefault="00242B71" w:rsidP="00242B71">
      <w:pPr>
        <w:jc w:val="both"/>
      </w:pPr>
      <w:r>
        <w:t xml:space="preserve">Nella tabella successiva sono rappresentati gli avviamenti e le </w:t>
      </w:r>
      <w:r>
        <w:rPr>
          <w:i/>
        </w:rPr>
        <w:t>teste</w:t>
      </w:r>
      <w:r>
        <w:t xml:space="preserve"> maggiormente richiesti nella macro – categoria delle mansioni cognitive – replicative.</w:t>
      </w:r>
    </w:p>
    <w:p w:rsidR="00242B71" w:rsidRPr="0029619D" w:rsidRDefault="0029619D" w:rsidP="00242B71">
      <w:pPr>
        <w:spacing w:line="240" w:lineRule="auto"/>
        <w:jc w:val="both"/>
        <w:rPr>
          <w:b/>
          <w:sz w:val="20"/>
          <w:szCs w:val="20"/>
        </w:rPr>
      </w:pPr>
      <w:proofErr w:type="spellStart"/>
      <w:r w:rsidRPr="0029619D">
        <w:rPr>
          <w:rFonts w:ascii="Calibri" w:eastAsia="Times New Roman" w:hAnsi="Calibri" w:cs="Calibri"/>
          <w:b/>
          <w:bCs/>
          <w:color w:val="000000"/>
          <w:sz w:val="20"/>
          <w:szCs w:val="20"/>
          <w:lang w:eastAsia="it-IT"/>
        </w:rPr>
        <w:t>Tab</w:t>
      </w:r>
      <w:proofErr w:type="spellEnd"/>
      <w:r w:rsidRPr="0029619D">
        <w:rPr>
          <w:rFonts w:ascii="Calibri" w:eastAsia="Times New Roman" w:hAnsi="Calibri" w:cs="Calibri"/>
          <w:b/>
          <w:bCs/>
          <w:color w:val="000000"/>
          <w:sz w:val="20"/>
          <w:szCs w:val="20"/>
          <w:lang w:eastAsia="it-IT"/>
        </w:rPr>
        <w:t>. 3.11</w:t>
      </w:r>
      <w:r w:rsidR="00242B71" w:rsidRPr="0029619D">
        <w:rPr>
          <w:rFonts w:ascii="Calibri" w:eastAsia="Times New Roman" w:hAnsi="Calibri" w:cs="Calibri"/>
          <w:b/>
          <w:bCs/>
          <w:color w:val="000000"/>
          <w:sz w:val="20"/>
          <w:szCs w:val="20"/>
          <w:lang w:eastAsia="it-IT"/>
        </w:rPr>
        <w:t xml:space="preserve"> – Distribuzione delle mansioni svolte dai lavoratori appartenenti alla </w:t>
      </w:r>
      <w:proofErr w:type="spellStart"/>
      <w:r w:rsidR="00242B71" w:rsidRPr="0029619D">
        <w:rPr>
          <w:rFonts w:ascii="Calibri" w:eastAsia="Times New Roman" w:hAnsi="Calibri" w:cs="Calibri"/>
          <w:b/>
          <w:bCs/>
          <w:color w:val="000000"/>
          <w:sz w:val="20"/>
          <w:szCs w:val="20"/>
          <w:lang w:eastAsia="it-IT"/>
        </w:rPr>
        <w:t>macrocategoria</w:t>
      </w:r>
      <w:proofErr w:type="spellEnd"/>
      <w:r w:rsidR="00242B71" w:rsidRPr="0029619D">
        <w:rPr>
          <w:rFonts w:ascii="Calibri" w:eastAsia="Times New Roman" w:hAnsi="Calibri" w:cs="Calibri"/>
          <w:b/>
          <w:bCs/>
          <w:color w:val="000000"/>
          <w:sz w:val="20"/>
          <w:szCs w:val="20"/>
          <w:lang w:eastAsia="it-IT"/>
        </w:rPr>
        <w:t xml:space="preserve"> cognitivo - replicativa, nel periodo 2011-2015 (avviamenti e </w:t>
      </w:r>
      <w:r w:rsidR="00242B71" w:rsidRPr="0029619D">
        <w:rPr>
          <w:rFonts w:ascii="Calibri" w:eastAsia="Times New Roman" w:hAnsi="Calibri" w:cs="Calibri"/>
          <w:b/>
          <w:bCs/>
          <w:i/>
          <w:color w:val="000000"/>
          <w:sz w:val="20"/>
          <w:szCs w:val="20"/>
          <w:lang w:eastAsia="it-IT"/>
        </w:rPr>
        <w:t>teste</w:t>
      </w:r>
      <w:r w:rsidR="00242B71" w:rsidRPr="0029619D">
        <w:rPr>
          <w:rFonts w:ascii="Calibri" w:eastAsia="Times New Roman" w:hAnsi="Calibri" w:cs="Calibri"/>
          <w:b/>
          <w:bCs/>
          <w:color w:val="000000"/>
          <w:sz w:val="20"/>
          <w:szCs w:val="20"/>
          <w:lang w:eastAsia="it-IT"/>
        </w:rPr>
        <w:t>) con avviamenti &gt;= 50.</w:t>
      </w:r>
    </w:p>
    <w:tbl>
      <w:tblPr>
        <w:tblW w:w="5000" w:type="pct"/>
        <w:tblCellMar>
          <w:left w:w="70" w:type="dxa"/>
          <w:right w:w="70" w:type="dxa"/>
        </w:tblCellMar>
        <w:tblLook w:val="04A0" w:firstRow="1" w:lastRow="0" w:firstColumn="1" w:lastColumn="0" w:noHBand="0" w:noVBand="1"/>
      </w:tblPr>
      <w:tblGrid>
        <w:gridCol w:w="1700"/>
        <w:gridCol w:w="1486"/>
        <w:gridCol w:w="2523"/>
        <w:gridCol w:w="2147"/>
        <w:gridCol w:w="1772"/>
      </w:tblGrid>
      <w:tr w:rsidR="00242B71" w:rsidTr="00242B71">
        <w:trPr>
          <w:trHeight w:val="20"/>
        </w:trPr>
        <w:tc>
          <w:tcPr>
            <w:tcW w:w="922" w:type="pct"/>
            <w:tcBorders>
              <w:top w:val="single" w:sz="4" w:space="0" w:color="auto"/>
              <w:left w:val="single" w:sz="4" w:space="0" w:color="auto"/>
              <w:bottom w:val="single" w:sz="4" w:space="0" w:color="auto"/>
              <w:right w:val="single" w:sz="4" w:space="0" w:color="auto"/>
            </w:tcBorders>
            <w:shd w:val="clear" w:color="auto" w:fill="C0C0C0"/>
            <w:noWrap/>
            <w:vAlign w:val="bottom"/>
            <w:hideMark/>
          </w:tcPr>
          <w:p w:rsidR="00242B71" w:rsidRDefault="00242B71">
            <w:pPr>
              <w:spacing w:after="0" w:line="240" w:lineRule="auto"/>
              <w:jc w:val="center"/>
              <w:rPr>
                <w:rFonts w:ascii="Calibri" w:eastAsia="Times New Roman" w:hAnsi="Calibri" w:cs="Calibri"/>
                <w:b/>
                <w:color w:val="000000"/>
                <w:sz w:val="18"/>
                <w:lang w:eastAsia="it-IT"/>
              </w:rPr>
            </w:pPr>
            <w:r>
              <w:rPr>
                <w:rFonts w:ascii="Calibri" w:eastAsia="Times New Roman" w:hAnsi="Calibri" w:cs="Calibri"/>
                <w:b/>
                <w:color w:val="000000"/>
                <w:sz w:val="18"/>
                <w:lang w:eastAsia="it-IT"/>
              </w:rPr>
              <w:t>Qualifiche</w:t>
            </w:r>
          </w:p>
        </w:tc>
        <w:tc>
          <w:tcPr>
            <w:tcW w:w="801" w:type="pct"/>
            <w:tcBorders>
              <w:top w:val="single" w:sz="4" w:space="0" w:color="auto"/>
              <w:left w:val="nil"/>
              <w:bottom w:val="single" w:sz="4" w:space="0" w:color="auto"/>
              <w:right w:val="single" w:sz="4" w:space="0" w:color="auto"/>
            </w:tcBorders>
            <w:shd w:val="clear" w:color="auto" w:fill="C0C0C0"/>
            <w:noWrap/>
            <w:vAlign w:val="bottom"/>
            <w:hideMark/>
          </w:tcPr>
          <w:p w:rsidR="00242B71" w:rsidRDefault="00242B71">
            <w:pPr>
              <w:spacing w:after="0" w:line="240" w:lineRule="auto"/>
              <w:jc w:val="center"/>
              <w:rPr>
                <w:rFonts w:ascii="Calibri" w:eastAsia="Times New Roman" w:hAnsi="Calibri" w:cs="Calibri"/>
                <w:b/>
                <w:color w:val="000000"/>
                <w:sz w:val="18"/>
                <w:lang w:eastAsia="it-IT"/>
              </w:rPr>
            </w:pPr>
            <w:r>
              <w:rPr>
                <w:rFonts w:ascii="Calibri" w:eastAsia="Times New Roman" w:hAnsi="Calibri" w:cs="Calibri"/>
                <w:b/>
                <w:color w:val="000000"/>
                <w:sz w:val="18"/>
                <w:lang w:eastAsia="it-IT"/>
              </w:rPr>
              <w:t>Totale avviamenti</w:t>
            </w:r>
          </w:p>
        </w:tc>
        <w:tc>
          <w:tcPr>
            <w:tcW w:w="1359" w:type="pct"/>
            <w:tcBorders>
              <w:top w:val="single" w:sz="4" w:space="0" w:color="auto"/>
              <w:left w:val="nil"/>
              <w:bottom w:val="single" w:sz="4" w:space="0" w:color="auto"/>
              <w:right w:val="single" w:sz="4" w:space="0" w:color="auto"/>
            </w:tcBorders>
            <w:shd w:val="clear" w:color="auto" w:fill="C0C0C0"/>
            <w:noWrap/>
            <w:vAlign w:val="bottom"/>
            <w:hideMark/>
          </w:tcPr>
          <w:p w:rsidR="00242B71" w:rsidRDefault="00242B71">
            <w:pPr>
              <w:spacing w:after="0" w:line="240" w:lineRule="auto"/>
              <w:jc w:val="center"/>
              <w:rPr>
                <w:rFonts w:ascii="Calibri" w:eastAsia="Times New Roman" w:hAnsi="Calibri" w:cs="Calibri"/>
                <w:b/>
                <w:color w:val="000000"/>
                <w:sz w:val="18"/>
                <w:lang w:eastAsia="it-IT"/>
              </w:rPr>
            </w:pPr>
            <w:r>
              <w:rPr>
                <w:rFonts w:ascii="Calibri" w:eastAsia="Times New Roman" w:hAnsi="Calibri" w:cs="Calibri"/>
                <w:b/>
                <w:color w:val="000000"/>
                <w:sz w:val="18"/>
                <w:lang w:eastAsia="it-IT"/>
              </w:rPr>
              <w:t xml:space="preserve">Totale </w:t>
            </w:r>
            <w:r>
              <w:rPr>
                <w:rFonts w:ascii="Calibri" w:eastAsia="Times New Roman" w:hAnsi="Calibri" w:cs="Calibri"/>
                <w:b/>
                <w:i/>
                <w:color w:val="000000"/>
                <w:sz w:val="18"/>
                <w:lang w:eastAsia="it-IT"/>
              </w:rPr>
              <w:t>teste</w:t>
            </w:r>
          </w:p>
        </w:tc>
        <w:tc>
          <w:tcPr>
            <w:tcW w:w="959" w:type="pct"/>
            <w:tcBorders>
              <w:top w:val="single" w:sz="4" w:space="0" w:color="auto"/>
              <w:left w:val="nil"/>
              <w:bottom w:val="single" w:sz="4" w:space="0" w:color="auto"/>
              <w:right w:val="single" w:sz="4" w:space="0" w:color="auto"/>
            </w:tcBorders>
            <w:shd w:val="clear" w:color="auto" w:fill="C0C0C0"/>
            <w:noWrap/>
            <w:vAlign w:val="bottom"/>
            <w:hideMark/>
          </w:tcPr>
          <w:p w:rsidR="00242B71" w:rsidRDefault="00242B71">
            <w:pPr>
              <w:spacing w:after="0" w:line="240" w:lineRule="auto"/>
              <w:jc w:val="center"/>
              <w:rPr>
                <w:rFonts w:ascii="Calibri" w:eastAsia="Times New Roman" w:hAnsi="Calibri" w:cs="Calibri"/>
                <w:b/>
                <w:color w:val="000000"/>
                <w:sz w:val="18"/>
                <w:lang w:eastAsia="it-IT"/>
              </w:rPr>
            </w:pPr>
            <w:proofErr w:type="spellStart"/>
            <w:r>
              <w:rPr>
                <w:rFonts w:ascii="Calibri" w:eastAsia="Times New Roman" w:hAnsi="Calibri" w:cs="Calibri"/>
                <w:b/>
                <w:color w:val="000000"/>
                <w:sz w:val="18"/>
                <w:lang w:eastAsia="it-IT"/>
              </w:rPr>
              <w:t>Var</w:t>
            </w:r>
            <w:proofErr w:type="spellEnd"/>
            <w:r>
              <w:rPr>
                <w:rFonts w:ascii="Calibri" w:eastAsia="Times New Roman" w:hAnsi="Calibri" w:cs="Calibri"/>
                <w:b/>
                <w:color w:val="000000"/>
                <w:sz w:val="18"/>
                <w:lang w:eastAsia="it-IT"/>
              </w:rPr>
              <w:t>. avviamenti 2015-2011</w:t>
            </w:r>
          </w:p>
        </w:tc>
        <w:tc>
          <w:tcPr>
            <w:tcW w:w="959" w:type="pct"/>
            <w:tcBorders>
              <w:top w:val="single" w:sz="4" w:space="0" w:color="auto"/>
              <w:left w:val="nil"/>
              <w:bottom w:val="single" w:sz="4" w:space="0" w:color="auto"/>
              <w:right w:val="single" w:sz="4" w:space="0" w:color="auto"/>
            </w:tcBorders>
            <w:shd w:val="clear" w:color="auto" w:fill="C0C0C0"/>
            <w:noWrap/>
            <w:vAlign w:val="bottom"/>
            <w:hideMark/>
          </w:tcPr>
          <w:p w:rsidR="00242B71" w:rsidRDefault="00242B71">
            <w:pPr>
              <w:spacing w:after="0" w:line="240" w:lineRule="auto"/>
              <w:jc w:val="center"/>
              <w:rPr>
                <w:rFonts w:ascii="Calibri" w:eastAsia="Times New Roman" w:hAnsi="Calibri" w:cs="Calibri"/>
                <w:b/>
                <w:color w:val="000000"/>
                <w:sz w:val="18"/>
                <w:lang w:eastAsia="it-IT"/>
              </w:rPr>
            </w:pPr>
            <w:proofErr w:type="spellStart"/>
            <w:r>
              <w:rPr>
                <w:rFonts w:ascii="Calibri" w:eastAsia="Times New Roman" w:hAnsi="Calibri" w:cs="Calibri"/>
                <w:b/>
                <w:color w:val="000000"/>
                <w:sz w:val="18"/>
                <w:lang w:eastAsia="it-IT"/>
              </w:rPr>
              <w:t>Var</w:t>
            </w:r>
            <w:proofErr w:type="spellEnd"/>
            <w:r>
              <w:rPr>
                <w:rFonts w:ascii="Calibri" w:eastAsia="Times New Roman" w:hAnsi="Calibri" w:cs="Calibri"/>
                <w:b/>
                <w:color w:val="000000"/>
                <w:sz w:val="18"/>
                <w:lang w:eastAsia="it-IT"/>
              </w:rPr>
              <w:t xml:space="preserve">. </w:t>
            </w:r>
            <w:r>
              <w:rPr>
                <w:rFonts w:ascii="Calibri" w:eastAsia="Times New Roman" w:hAnsi="Calibri" w:cs="Calibri"/>
                <w:b/>
                <w:i/>
                <w:color w:val="000000"/>
                <w:sz w:val="18"/>
                <w:lang w:eastAsia="it-IT"/>
              </w:rPr>
              <w:t>teste</w:t>
            </w:r>
            <w:r>
              <w:rPr>
                <w:rFonts w:ascii="Calibri" w:eastAsia="Times New Roman" w:hAnsi="Calibri" w:cs="Calibri"/>
                <w:b/>
                <w:color w:val="000000"/>
                <w:sz w:val="18"/>
                <w:lang w:eastAsia="it-IT"/>
              </w:rPr>
              <w:t xml:space="preserve"> 2015-2011</w:t>
            </w:r>
          </w:p>
        </w:tc>
      </w:tr>
      <w:tr w:rsidR="00242B71" w:rsidTr="00242B71">
        <w:trPr>
          <w:trHeight w:val="20"/>
        </w:trPr>
        <w:tc>
          <w:tcPr>
            <w:tcW w:w="922" w:type="pct"/>
            <w:tcBorders>
              <w:top w:val="nil"/>
              <w:left w:val="single" w:sz="4" w:space="0" w:color="auto"/>
              <w:bottom w:val="single" w:sz="4" w:space="0" w:color="auto"/>
              <w:right w:val="single" w:sz="4" w:space="0" w:color="auto"/>
            </w:tcBorders>
            <w:vAlign w:val="bottom"/>
            <w:hideMark/>
          </w:tcPr>
          <w:p w:rsidR="00242B71" w:rsidRDefault="00242B71">
            <w:pPr>
              <w:spacing w:after="0" w:line="240" w:lineRule="auto"/>
              <w:rPr>
                <w:rFonts w:ascii="Calibri" w:eastAsia="Times New Roman" w:hAnsi="Calibri" w:cs="Calibri"/>
                <w:b/>
                <w:color w:val="000000"/>
                <w:sz w:val="18"/>
                <w:lang w:eastAsia="it-IT"/>
              </w:rPr>
            </w:pPr>
            <w:r>
              <w:rPr>
                <w:rFonts w:ascii="Calibri" w:eastAsia="Times New Roman" w:hAnsi="Calibri" w:cs="Calibri"/>
                <w:b/>
                <w:color w:val="000000"/>
                <w:sz w:val="18"/>
                <w:lang w:eastAsia="it-IT"/>
              </w:rPr>
              <w:t>Impiegato amministrativo</w:t>
            </w:r>
          </w:p>
        </w:tc>
        <w:tc>
          <w:tcPr>
            <w:tcW w:w="801"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lang w:eastAsia="it-IT"/>
              </w:rPr>
            </w:pPr>
            <w:r>
              <w:rPr>
                <w:rFonts w:ascii="Calibri" w:eastAsia="Times New Roman" w:hAnsi="Calibri" w:cs="Calibri"/>
                <w:color w:val="000000"/>
                <w:sz w:val="18"/>
                <w:lang w:eastAsia="it-IT"/>
              </w:rPr>
              <w:t>265</w:t>
            </w:r>
          </w:p>
        </w:tc>
        <w:tc>
          <w:tcPr>
            <w:tcW w:w="1359"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lang w:eastAsia="it-IT"/>
              </w:rPr>
            </w:pPr>
            <w:r>
              <w:rPr>
                <w:rFonts w:ascii="Calibri" w:eastAsia="Times New Roman" w:hAnsi="Calibri" w:cs="Calibri"/>
                <w:color w:val="000000"/>
                <w:sz w:val="18"/>
                <w:lang w:eastAsia="it-IT"/>
              </w:rPr>
              <w:t>254</w:t>
            </w:r>
          </w:p>
        </w:tc>
        <w:tc>
          <w:tcPr>
            <w:tcW w:w="959"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lang w:eastAsia="it-IT"/>
              </w:rPr>
            </w:pPr>
            <w:r>
              <w:rPr>
                <w:rFonts w:ascii="Calibri" w:eastAsia="Times New Roman" w:hAnsi="Calibri" w:cs="Calibri"/>
                <w:color w:val="000000"/>
                <w:sz w:val="18"/>
                <w:lang w:eastAsia="it-IT"/>
              </w:rPr>
              <w:t>245,5%</w:t>
            </w:r>
          </w:p>
        </w:tc>
        <w:tc>
          <w:tcPr>
            <w:tcW w:w="959"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lang w:eastAsia="it-IT"/>
              </w:rPr>
            </w:pPr>
            <w:r>
              <w:rPr>
                <w:rFonts w:ascii="Calibri" w:eastAsia="Times New Roman" w:hAnsi="Calibri" w:cs="Calibri"/>
                <w:color w:val="000000"/>
                <w:sz w:val="18"/>
                <w:lang w:eastAsia="it-IT"/>
              </w:rPr>
              <w:t>242,9%</w:t>
            </w:r>
          </w:p>
        </w:tc>
      </w:tr>
      <w:tr w:rsidR="00242B71" w:rsidTr="00242B71">
        <w:trPr>
          <w:trHeight w:val="20"/>
        </w:trPr>
        <w:tc>
          <w:tcPr>
            <w:tcW w:w="922" w:type="pct"/>
            <w:tcBorders>
              <w:top w:val="nil"/>
              <w:left w:val="single" w:sz="4" w:space="0" w:color="auto"/>
              <w:bottom w:val="single" w:sz="4" w:space="0" w:color="auto"/>
              <w:right w:val="single" w:sz="4" w:space="0" w:color="auto"/>
            </w:tcBorders>
            <w:vAlign w:val="bottom"/>
            <w:hideMark/>
          </w:tcPr>
          <w:p w:rsidR="00242B71" w:rsidRDefault="00242B71">
            <w:pPr>
              <w:spacing w:after="0" w:line="240" w:lineRule="auto"/>
              <w:rPr>
                <w:rFonts w:ascii="Calibri" w:eastAsia="Times New Roman" w:hAnsi="Calibri" w:cs="Calibri"/>
                <w:b/>
                <w:color w:val="000000"/>
                <w:sz w:val="18"/>
                <w:lang w:eastAsia="it-IT"/>
              </w:rPr>
            </w:pPr>
            <w:r>
              <w:rPr>
                <w:rFonts w:ascii="Calibri" w:eastAsia="Times New Roman" w:hAnsi="Calibri" w:cs="Calibri"/>
                <w:b/>
                <w:color w:val="000000"/>
                <w:sz w:val="18"/>
                <w:lang w:eastAsia="it-IT"/>
              </w:rPr>
              <w:t>Addetto alla contabilità</w:t>
            </w:r>
          </w:p>
        </w:tc>
        <w:tc>
          <w:tcPr>
            <w:tcW w:w="801"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lang w:eastAsia="it-IT"/>
              </w:rPr>
            </w:pPr>
            <w:r>
              <w:rPr>
                <w:rFonts w:ascii="Calibri" w:eastAsia="Times New Roman" w:hAnsi="Calibri" w:cs="Calibri"/>
                <w:color w:val="000000"/>
                <w:sz w:val="18"/>
                <w:lang w:eastAsia="it-IT"/>
              </w:rPr>
              <w:t>111</w:t>
            </w:r>
          </w:p>
        </w:tc>
        <w:tc>
          <w:tcPr>
            <w:tcW w:w="1359"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lang w:eastAsia="it-IT"/>
              </w:rPr>
            </w:pPr>
            <w:r>
              <w:rPr>
                <w:rFonts w:ascii="Calibri" w:eastAsia="Times New Roman" w:hAnsi="Calibri" w:cs="Calibri"/>
                <w:color w:val="000000"/>
                <w:sz w:val="18"/>
                <w:lang w:eastAsia="it-IT"/>
              </w:rPr>
              <w:t>104</w:t>
            </w:r>
          </w:p>
        </w:tc>
        <w:tc>
          <w:tcPr>
            <w:tcW w:w="959"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lang w:eastAsia="it-IT"/>
              </w:rPr>
            </w:pPr>
            <w:r>
              <w:rPr>
                <w:rFonts w:ascii="Calibri" w:eastAsia="Times New Roman" w:hAnsi="Calibri" w:cs="Calibri"/>
                <w:color w:val="000000"/>
                <w:sz w:val="18"/>
                <w:lang w:eastAsia="it-IT"/>
              </w:rPr>
              <w:t>-39,4%</w:t>
            </w:r>
          </w:p>
        </w:tc>
        <w:tc>
          <w:tcPr>
            <w:tcW w:w="959"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lang w:eastAsia="it-IT"/>
              </w:rPr>
            </w:pPr>
            <w:r>
              <w:rPr>
                <w:rFonts w:ascii="Calibri" w:eastAsia="Times New Roman" w:hAnsi="Calibri" w:cs="Calibri"/>
                <w:color w:val="000000"/>
                <w:sz w:val="18"/>
                <w:lang w:eastAsia="it-IT"/>
              </w:rPr>
              <w:t>-38,7%</w:t>
            </w:r>
          </w:p>
        </w:tc>
      </w:tr>
      <w:tr w:rsidR="00242B71" w:rsidTr="00242B71">
        <w:trPr>
          <w:trHeight w:val="20"/>
        </w:trPr>
        <w:tc>
          <w:tcPr>
            <w:tcW w:w="922" w:type="pct"/>
            <w:tcBorders>
              <w:top w:val="nil"/>
              <w:left w:val="single" w:sz="4" w:space="0" w:color="auto"/>
              <w:bottom w:val="single" w:sz="4" w:space="0" w:color="auto"/>
              <w:right w:val="single" w:sz="4" w:space="0" w:color="auto"/>
            </w:tcBorders>
            <w:vAlign w:val="bottom"/>
            <w:hideMark/>
          </w:tcPr>
          <w:p w:rsidR="00242B71" w:rsidRDefault="00242B71">
            <w:pPr>
              <w:spacing w:after="0" w:line="240" w:lineRule="auto"/>
              <w:rPr>
                <w:rFonts w:ascii="Calibri" w:eastAsia="Times New Roman" w:hAnsi="Calibri" w:cs="Calibri"/>
                <w:b/>
                <w:color w:val="000000"/>
                <w:sz w:val="18"/>
                <w:lang w:eastAsia="it-IT"/>
              </w:rPr>
            </w:pPr>
            <w:r>
              <w:rPr>
                <w:rFonts w:ascii="Calibri" w:eastAsia="Times New Roman" w:hAnsi="Calibri" w:cs="Calibri"/>
                <w:b/>
                <w:color w:val="000000"/>
                <w:sz w:val="18"/>
                <w:lang w:eastAsia="it-IT"/>
              </w:rPr>
              <w:t>Rappresentante commerciale</w:t>
            </w:r>
          </w:p>
        </w:tc>
        <w:tc>
          <w:tcPr>
            <w:tcW w:w="801"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lang w:eastAsia="it-IT"/>
              </w:rPr>
            </w:pPr>
            <w:r>
              <w:rPr>
                <w:rFonts w:ascii="Calibri" w:eastAsia="Times New Roman" w:hAnsi="Calibri" w:cs="Calibri"/>
                <w:color w:val="000000"/>
                <w:sz w:val="18"/>
                <w:lang w:eastAsia="it-IT"/>
              </w:rPr>
              <w:t>76</w:t>
            </w:r>
          </w:p>
        </w:tc>
        <w:tc>
          <w:tcPr>
            <w:tcW w:w="1359"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lang w:eastAsia="it-IT"/>
              </w:rPr>
            </w:pPr>
            <w:r>
              <w:rPr>
                <w:rFonts w:ascii="Calibri" w:eastAsia="Times New Roman" w:hAnsi="Calibri" w:cs="Calibri"/>
                <w:color w:val="000000"/>
                <w:sz w:val="18"/>
                <w:lang w:eastAsia="it-IT"/>
              </w:rPr>
              <w:t>73</w:t>
            </w:r>
          </w:p>
        </w:tc>
        <w:tc>
          <w:tcPr>
            <w:tcW w:w="959"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lang w:eastAsia="it-IT"/>
              </w:rPr>
            </w:pPr>
            <w:r>
              <w:rPr>
                <w:rFonts w:ascii="Calibri" w:eastAsia="Times New Roman" w:hAnsi="Calibri" w:cs="Calibri"/>
                <w:color w:val="000000"/>
                <w:sz w:val="18"/>
                <w:lang w:eastAsia="it-IT"/>
              </w:rPr>
              <w:t>-68,2%</w:t>
            </w:r>
          </w:p>
        </w:tc>
        <w:tc>
          <w:tcPr>
            <w:tcW w:w="959"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lang w:eastAsia="it-IT"/>
              </w:rPr>
            </w:pPr>
            <w:r>
              <w:rPr>
                <w:rFonts w:ascii="Calibri" w:eastAsia="Times New Roman" w:hAnsi="Calibri" w:cs="Calibri"/>
                <w:color w:val="000000"/>
                <w:sz w:val="18"/>
                <w:lang w:eastAsia="it-IT"/>
              </w:rPr>
              <w:t>-65,0%</w:t>
            </w:r>
          </w:p>
        </w:tc>
      </w:tr>
      <w:tr w:rsidR="00242B71" w:rsidTr="00242B71">
        <w:trPr>
          <w:trHeight w:val="20"/>
        </w:trPr>
        <w:tc>
          <w:tcPr>
            <w:tcW w:w="922" w:type="pct"/>
            <w:tcBorders>
              <w:top w:val="nil"/>
              <w:left w:val="single" w:sz="4" w:space="0" w:color="auto"/>
              <w:bottom w:val="single" w:sz="4" w:space="0" w:color="auto"/>
              <w:right w:val="single" w:sz="4" w:space="0" w:color="auto"/>
            </w:tcBorders>
            <w:vAlign w:val="bottom"/>
            <w:hideMark/>
          </w:tcPr>
          <w:p w:rsidR="00242B71" w:rsidRDefault="00242B71">
            <w:pPr>
              <w:spacing w:after="0" w:line="240" w:lineRule="auto"/>
              <w:jc w:val="both"/>
              <w:rPr>
                <w:rFonts w:ascii="Calibri" w:eastAsia="Times New Roman" w:hAnsi="Calibri" w:cs="Calibri"/>
                <w:b/>
                <w:color w:val="000000"/>
                <w:sz w:val="18"/>
                <w:lang w:eastAsia="it-IT"/>
              </w:rPr>
            </w:pPr>
            <w:r>
              <w:rPr>
                <w:rFonts w:ascii="Calibri" w:eastAsia="Times New Roman" w:hAnsi="Calibri" w:cs="Calibri"/>
                <w:b/>
                <w:color w:val="000000"/>
                <w:sz w:val="18"/>
                <w:lang w:eastAsia="it-IT"/>
              </w:rPr>
              <w:t>Addetto alla segreteria</w:t>
            </w:r>
          </w:p>
        </w:tc>
        <w:tc>
          <w:tcPr>
            <w:tcW w:w="801"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lang w:eastAsia="it-IT"/>
              </w:rPr>
            </w:pPr>
            <w:r>
              <w:rPr>
                <w:rFonts w:ascii="Calibri" w:eastAsia="Times New Roman" w:hAnsi="Calibri" w:cs="Calibri"/>
                <w:color w:val="000000"/>
                <w:sz w:val="18"/>
                <w:lang w:eastAsia="it-IT"/>
              </w:rPr>
              <w:t>57</w:t>
            </w:r>
          </w:p>
        </w:tc>
        <w:tc>
          <w:tcPr>
            <w:tcW w:w="1359"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lang w:eastAsia="it-IT"/>
              </w:rPr>
            </w:pPr>
            <w:r>
              <w:rPr>
                <w:rFonts w:ascii="Calibri" w:eastAsia="Times New Roman" w:hAnsi="Calibri" w:cs="Calibri"/>
                <w:color w:val="000000"/>
                <w:sz w:val="18"/>
                <w:lang w:eastAsia="it-IT"/>
              </w:rPr>
              <w:t>54</w:t>
            </w:r>
          </w:p>
        </w:tc>
        <w:tc>
          <w:tcPr>
            <w:tcW w:w="959"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lang w:eastAsia="it-IT"/>
              </w:rPr>
            </w:pPr>
            <w:r>
              <w:rPr>
                <w:rFonts w:ascii="Calibri" w:eastAsia="Times New Roman" w:hAnsi="Calibri" w:cs="Calibri"/>
                <w:color w:val="000000"/>
                <w:sz w:val="18"/>
                <w:lang w:eastAsia="it-IT"/>
              </w:rPr>
              <w:t>25,0%</w:t>
            </w:r>
          </w:p>
        </w:tc>
        <w:tc>
          <w:tcPr>
            <w:tcW w:w="959"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lang w:eastAsia="it-IT"/>
              </w:rPr>
            </w:pPr>
            <w:r>
              <w:rPr>
                <w:rFonts w:ascii="Calibri" w:eastAsia="Times New Roman" w:hAnsi="Calibri" w:cs="Calibri"/>
                <w:color w:val="000000"/>
                <w:sz w:val="18"/>
                <w:lang w:eastAsia="it-IT"/>
              </w:rPr>
              <w:t>36,4%</w:t>
            </w:r>
          </w:p>
        </w:tc>
      </w:tr>
    </w:tbl>
    <w:p w:rsidR="00242B71" w:rsidRDefault="00242B71" w:rsidP="00242B71">
      <w:pPr>
        <w:jc w:val="both"/>
      </w:pPr>
    </w:p>
    <w:p w:rsidR="00242B71" w:rsidRDefault="00242B71" w:rsidP="00242B71">
      <w:pPr>
        <w:jc w:val="both"/>
      </w:pPr>
      <w:r>
        <w:t xml:space="preserve">Gli avviamenti degli impiegati amministrativi crescono del 245% nel 2015 rispetto al 2011: passando, in valori assoluti da 22 avviamenti (relativi a 21 </w:t>
      </w:r>
      <w:r>
        <w:rPr>
          <w:i/>
        </w:rPr>
        <w:t>teste</w:t>
      </w:r>
      <w:r>
        <w:t xml:space="preserve">) a 76 (inerenti 72 </w:t>
      </w:r>
      <w:r>
        <w:rPr>
          <w:i/>
        </w:rPr>
        <w:t>teste</w:t>
      </w:r>
      <w:r>
        <w:t>). Diminuiscono gli “Addetti alla contabilità” (venivano avviati, nel 2011, 31 lavoratori contro i 19 del 2015) e i rappresentanti commerciali (che da 20 lavoratori avviati nel 2011 sono passati a 7 avviati nel 2015).</w:t>
      </w:r>
    </w:p>
    <w:p w:rsidR="00242B71" w:rsidRDefault="00242B71" w:rsidP="00242B71">
      <w:pPr>
        <w:jc w:val="both"/>
      </w:pPr>
      <w:r>
        <w:t>Crescono, infine, gli “Addetti di segreteria” (dagli 11 avviati nel 2011 si passa ai 15 nel 2015).</w:t>
      </w:r>
    </w:p>
    <w:p w:rsidR="00242B71" w:rsidRDefault="00242B71" w:rsidP="00242B71">
      <w:pPr>
        <w:jc w:val="both"/>
      </w:pPr>
      <w:r>
        <w:t xml:space="preserve">Più interessante è la tabella seguente che “documenta” sulla natura delle mansioni cognitive generative e della loro evoluzione nel quinquennio oggetto d’analisi. La tabella seguente riporta le mansioni cognitive – generative con un numero di avviamenti &gt;=10. Come si è già detto, i profili cognitivo – generativi risultano potenzialmente in grado di conferire maggior valore aggiunto alle produzioni attraverso l’apporto di </w:t>
      </w:r>
      <w:r>
        <w:rPr>
          <w:i/>
        </w:rPr>
        <w:t>know-how</w:t>
      </w:r>
      <w:r>
        <w:t xml:space="preserve"> specifici mediante i quali realizzare innovazioni di prodotto e/o di processo.</w:t>
      </w:r>
    </w:p>
    <w:p w:rsidR="00242B71" w:rsidRPr="0029619D" w:rsidRDefault="00242B71" w:rsidP="00242B71">
      <w:pPr>
        <w:spacing w:line="240" w:lineRule="auto"/>
        <w:jc w:val="both"/>
        <w:rPr>
          <w:b/>
          <w:sz w:val="20"/>
          <w:szCs w:val="20"/>
        </w:rPr>
      </w:pPr>
      <w:proofErr w:type="spellStart"/>
      <w:r w:rsidRPr="0029619D">
        <w:rPr>
          <w:rFonts w:ascii="Calibri" w:eastAsia="Times New Roman" w:hAnsi="Calibri" w:cs="Calibri"/>
          <w:b/>
          <w:bCs/>
          <w:color w:val="000000"/>
          <w:sz w:val="20"/>
          <w:szCs w:val="20"/>
          <w:lang w:eastAsia="it-IT"/>
        </w:rPr>
        <w:t>Tab</w:t>
      </w:r>
      <w:proofErr w:type="spellEnd"/>
      <w:r w:rsidRPr="0029619D">
        <w:rPr>
          <w:rFonts w:ascii="Calibri" w:eastAsia="Times New Roman" w:hAnsi="Calibri" w:cs="Calibri"/>
          <w:b/>
          <w:bCs/>
          <w:color w:val="000000"/>
          <w:sz w:val="20"/>
          <w:szCs w:val="20"/>
          <w:lang w:eastAsia="it-IT"/>
        </w:rPr>
        <w:t xml:space="preserve">. </w:t>
      </w:r>
      <w:r w:rsidR="0029619D">
        <w:rPr>
          <w:rFonts w:ascii="Calibri" w:eastAsia="Times New Roman" w:hAnsi="Calibri" w:cs="Calibri"/>
          <w:b/>
          <w:bCs/>
          <w:color w:val="000000"/>
          <w:sz w:val="20"/>
          <w:szCs w:val="20"/>
          <w:lang w:eastAsia="it-IT"/>
        </w:rPr>
        <w:t>3.</w:t>
      </w:r>
      <w:r w:rsidRPr="0029619D">
        <w:rPr>
          <w:rFonts w:ascii="Calibri" w:eastAsia="Times New Roman" w:hAnsi="Calibri" w:cs="Calibri"/>
          <w:b/>
          <w:bCs/>
          <w:color w:val="000000"/>
          <w:sz w:val="20"/>
          <w:szCs w:val="20"/>
          <w:lang w:eastAsia="it-IT"/>
        </w:rPr>
        <w:t>1</w:t>
      </w:r>
      <w:r w:rsidR="0029619D">
        <w:rPr>
          <w:rFonts w:ascii="Calibri" w:eastAsia="Times New Roman" w:hAnsi="Calibri" w:cs="Calibri"/>
          <w:b/>
          <w:bCs/>
          <w:color w:val="000000"/>
          <w:sz w:val="20"/>
          <w:szCs w:val="20"/>
          <w:lang w:eastAsia="it-IT"/>
        </w:rPr>
        <w:t>2</w:t>
      </w:r>
      <w:r w:rsidRPr="0029619D">
        <w:rPr>
          <w:rFonts w:ascii="Calibri" w:eastAsia="Times New Roman" w:hAnsi="Calibri" w:cs="Calibri"/>
          <w:b/>
          <w:bCs/>
          <w:color w:val="000000"/>
          <w:sz w:val="20"/>
          <w:szCs w:val="20"/>
          <w:lang w:eastAsia="it-IT"/>
        </w:rPr>
        <w:t xml:space="preserve"> – Distribuzione delle mansioni svolte dai lavoratori appartenenti alla </w:t>
      </w:r>
      <w:proofErr w:type="spellStart"/>
      <w:r w:rsidRPr="0029619D">
        <w:rPr>
          <w:rFonts w:ascii="Calibri" w:eastAsia="Times New Roman" w:hAnsi="Calibri" w:cs="Calibri"/>
          <w:b/>
          <w:bCs/>
          <w:color w:val="000000"/>
          <w:sz w:val="20"/>
          <w:szCs w:val="20"/>
          <w:lang w:eastAsia="it-IT"/>
        </w:rPr>
        <w:t>macrocategoria</w:t>
      </w:r>
      <w:proofErr w:type="spellEnd"/>
      <w:r w:rsidRPr="0029619D">
        <w:rPr>
          <w:rFonts w:ascii="Calibri" w:eastAsia="Times New Roman" w:hAnsi="Calibri" w:cs="Calibri"/>
          <w:b/>
          <w:bCs/>
          <w:color w:val="000000"/>
          <w:sz w:val="20"/>
          <w:szCs w:val="20"/>
          <w:lang w:eastAsia="it-IT"/>
        </w:rPr>
        <w:t xml:space="preserve"> cognitivo - generativa, nel periodo 2011-2015 (avviamenti e </w:t>
      </w:r>
      <w:r w:rsidRPr="0029619D">
        <w:rPr>
          <w:rFonts w:ascii="Calibri" w:eastAsia="Times New Roman" w:hAnsi="Calibri" w:cs="Calibri"/>
          <w:b/>
          <w:bCs/>
          <w:i/>
          <w:color w:val="000000"/>
          <w:sz w:val="20"/>
          <w:szCs w:val="20"/>
          <w:lang w:eastAsia="it-IT"/>
        </w:rPr>
        <w:t>teste</w:t>
      </w:r>
      <w:r w:rsidRPr="0029619D">
        <w:rPr>
          <w:rFonts w:ascii="Calibri" w:eastAsia="Times New Roman" w:hAnsi="Calibri" w:cs="Calibri"/>
          <w:b/>
          <w:bCs/>
          <w:color w:val="000000"/>
          <w:sz w:val="20"/>
          <w:szCs w:val="20"/>
          <w:lang w:eastAsia="it-IT"/>
        </w:rPr>
        <w:t>) con avviamenti &gt;= 10.</w:t>
      </w:r>
    </w:p>
    <w:tbl>
      <w:tblPr>
        <w:tblW w:w="5000" w:type="pct"/>
        <w:tblCellMar>
          <w:left w:w="70" w:type="dxa"/>
          <w:right w:w="70" w:type="dxa"/>
        </w:tblCellMar>
        <w:tblLook w:val="04A0" w:firstRow="1" w:lastRow="0" w:firstColumn="1" w:lastColumn="0" w:noHBand="0" w:noVBand="1"/>
      </w:tblPr>
      <w:tblGrid>
        <w:gridCol w:w="1675"/>
        <w:gridCol w:w="1486"/>
        <w:gridCol w:w="2519"/>
        <w:gridCol w:w="2147"/>
        <w:gridCol w:w="1801"/>
      </w:tblGrid>
      <w:tr w:rsidR="00242B71" w:rsidTr="00242B71">
        <w:trPr>
          <w:trHeight w:val="20"/>
        </w:trPr>
        <w:tc>
          <w:tcPr>
            <w:tcW w:w="888" w:type="pct"/>
            <w:tcBorders>
              <w:top w:val="single" w:sz="4" w:space="0" w:color="auto"/>
              <w:left w:val="single" w:sz="4" w:space="0" w:color="auto"/>
              <w:bottom w:val="single" w:sz="4" w:space="0" w:color="auto"/>
              <w:right w:val="single" w:sz="4" w:space="0" w:color="auto"/>
            </w:tcBorders>
            <w:shd w:val="clear" w:color="auto" w:fill="C0C0C0"/>
            <w:noWrap/>
            <w:vAlign w:val="bottom"/>
            <w:hideMark/>
          </w:tcPr>
          <w:p w:rsidR="00242B71" w:rsidRDefault="00242B71">
            <w:pPr>
              <w:spacing w:after="0" w:line="240" w:lineRule="auto"/>
              <w:jc w:val="center"/>
              <w:rPr>
                <w:rFonts w:ascii="Calibri" w:eastAsia="Times New Roman" w:hAnsi="Calibri" w:cs="Calibri"/>
                <w:b/>
                <w:color w:val="000000"/>
                <w:sz w:val="18"/>
                <w:lang w:eastAsia="it-IT"/>
              </w:rPr>
            </w:pPr>
            <w:r>
              <w:rPr>
                <w:rFonts w:ascii="Calibri" w:eastAsia="Times New Roman" w:hAnsi="Calibri" w:cs="Calibri"/>
                <w:b/>
                <w:color w:val="000000"/>
                <w:sz w:val="18"/>
                <w:lang w:eastAsia="it-IT"/>
              </w:rPr>
              <w:t>Qualifiche</w:t>
            </w:r>
          </w:p>
        </w:tc>
        <w:tc>
          <w:tcPr>
            <w:tcW w:w="730" w:type="pct"/>
            <w:tcBorders>
              <w:top w:val="single" w:sz="4" w:space="0" w:color="auto"/>
              <w:left w:val="nil"/>
              <w:bottom w:val="single" w:sz="4" w:space="0" w:color="auto"/>
              <w:right w:val="single" w:sz="4" w:space="0" w:color="auto"/>
            </w:tcBorders>
            <w:shd w:val="clear" w:color="auto" w:fill="C0C0C0"/>
            <w:noWrap/>
            <w:vAlign w:val="bottom"/>
            <w:hideMark/>
          </w:tcPr>
          <w:p w:rsidR="00242B71" w:rsidRDefault="00242B71">
            <w:pPr>
              <w:spacing w:after="0" w:line="240" w:lineRule="auto"/>
              <w:jc w:val="center"/>
              <w:rPr>
                <w:rFonts w:ascii="Calibri" w:eastAsia="Times New Roman" w:hAnsi="Calibri" w:cs="Calibri"/>
                <w:b/>
                <w:color w:val="000000"/>
                <w:sz w:val="18"/>
                <w:lang w:eastAsia="it-IT"/>
              </w:rPr>
            </w:pPr>
            <w:r>
              <w:rPr>
                <w:rFonts w:ascii="Calibri" w:eastAsia="Times New Roman" w:hAnsi="Calibri" w:cs="Calibri"/>
                <w:b/>
                <w:color w:val="000000"/>
                <w:sz w:val="18"/>
                <w:lang w:eastAsia="it-IT"/>
              </w:rPr>
              <w:t>Totale avviamenti</w:t>
            </w:r>
          </w:p>
        </w:tc>
        <w:tc>
          <w:tcPr>
            <w:tcW w:w="1326" w:type="pct"/>
            <w:tcBorders>
              <w:top w:val="single" w:sz="4" w:space="0" w:color="auto"/>
              <w:left w:val="nil"/>
              <w:bottom w:val="single" w:sz="4" w:space="0" w:color="auto"/>
              <w:right w:val="single" w:sz="4" w:space="0" w:color="auto"/>
            </w:tcBorders>
            <w:shd w:val="clear" w:color="auto" w:fill="C0C0C0"/>
            <w:noWrap/>
            <w:vAlign w:val="bottom"/>
            <w:hideMark/>
          </w:tcPr>
          <w:p w:rsidR="00242B71" w:rsidRDefault="00242B71">
            <w:pPr>
              <w:spacing w:after="0" w:line="240" w:lineRule="auto"/>
              <w:jc w:val="center"/>
              <w:rPr>
                <w:rFonts w:ascii="Calibri" w:eastAsia="Times New Roman" w:hAnsi="Calibri" w:cs="Calibri"/>
                <w:b/>
                <w:color w:val="000000"/>
                <w:sz w:val="18"/>
                <w:lang w:eastAsia="it-IT"/>
              </w:rPr>
            </w:pPr>
            <w:r>
              <w:rPr>
                <w:rFonts w:ascii="Calibri" w:eastAsia="Times New Roman" w:hAnsi="Calibri" w:cs="Calibri"/>
                <w:b/>
                <w:color w:val="000000"/>
                <w:sz w:val="18"/>
                <w:lang w:eastAsia="it-IT"/>
              </w:rPr>
              <w:t xml:space="preserve">Totale </w:t>
            </w:r>
            <w:r>
              <w:rPr>
                <w:rFonts w:ascii="Calibri" w:eastAsia="Times New Roman" w:hAnsi="Calibri" w:cs="Calibri"/>
                <w:b/>
                <w:i/>
                <w:color w:val="000000"/>
                <w:sz w:val="18"/>
                <w:lang w:eastAsia="it-IT"/>
              </w:rPr>
              <w:t>teste</w:t>
            </w:r>
          </w:p>
        </w:tc>
        <w:tc>
          <w:tcPr>
            <w:tcW w:w="1103" w:type="pct"/>
            <w:tcBorders>
              <w:top w:val="single" w:sz="4" w:space="0" w:color="auto"/>
              <w:left w:val="nil"/>
              <w:bottom w:val="single" w:sz="4" w:space="0" w:color="auto"/>
              <w:right w:val="single" w:sz="4" w:space="0" w:color="auto"/>
            </w:tcBorders>
            <w:shd w:val="clear" w:color="auto" w:fill="C0C0C0"/>
            <w:noWrap/>
            <w:vAlign w:val="bottom"/>
            <w:hideMark/>
          </w:tcPr>
          <w:p w:rsidR="00242B71" w:rsidRDefault="00242B71">
            <w:pPr>
              <w:spacing w:after="0" w:line="240" w:lineRule="auto"/>
              <w:jc w:val="center"/>
              <w:rPr>
                <w:rFonts w:ascii="Calibri" w:eastAsia="Times New Roman" w:hAnsi="Calibri" w:cs="Calibri"/>
                <w:b/>
                <w:color w:val="000000"/>
                <w:sz w:val="18"/>
                <w:lang w:eastAsia="it-IT"/>
              </w:rPr>
            </w:pPr>
            <w:proofErr w:type="spellStart"/>
            <w:r>
              <w:rPr>
                <w:rFonts w:ascii="Calibri" w:eastAsia="Times New Roman" w:hAnsi="Calibri" w:cs="Calibri"/>
                <w:b/>
                <w:color w:val="000000"/>
                <w:sz w:val="18"/>
                <w:lang w:eastAsia="it-IT"/>
              </w:rPr>
              <w:t>Var</w:t>
            </w:r>
            <w:proofErr w:type="spellEnd"/>
            <w:r>
              <w:rPr>
                <w:rFonts w:ascii="Calibri" w:eastAsia="Times New Roman" w:hAnsi="Calibri" w:cs="Calibri"/>
                <w:b/>
                <w:color w:val="000000"/>
                <w:sz w:val="18"/>
                <w:lang w:eastAsia="it-IT"/>
              </w:rPr>
              <w:t>. avviamenti 2015-2011</w:t>
            </w:r>
          </w:p>
        </w:tc>
        <w:tc>
          <w:tcPr>
            <w:tcW w:w="953" w:type="pct"/>
            <w:tcBorders>
              <w:top w:val="single" w:sz="4" w:space="0" w:color="auto"/>
              <w:left w:val="nil"/>
              <w:bottom w:val="single" w:sz="4" w:space="0" w:color="auto"/>
              <w:right w:val="single" w:sz="4" w:space="0" w:color="auto"/>
            </w:tcBorders>
            <w:shd w:val="clear" w:color="auto" w:fill="C0C0C0"/>
            <w:noWrap/>
            <w:vAlign w:val="bottom"/>
            <w:hideMark/>
          </w:tcPr>
          <w:p w:rsidR="00242B71" w:rsidRDefault="00242B71">
            <w:pPr>
              <w:spacing w:after="0" w:line="240" w:lineRule="auto"/>
              <w:jc w:val="center"/>
              <w:rPr>
                <w:rFonts w:ascii="Calibri" w:eastAsia="Times New Roman" w:hAnsi="Calibri" w:cs="Calibri"/>
                <w:b/>
                <w:color w:val="000000"/>
                <w:sz w:val="18"/>
                <w:lang w:eastAsia="it-IT"/>
              </w:rPr>
            </w:pPr>
            <w:proofErr w:type="spellStart"/>
            <w:r>
              <w:rPr>
                <w:rFonts w:ascii="Calibri" w:eastAsia="Times New Roman" w:hAnsi="Calibri" w:cs="Calibri"/>
                <w:b/>
                <w:color w:val="000000"/>
                <w:sz w:val="18"/>
                <w:lang w:eastAsia="it-IT"/>
              </w:rPr>
              <w:t>Var</w:t>
            </w:r>
            <w:proofErr w:type="spellEnd"/>
            <w:r>
              <w:rPr>
                <w:rFonts w:ascii="Calibri" w:eastAsia="Times New Roman" w:hAnsi="Calibri" w:cs="Calibri"/>
                <w:b/>
                <w:color w:val="000000"/>
                <w:sz w:val="18"/>
                <w:lang w:eastAsia="it-IT"/>
              </w:rPr>
              <w:t xml:space="preserve">. </w:t>
            </w:r>
            <w:r>
              <w:rPr>
                <w:rFonts w:ascii="Calibri" w:eastAsia="Times New Roman" w:hAnsi="Calibri" w:cs="Calibri"/>
                <w:b/>
                <w:i/>
                <w:color w:val="000000"/>
                <w:sz w:val="18"/>
                <w:lang w:eastAsia="it-IT"/>
              </w:rPr>
              <w:t>teste</w:t>
            </w:r>
            <w:r>
              <w:rPr>
                <w:rFonts w:ascii="Calibri" w:eastAsia="Times New Roman" w:hAnsi="Calibri" w:cs="Calibri"/>
                <w:b/>
                <w:color w:val="000000"/>
                <w:sz w:val="18"/>
                <w:lang w:eastAsia="it-IT"/>
              </w:rPr>
              <w:t xml:space="preserve"> 2015-2011</w:t>
            </w:r>
          </w:p>
        </w:tc>
      </w:tr>
      <w:tr w:rsidR="00242B71" w:rsidTr="00242B71">
        <w:trPr>
          <w:trHeight w:val="20"/>
        </w:trPr>
        <w:tc>
          <w:tcPr>
            <w:tcW w:w="888" w:type="pct"/>
            <w:tcBorders>
              <w:top w:val="nil"/>
              <w:left w:val="single" w:sz="4" w:space="0" w:color="auto"/>
              <w:bottom w:val="single" w:sz="4" w:space="0" w:color="auto"/>
              <w:right w:val="single" w:sz="4" w:space="0" w:color="auto"/>
            </w:tcBorders>
            <w:vAlign w:val="bottom"/>
            <w:hideMark/>
          </w:tcPr>
          <w:p w:rsidR="00242B71" w:rsidRDefault="00242B71">
            <w:pPr>
              <w:spacing w:after="0" w:line="240" w:lineRule="auto"/>
              <w:rPr>
                <w:rFonts w:ascii="Calibri" w:eastAsia="Times New Roman" w:hAnsi="Calibri" w:cs="Calibri"/>
                <w:b/>
                <w:color w:val="000000"/>
                <w:sz w:val="18"/>
                <w:lang w:eastAsia="it-IT"/>
              </w:rPr>
            </w:pPr>
            <w:r>
              <w:rPr>
                <w:rFonts w:ascii="Calibri" w:eastAsia="Times New Roman" w:hAnsi="Calibri" w:cs="Calibri"/>
                <w:b/>
                <w:color w:val="000000"/>
                <w:sz w:val="18"/>
                <w:lang w:eastAsia="it-IT"/>
              </w:rPr>
              <w:t>Modellista</w:t>
            </w:r>
          </w:p>
        </w:tc>
        <w:tc>
          <w:tcPr>
            <w:tcW w:w="730"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lang w:eastAsia="it-IT"/>
              </w:rPr>
            </w:pPr>
            <w:r>
              <w:rPr>
                <w:rFonts w:ascii="Calibri" w:eastAsia="Times New Roman" w:hAnsi="Calibri" w:cs="Calibri"/>
                <w:color w:val="000000"/>
                <w:sz w:val="18"/>
                <w:lang w:eastAsia="it-IT"/>
              </w:rPr>
              <w:t>83</w:t>
            </w:r>
          </w:p>
        </w:tc>
        <w:tc>
          <w:tcPr>
            <w:tcW w:w="1326"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lang w:eastAsia="it-IT"/>
              </w:rPr>
            </w:pPr>
            <w:r>
              <w:rPr>
                <w:rFonts w:ascii="Calibri" w:eastAsia="Times New Roman" w:hAnsi="Calibri" w:cs="Calibri"/>
                <w:color w:val="000000"/>
                <w:sz w:val="18"/>
                <w:lang w:eastAsia="it-IT"/>
              </w:rPr>
              <w:t>76</w:t>
            </w:r>
          </w:p>
        </w:tc>
        <w:tc>
          <w:tcPr>
            <w:tcW w:w="1103"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lang w:eastAsia="it-IT"/>
              </w:rPr>
            </w:pPr>
            <w:r>
              <w:rPr>
                <w:rFonts w:ascii="Calibri" w:eastAsia="Times New Roman" w:hAnsi="Calibri" w:cs="Calibri"/>
                <w:color w:val="000000"/>
                <w:sz w:val="18"/>
                <w:lang w:eastAsia="it-IT"/>
              </w:rPr>
              <w:t>27,8%</w:t>
            </w:r>
          </w:p>
        </w:tc>
        <w:tc>
          <w:tcPr>
            <w:tcW w:w="953"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lang w:eastAsia="it-IT"/>
              </w:rPr>
            </w:pPr>
            <w:r>
              <w:rPr>
                <w:rFonts w:ascii="Calibri" w:eastAsia="Times New Roman" w:hAnsi="Calibri" w:cs="Calibri"/>
                <w:color w:val="000000"/>
                <w:sz w:val="18"/>
                <w:lang w:eastAsia="it-IT"/>
              </w:rPr>
              <w:t>5,6%</w:t>
            </w:r>
          </w:p>
        </w:tc>
      </w:tr>
      <w:tr w:rsidR="00242B71" w:rsidTr="00242B71">
        <w:trPr>
          <w:trHeight w:val="20"/>
        </w:trPr>
        <w:tc>
          <w:tcPr>
            <w:tcW w:w="888" w:type="pct"/>
            <w:tcBorders>
              <w:top w:val="nil"/>
              <w:left w:val="single" w:sz="4" w:space="0" w:color="auto"/>
              <w:bottom w:val="single" w:sz="4" w:space="0" w:color="auto"/>
              <w:right w:val="single" w:sz="4" w:space="0" w:color="auto"/>
            </w:tcBorders>
            <w:vAlign w:val="bottom"/>
            <w:hideMark/>
          </w:tcPr>
          <w:p w:rsidR="00242B71" w:rsidRDefault="00242B71">
            <w:pPr>
              <w:spacing w:after="0" w:line="240" w:lineRule="auto"/>
              <w:rPr>
                <w:rFonts w:ascii="Calibri" w:eastAsia="Times New Roman" w:hAnsi="Calibri" w:cs="Calibri"/>
                <w:b/>
                <w:color w:val="000000"/>
                <w:sz w:val="18"/>
                <w:lang w:eastAsia="it-IT"/>
              </w:rPr>
            </w:pPr>
            <w:r>
              <w:rPr>
                <w:rFonts w:ascii="Calibri" w:eastAsia="Times New Roman" w:hAnsi="Calibri" w:cs="Calibri"/>
                <w:b/>
                <w:color w:val="000000"/>
                <w:sz w:val="18"/>
                <w:lang w:eastAsia="it-IT"/>
              </w:rPr>
              <w:t>Consulente aziendale</w:t>
            </w:r>
          </w:p>
        </w:tc>
        <w:tc>
          <w:tcPr>
            <w:tcW w:w="730"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lang w:eastAsia="it-IT"/>
              </w:rPr>
            </w:pPr>
            <w:r>
              <w:rPr>
                <w:rFonts w:ascii="Calibri" w:eastAsia="Times New Roman" w:hAnsi="Calibri" w:cs="Calibri"/>
                <w:color w:val="000000"/>
                <w:sz w:val="18"/>
                <w:lang w:eastAsia="it-IT"/>
              </w:rPr>
              <w:t>58</w:t>
            </w:r>
          </w:p>
        </w:tc>
        <w:tc>
          <w:tcPr>
            <w:tcW w:w="1326"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lang w:eastAsia="it-IT"/>
              </w:rPr>
            </w:pPr>
            <w:r>
              <w:rPr>
                <w:rFonts w:ascii="Calibri" w:eastAsia="Times New Roman" w:hAnsi="Calibri" w:cs="Calibri"/>
                <w:color w:val="000000"/>
                <w:sz w:val="18"/>
                <w:lang w:eastAsia="it-IT"/>
              </w:rPr>
              <w:t>43</w:t>
            </w:r>
          </w:p>
        </w:tc>
        <w:tc>
          <w:tcPr>
            <w:tcW w:w="1103"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lang w:eastAsia="it-IT"/>
              </w:rPr>
            </w:pPr>
            <w:r>
              <w:rPr>
                <w:rFonts w:ascii="Calibri" w:eastAsia="Times New Roman" w:hAnsi="Calibri" w:cs="Calibri"/>
                <w:color w:val="000000"/>
                <w:sz w:val="18"/>
                <w:lang w:eastAsia="it-IT"/>
              </w:rPr>
              <w:t>-56,3%</w:t>
            </w:r>
          </w:p>
        </w:tc>
        <w:tc>
          <w:tcPr>
            <w:tcW w:w="953"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lang w:eastAsia="it-IT"/>
              </w:rPr>
            </w:pPr>
            <w:r>
              <w:rPr>
                <w:rFonts w:ascii="Calibri" w:eastAsia="Times New Roman" w:hAnsi="Calibri" w:cs="Calibri"/>
                <w:color w:val="000000"/>
                <w:sz w:val="18"/>
                <w:lang w:eastAsia="it-IT"/>
              </w:rPr>
              <w:t>-36,4%</w:t>
            </w:r>
          </w:p>
        </w:tc>
      </w:tr>
      <w:tr w:rsidR="00242B71" w:rsidTr="00242B71">
        <w:trPr>
          <w:trHeight w:val="20"/>
        </w:trPr>
        <w:tc>
          <w:tcPr>
            <w:tcW w:w="888" w:type="pct"/>
            <w:tcBorders>
              <w:top w:val="nil"/>
              <w:left w:val="single" w:sz="4" w:space="0" w:color="auto"/>
              <w:bottom w:val="single" w:sz="4" w:space="0" w:color="auto"/>
              <w:right w:val="single" w:sz="4" w:space="0" w:color="auto"/>
            </w:tcBorders>
            <w:vAlign w:val="bottom"/>
            <w:hideMark/>
          </w:tcPr>
          <w:p w:rsidR="00242B71" w:rsidRDefault="00242B71">
            <w:pPr>
              <w:spacing w:after="0" w:line="240" w:lineRule="auto"/>
              <w:rPr>
                <w:rFonts w:ascii="Calibri" w:eastAsia="Times New Roman" w:hAnsi="Calibri" w:cs="Calibri"/>
                <w:b/>
                <w:color w:val="000000"/>
                <w:sz w:val="18"/>
                <w:lang w:eastAsia="it-IT"/>
              </w:rPr>
            </w:pPr>
            <w:r>
              <w:rPr>
                <w:rFonts w:ascii="Calibri" w:eastAsia="Times New Roman" w:hAnsi="Calibri" w:cs="Calibri"/>
                <w:b/>
                <w:color w:val="000000"/>
                <w:sz w:val="18"/>
                <w:lang w:eastAsia="it-IT"/>
              </w:rPr>
              <w:t>Disegnatore tecnico</w:t>
            </w:r>
          </w:p>
        </w:tc>
        <w:tc>
          <w:tcPr>
            <w:tcW w:w="730"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lang w:eastAsia="it-IT"/>
              </w:rPr>
            </w:pPr>
            <w:r>
              <w:rPr>
                <w:rFonts w:ascii="Calibri" w:eastAsia="Times New Roman" w:hAnsi="Calibri" w:cs="Calibri"/>
                <w:color w:val="000000"/>
                <w:sz w:val="18"/>
                <w:lang w:eastAsia="it-IT"/>
              </w:rPr>
              <w:t>53</w:t>
            </w:r>
          </w:p>
        </w:tc>
        <w:tc>
          <w:tcPr>
            <w:tcW w:w="1326"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lang w:eastAsia="it-IT"/>
              </w:rPr>
            </w:pPr>
            <w:r>
              <w:rPr>
                <w:rFonts w:ascii="Calibri" w:eastAsia="Times New Roman" w:hAnsi="Calibri" w:cs="Calibri"/>
                <w:color w:val="000000"/>
                <w:sz w:val="18"/>
                <w:lang w:eastAsia="it-IT"/>
              </w:rPr>
              <w:t>49</w:t>
            </w:r>
          </w:p>
        </w:tc>
        <w:tc>
          <w:tcPr>
            <w:tcW w:w="1103"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lang w:eastAsia="it-IT"/>
              </w:rPr>
            </w:pPr>
            <w:r>
              <w:rPr>
                <w:rFonts w:ascii="Calibri" w:eastAsia="Times New Roman" w:hAnsi="Calibri" w:cs="Calibri"/>
                <w:color w:val="000000"/>
                <w:sz w:val="18"/>
                <w:lang w:eastAsia="it-IT"/>
              </w:rPr>
              <w:t>-9,1%</w:t>
            </w:r>
          </w:p>
        </w:tc>
        <w:tc>
          <w:tcPr>
            <w:tcW w:w="953"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lang w:eastAsia="it-IT"/>
              </w:rPr>
            </w:pPr>
            <w:r>
              <w:rPr>
                <w:rFonts w:ascii="Calibri" w:eastAsia="Times New Roman" w:hAnsi="Calibri" w:cs="Calibri"/>
                <w:color w:val="000000"/>
                <w:sz w:val="18"/>
                <w:lang w:eastAsia="it-IT"/>
              </w:rPr>
              <w:t>-10,0%</w:t>
            </w:r>
          </w:p>
        </w:tc>
      </w:tr>
      <w:tr w:rsidR="00242B71" w:rsidTr="00242B71">
        <w:trPr>
          <w:trHeight w:val="20"/>
        </w:trPr>
        <w:tc>
          <w:tcPr>
            <w:tcW w:w="888" w:type="pct"/>
            <w:tcBorders>
              <w:top w:val="nil"/>
              <w:left w:val="single" w:sz="4" w:space="0" w:color="auto"/>
              <w:bottom w:val="single" w:sz="4" w:space="0" w:color="auto"/>
              <w:right w:val="single" w:sz="4" w:space="0" w:color="auto"/>
            </w:tcBorders>
            <w:vAlign w:val="bottom"/>
            <w:hideMark/>
          </w:tcPr>
          <w:p w:rsidR="00242B71" w:rsidRDefault="00242B71">
            <w:pPr>
              <w:spacing w:after="0" w:line="240" w:lineRule="auto"/>
              <w:rPr>
                <w:rFonts w:ascii="Calibri" w:eastAsia="Times New Roman" w:hAnsi="Calibri" w:cs="Calibri"/>
                <w:b/>
                <w:color w:val="000000"/>
                <w:sz w:val="18"/>
                <w:lang w:eastAsia="it-IT"/>
              </w:rPr>
            </w:pPr>
            <w:r>
              <w:rPr>
                <w:rFonts w:ascii="Calibri" w:eastAsia="Times New Roman" w:hAnsi="Calibri" w:cs="Calibri"/>
                <w:b/>
                <w:color w:val="000000"/>
                <w:sz w:val="18"/>
                <w:lang w:eastAsia="it-IT"/>
              </w:rPr>
              <w:t>Ideatore di modelli</w:t>
            </w:r>
          </w:p>
        </w:tc>
        <w:tc>
          <w:tcPr>
            <w:tcW w:w="730"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lang w:eastAsia="it-IT"/>
              </w:rPr>
            </w:pPr>
            <w:r>
              <w:rPr>
                <w:rFonts w:ascii="Calibri" w:eastAsia="Times New Roman" w:hAnsi="Calibri" w:cs="Calibri"/>
                <w:color w:val="000000"/>
                <w:sz w:val="18"/>
                <w:lang w:eastAsia="it-IT"/>
              </w:rPr>
              <w:t>20</w:t>
            </w:r>
          </w:p>
        </w:tc>
        <w:tc>
          <w:tcPr>
            <w:tcW w:w="1326"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lang w:eastAsia="it-IT"/>
              </w:rPr>
            </w:pPr>
            <w:r>
              <w:rPr>
                <w:rFonts w:ascii="Calibri" w:eastAsia="Times New Roman" w:hAnsi="Calibri" w:cs="Calibri"/>
                <w:color w:val="000000"/>
                <w:sz w:val="18"/>
                <w:lang w:eastAsia="it-IT"/>
              </w:rPr>
              <w:t>17</w:t>
            </w:r>
          </w:p>
        </w:tc>
        <w:tc>
          <w:tcPr>
            <w:tcW w:w="1103"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lang w:eastAsia="it-IT"/>
              </w:rPr>
            </w:pPr>
            <w:r>
              <w:rPr>
                <w:rFonts w:ascii="Calibri" w:eastAsia="Times New Roman" w:hAnsi="Calibri" w:cs="Calibri"/>
                <w:color w:val="000000"/>
                <w:sz w:val="18"/>
                <w:lang w:eastAsia="it-IT"/>
              </w:rPr>
              <w:t>100,0%</w:t>
            </w:r>
          </w:p>
        </w:tc>
        <w:tc>
          <w:tcPr>
            <w:tcW w:w="953"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lang w:eastAsia="it-IT"/>
              </w:rPr>
            </w:pPr>
            <w:r>
              <w:rPr>
                <w:rFonts w:ascii="Calibri" w:eastAsia="Times New Roman" w:hAnsi="Calibri" w:cs="Calibri"/>
                <w:color w:val="000000"/>
                <w:sz w:val="18"/>
                <w:lang w:eastAsia="it-IT"/>
              </w:rPr>
              <w:t>50,0%</w:t>
            </w:r>
          </w:p>
        </w:tc>
      </w:tr>
      <w:tr w:rsidR="00242B71" w:rsidTr="00242B71">
        <w:trPr>
          <w:trHeight w:val="20"/>
        </w:trPr>
        <w:tc>
          <w:tcPr>
            <w:tcW w:w="888" w:type="pct"/>
            <w:tcBorders>
              <w:top w:val="nil"/>
              <w:left w:val="single" w:sz="4" w:space="0" w:color="auto"/>
              <w:bottom w:val="single" w:sz="4" w:space="0" w:color="auto"/>
              <w:right w:val="single" w:sz="4" w:space="0" w:color="auto"/>
            </w:tcBorders>
            <w:vAlign w:val="bottom"/>
            <w:hideMark/>
          </w:tcPr>
          <w:p w:rsidR="00242B71" w:rsidRDefault="00242B71">
            <w:pPr>
              <w:spacing w:after="0" w:line="240" w:lineRule="auto"/>
              <w:rPr>
                <w:rFonts w:ascii="Calibri" w:eastAsia="Times New Roman" w:hAnsi="Calibri" w:cs="Calibri"/>
                <w:b/>
                <w:color w:val="000000"/>
                <w:sz w:val="18"/>
                <w:lang w:eastAsia="it-IT"/>
              </w:rPr>
            </w:pPr>
            <w:r>
              <w:rPr>
                <w:rFonts w:ascii="Calibri" w:eastAsia="Times New Roman" w:hAnsi="Calibri" w:cs="Calibri"/>
                <w:b/>
                <w:color w:val="000000"/>
                <w:sz w:val="18"/>
                <w:lang w:eastAsia="it-IT"/>
              </w:rPr>
              <w:t>Addetti ad attività organizzative delle vendite</w:t>
            </w:r>
          </w:p>
        </w:tc>
        <w:tc>
          <w:tcPr>
            <w:tcW w:w="730"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lang w:eastAsia="it-IT"/>
              </w:rPr>
            </w:pPr>
            <w:r>
              <w:rPr>
                <w:rFonts w:ascii="Calibri" w:eastAsia="Times New Roman" w:hAnsi="Calibri" w:cs="Calibri"/>
                <w:color w:val="000000"/>
                <w:sz w:val="18"/>
                <w:lang w:eastAsia="it-IT"/>
              </w:rPr>
              <w:t>18</w:t>
            </w:r>
          </w:p>
        </w:tc>
        <w:tc>
          <w:tcPr>
            <w:tcW w:w="1326"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lang w:eastAsia="it-IT"/>
              </w:rPr>
            </w:pPr>
            <w:r>
              <w:rPr>
                <w:rFonts w:ascii="Calibri" w:eastAsia="Times New Roman" w:hAnsi="Calibri" w:cs="Calibri"/>
                <w:color w:val="000000"/>
                <w:sz w:val="18"/>
                <w:lang w:eastAsia="it-IT"/>
              </w:rPr>
              <w:t>17</w:t>
            </w:r>
          </w:p>
        </w:tc>
        <w:tc>
          <w:tcPr>
            <w:tcW w:w="1103"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lang w:eastAsia="it-IT"/>
              </w:rPr>
            </w:pPr>
            <w:r>
              <w:rPr>
                <w:rFonts w:ascii="Calibri" w:eastAsia="Times New Roman" w:hAnsi="Calibri" w:cs="Calibri"/>
                <w:color w:val="000000"/>
                <w:sz w:val="18"/>
                <w:lang w:eastAsia="it-IT"/>
              </w:rPr>
              <w:t>500,0%</w:t>
            </w:r>
          </w:p>
        </w:tc>
        <w:tc>
          <w:tcPr>
            <w:tcW w:w="953"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lang w:eastAsia="it-IT"/>
              </w:rPr>
            </w:pPr>
            <w:r>
              <w:rPr>
                <w:rFonts w:ascii="Calibri" w:eastAsia="Times New Roman" w:hAnsi="Calibri" w:cs="Calibri"/>
                <w:color w:val="000000"/>
                <w:sz w:val="18"/>
                <w:lang w:eastAsia="it-IT"/>
              </w:rPr>
              <w:t>400,0%</w:t>
            </w:r>
          </w:p>
        </w:tc>
      </w:tr>
      <w:tr w:rsidR="00242B71" w:rsidTr="00242B71">
        <w:trPr>
          <w:trHeight w:val="20"/>
        </w:trPr>
        <w:tc>
          <w:tcPr>
            <w:tcW w:w="888" w:type="pct"/>
            <w:tcBorders>
              <w:top w:val="nil"/>
              <w:left w:val="single" w:sz="4" w:space="0" w:color="auto"/>
              <w:bottom w:val="single" w:sz="4" w:space="0" w:color="auto"/>
              <w:right w:val="single" w:sz="4" w:space="0" w:color="auto"/>
            </w:tcBorders>
            <w:vAlign w:val="bottom"/>
            <w:hideMark/>
          </w:tcPr>
          <w:p w:rsidR="00242B71" w:rsidRDefault="00242B71">
            <w:pPr>
              <w:spacing w:after="0" w:line="240" w:lineRule="auto"/>
              <w:rPr>
                <w:rFonts w:ascii="Calibri" w:eastAsia="Times New Roman" w:hAnsi="Calibri" w:cs="Calibri"/>
                <w:b/>
                <w:color w:val="000000"/>
                <w:sz w:val="18"/>
                <w:lang w:eastAsia="it-IT"/>
              </w:rPr>
            </w:pPr>
            <w:r>
              <w:rPr>
                <w:rFonts w:ascii="Calibri" w:eastAsia="Times New Roman" w:hAnsi="Calibri" w:cs="Calibri"/>
                <w:b/>
                <w:color w:val="000000"/>
                <w:sz w:val="18"/>
                <w:lang w:eastAsia="it-IT"/>
              </w:rPr>
              <w:t>Responsabile vendite</w:t>
            </w:r>
          </w:p>
        </w:tc>
        <w:tc>
          <w:tcPr>
            <w:tcW w:w="730"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lang w:eastAsia="it-IT"/>
              </w:rPr>
            </w:pPr>
            <w:r>
              <w:rPr>
                <w:rFonts w:ascii="Calibri" w:eastAsia="Times New Roman" w:hAnsi="Calibri" w:cs="Calibri"/>
                <w:color w:val="000000"/>
                <w:sz w:val="18"/>
                <w:lang w:eastAsia="it-IT"/>
              </w:rPr>
              <w:t>15</w:t>
            </w:r>
          </w:p>
        </w:tc>
        <w:tc>
          <w:tcPr>
            <w:tcW w:w="1326"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lang w:eastAsia="it-IT"/>
              </w:rPr>
            </w:pPr>
            <w:r>
              <w:rPr>
                <w:rFonts w:ascii="Calibri" w:eastAsia="Times New Roman" w:hAnsi="Calibri" w:cs="Calibri"/>
                <w:color w:val="000000"/>
                <w:sz w:val="18"/>
                <w:lang w:eastAsia="it-IT"/>
              </w:rPr>
              <w:t>15</w:t>
            </w:r>
          </w:p>
        </w:tc>
        <w:tc>
          <w:tcPr>
            <w:tcW w:w="1103"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lang w:eastAsia="it-IT"/>
              </w:rPr>
            </w:pPr>
            <w:r>
              <w:rPr>
                <w:rFonts w:ascii="Calibri" w:eastAsia="Times New Roman" w:hAnsi="Calibri" w:cs="Calibri"/>
                <w:color w:val="000000"/>
                <w:sz w:val="18"/>
                <w:lang w:eastAsia="it-IT"/>
              </w:rPr>
              <w:t>500,0%</w:t>
            </w:r>
          </w:p>
        </w:tc>
        <w:tc>
          <w:tcPr>
            <w:tcW w:w="953"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lang w:eastAsia="it-IT"/>
              </w:rPr>
            </w:pPr>
            <w:r>
              <w:rPr>
                <w:rFonts w:ascii="Calibri" w:eastAsia="Times New Roman" w:hAnsi="Calibri" w:cs="Calibri"/>
                <w:color w:val="000000"/>
                <w:sz w:val="18"/>
                <w:lang w:eastAsia="it-IT"/>
              </w:rPr>
              <w:t>500,0%</w:t>
            </w:r>
          </w:p>
        </w:tc>
      </w:tr>
      <w:tr w:rsidR="00242B71" w:rsidTr="00242B71">
        <w:trPr>
          <w:trHeight w:val="20"/>
        </w:trPr>
        <w:tc>
          <w:tcPr>
            <w:tcW w:w="888" w:type="pct"/>
            <w:tcBorders>
              <w:top w:val="nil"/>
              <w:left w:val="single" w:sz="4" w:space="0" w:color="auto"/>
              <w:bottom w:val="single" w:sz="4" w:space="0" w:color="auto"/>
              <w:right w:val="single" w:sz="4" w:space="0" w:color="auto"/>
            </w:tcBorders>
            <w:vAlign w:val="bottom"/>
            <w:hideMark/>
          </w:tcPr>
          <w:p w:rsidR="00242B71" w:rsidRDefault="00242B71">
            <w:pPr>
              <w:spacing w:after="0" w:line="240" w:lineRule="auto"/>
              <w:rPr>
                <w:rFonts w:ascii="Calibri" w:eastAsia="Times New Roman" w:hAnsi="Calibri" w:cs="Calibri"/>
                <w:b/>
                <w:color w:val="000000"/>
                <w:sz w:val="18"/>
                <w:lang w:eastAsia="it-IT"/>
              </w:rPr>
            </w:pPr>
            <w:r>
              <w:rPr>
                <w:rFonts w:ascii="Calibri" w:eastAsia="Times New Roman" w:hAnsi="Calibri" w:cs="Calibri"/>
                <w:b/>
                <w:color w:val="000000"/>
                <w:sz w:val="18"/>
                <w:lang w:eastAsia="it-IT"/>
              </w:rPr>
              <w:t>Controllore di produzione</w:t>
            </w:r>
          </w:p>
        </w:tc>
        <w:tc>
          <w:tcPr>
            <w:tcW w:w="730"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lang w:eastAsia="it-IT"/>
              </w:rPr>
            </w:pPr>
            <w:r>
              <w:rPr>
                <w:rFonts w:ascii="Calibri" w:eastAsia="Times New Roman" w:hAnsi="Calibri" w:cs="Calibri"/>
                <w:color w:val="000000"/>
                <w:sz w:val="18"/>
                <w:lang w:eastAsia="it-IT"/>
              </w:rPr>
              <w:t>15</w:t>
            </w:r>
          </w:p>
        </w:tc>
        <w:tc>
          <w:tcPr>
            <w:tcW w:w="1326"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lang w:eastAsia="it-IT"/>
              </w:rPr>
            </w:pPr>
            <w:r>
              <w:rPr>
                <w:rFonts w:ascii="Calibri" w:eastAsia="Times New Roman" w:hAnsi="Calibri" w:cs="Calibri"/>
                <w:color w:val="000000"/>
                <w:sz w:val="18"/>
                <w:lang w:eastAsia="it-IT"/>
              </w:rPr>
              <w:t>14</w:t>
            </w:r>
          </w:p>
        </w:tc>
        <w:tc>
          <w:tcPr>
            <w:tcW w:w="1103"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lang w:eastAsia="it-IT"/>
              </w:rPr>
            </w:pPr>
            <w:r>
              <w:rPr>
                <w:rFonts w:ascii="Calibri" w:eastAsia="Times New Roman" w:hAnsi="Calibri" w:cs="Calibri"/>
                <w:color w:val="000000"/>
                <w:sz w:val="18"/>
                <w:lang w:eastAsia="it-IT"/>
              </w:rPr>
              <w:t>-50,0%</w:t>
            </w:r>
          </w:p>
        </w:tc>
        <w:tc>
          <w:tcPr>
            <w:tcW w:w="953"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lang w:eastAsia="it-IT"/>
              </w:rPr>
            </w:pPr>
            <w:r>
              <w:rPr>
                <w:rFonts w:ascii="Calibri" w:eastAsia="Times New Roman" w:hAnsi="Calibri" w:cs="Calibri"/>
                <w:color w:val="000000"/>
                <w:sz w:val="18"/>
                <w:lang w:eastAsia="it-IT"/>
              </w:rPr>
              <w:t>-33,3%</w:t>
            </w:r>
          </w:p>
        </w:tc>
      </w:tr>
      <w:tr w:rsidR="00242B71" w:rsidTr="00242B71">
        <w:trPr>
          <w:trHeight w:val="20"/>
        </w:trPr>
        <w:tc>
          <w:tcPr>
            <w:tcW w:w="888" w:type="pct"/>
            <w:tcBorders>
              <w:top w:val="nil"/>
              <w:left w:val="single" w:sz="4" w:space="0" w:color="auto"/>
              <w:bottom w:val="single" w:sz="4" w:space="0" w:color="auto"/>
              <w:right w:val="single" w:sz="4" w:space="0" w:color="auto"/>
            </w:tcBorders>
            <w:vAlign w:val="bottom"/>
            <w:hideMark/>
          </w:tcPr>
          <w:p w:rsidR="00242B71" w:rsidRDefault="00242B71">
            <w:pPr>
              <w:spacing w:after="0" w:line="240" w:lineRule="auto"/>
              <w:rPr>
                <w:rFonts w:ascii="Calibri" w:eastAsia="Times New Roman" w:hAnsi="Calibri" w:cs="Calibri"/>
                <w:b/>
                <w:color w:val="000000"/>
                <w:sz w:val="18"/>
                <w:lang w:eastAsia="it-IT"/>
              </w:rPr>
            </w:pPr>
            <w:r>
              <w:rPr>
                <w:rFonts w:ascii="Calibri" w:eastAsia="Times New Roman" w:hAnsi="Calibri" w:cs="Calibri"/>
                <w:b/>
                <w:color w:val="000000"/>
                <w:sz w:val="18"/>
                <w:lang w:eastAsia="it-IT"/>
              </w:rPr>
              <w:t>Esperto commerciale</w:t>
            </w:r>
          </w:p>
        </w:tc>
        <w:tc>
          <w:tcPr>
            <w:tcW w:w="730"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lang w:eastAsia="it-IT"/>
              </w:rPr>
            </w:pPr>
            <w:r>
              <w:rPr>
                <w:rFonts w:ascii="Calibri" w:eastAsia="Times New Roman" w:hAnsi="Calibri" w:cs="Calibri"/>
                <w:color w:val="000000"/>
                <w:sz w:val="18"/>
                <w:lang w:eastAsia="it-IT"/>
              </w:rPr>
              <w:t>13</w:t>
            </w:r>
          </w:p>
        </w:tc>
        <w:tc>
          <w:tcPr>
            <w:tcW w:w="1326"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lang w:eastAsia="it-IT"/>
              </w:rPr>
            </w:pPr>
            <w:r>
              <w:rPr>
                <w:rFonts w:ascii="Calibri" w:eastAsia="Times New Roman" w:hAnsi="Calibri" w:cs="Calibri"/>
                <w:color w:val="000000"/>
                <w:sz w:val="18"/>
                <w:lang w:eastAsia="it-IT"/>
              </w:rPr>
              <w:t>10</w:t>
            </w:r>
          </w:p>
        </w:tc>
        <w:tc>
          <w:tcPr>
            <w:tcW w:w="1103"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lang w:eastAsia="it-IT"/>
              </w:rPr>
            </w:pPr>
            <w:r>
              <w:rPr>
                <w:rFonts w:ascii="Calibri" w:eastAsia="Times New Roman" w:hAnsi="Calibri" w:cs="Calibri"/>
                <w:color w:val="000000"/>
                <w:sz w:val="18"/>
                <w:lang w:eastAsia="it-IT"/>
              </w:rPr>
              <w:t>200,0%</w:t>
            </w:r>
          </w:p>
        </w:tc>
        <w:tc>
          <w:tcPr>
            <w:tcW w:w="953"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lang w:eastAsia="it-IT"/>
              </w:rPr>
            </w:pPr>
            <w:r>
              <w:rPr>
                <w:rFonts w:ascii="Calibri" w:eastAsia="Times New Roman" w:hAnsi="Calibri" w:cs="Calibri"/>
                <w:color w:val="000000"/>
                <w:sz w:val="18"/>
                <w:lang w:eastAsia="it-IT"/>
              </w:rPr>
              <w:t>200,0%</w:t>
            </w:r>
          </w:p>
        </w:tc>
      </w:tr>
      <w:tr w:rsidR="00242B71" w:rsidTr="00242B71">
        <w:trPr>
          <w:trHeight w:val="20"/>
        </w:trPr>
        <w:tc>
          <w:tcPr>
            <w:tcW w:w="888" w:type="pct"/>
            <w:tcBorders>
              <w:top w:val="nil"/>
              <w:left w:val="single" w:sz="4" w:space="0" w:color="auto"/>
              <w:bottom w:val="single" w:sz="4" w:space="0" w:color="auto"/>
              <w:right w:val="single" w:sz="4" w:space="0" w:color="auto"/>
            </w:tcBorders>
            <w:vAlign w:val="bottom"/>
            <w:hideMark/>
          </w:tcPr>
          <w:p w:rsidR="00242B71" w:rsidRDefault="00242B71">
            <w:pPr>
              <w:spacing w:after="0" w:line="240" w:lineRule="auto"/>
              <w:rPr>
                <w:rFonts w:ascii="Calibri" w:eastAsia="Times New Roman" w:hAnsi="Calibri" w:cs="Calibri"/>
                <w:b/>
                <w:color w:val="000000"/>
                <w:sz w:val="18"/>
                <w:lang w:eastAsia="it-IT"/>
              </w:rPr>
            </w:pPr>
            <w:r>
              <w:rPr>
                <w:rFonts w:ascii="Calibri" w:eastAsia="Times New Roman" w:hAnsi="Calibri" w:cs="Calibri"/>
                <w:b/>
                <w:color w:val="000000"/>
                <w:sz w:val="18"/>
                <w:lang w:eastAsia="it-IT"/>
              </w:rPr>
              <w:t>Gestione magazzini</w:t>
            </w:r>
          </w:p>
        </w:tc>
        <w:tc>
          <w:tcPr>
            <w:tcW w:w="730"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lang w:eastAsia="it-IT"/>
              </w:rPr>
            </w:pPr>
            <w:r>
              <w:rPr>
                <w:rFonts w:ascii="Calibri" w:eastAsia="Times New Roman" w:hAnsi="Calibri" w:cs="Calibri"/>
                <w:color w:val="000000"/>
                <w:sz w:val="18"/>
                <w:lang w:eastAsia="it-IT"/>
              </w:rPr>
              <w:t>10</w:t>
            </w:r>
          </w:p>
        </w:tc>
        <w:tc>
          <w:tcPr>
            <w:tcW w:w="1326"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lang w:eastAsia="it-IT"/>
              </w:rPr>
            </w:pPr>
            <w:r>
              <w:rPr>
                <w:rFonts w:ascii="Calibri" w:eastAsia="Times New Roman" w:hAnsi="Calibri" w:cs="Calibri"/>
                <w:color w:val="000000"/>
                <w:sz w:val="18"/>
                <w:lang w:eastAsia="it-IT"/>
              </w:rPr>
              <w:t>10</w:t>
            </w:r>
          </w:p>
        </w:tc>
        <w:tc>
          <w:tcPr>
            <w:tcW w:w="1103"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lang w:eastAsia="it-IT"/>
              </w:rPr>
            </w:pPr>
            <w:r>
              <w:rPr>
                <w:rFonts w:ascii="Calibri" w:eastAsia="Times New Roman" w:hAnsi="Calibri" w:cs="Calibri"/>
                <w:color w:val="000000"/>
                <w:sz w:val="18"/>
                <w:lang w:eastAsia="it-IT"/>
              </w:rPr>
              <w:t>400,0%</w:t>
            </w:r>
          </w:p>
        </w:tc>
        <w:tc>
          <w:tcPr>
            <w:tcW w:w="953" w:type="pct"/>
            <w:tcBorders>
              <w:top w:val="nil"/>
              <w:left w:val="nil"/>
              <w:bottom w:val="single" w:sz="4" w:space="0" w:color="auto"/>
              <w:right w:val="single" w:sz="4" w:space="0" w:color="auto"/>
            </w:tcBorders>
            <w:noWrap/>
            <w:vAlign w:val="bottom"/>
            <w:hideMark/>
          </w:tcPr>
          <w:p w:rsidR="00242B71" w:rsidRDefault="00242B71">
            <w:pPr>
              <w:spacing w:after="0" w:line="240" w:lineRule="auto"/>
              <w:jc w:val="right"/>
              <w:rPr>
                <w:rFonts w:ascii="Calibri" w:eastAsia="Times New Roman" w:hAnsi="Calibri" w:cs="Calibri"/>
                <w:color w:val="000000"/>
                <w:sz w:val="18"/>
                <w:lang w:eastAsia="it-IT"/>
              </w:rPr>
            </w:pPr>
            <w:r>
              <w:rPr>
                <w:rFonts w:ascii="Calibri" w:eastAsia="Times New Roman" w:hAnsi="Calibri" w:cs="Calibri"/>
                <w:color w:val="000000"/>
                <w:sz w:val="18"/>
                <w:lang w:eastAsia="it-IT"/>
              </w:rPr>
              <w:t>400,0%</w:t>
            </w:r>
          </w:p>
        </w:tc>
      </w:tr>
    </w:tbl>
    <w:p w:rsidR="00242B71" w:rsidRDefault="00242B71" w:rsidP="00242B71">
      <w:pPr>
        <w:spacing w:line="240" w:lineRule="auto"/>
        <w:jc w:val="both"/>
        <w:rPr>
          <w:b/>
        </w:rPr>
      </w:pPr>
    </w:p>
    <w:p w:rsidR="00242B71" w:rsidRDefault="00242B71" w:rsidP="00242B71">
      <w:pPr>
        <w:jc w:val="both"/>
      </w:pPr>
      <w:r>
        <w:t>Fra i profili più avviati prevale il “Modellista”: nel periodo considerato vi sono stati 83 avviamenti che hanno riguardato 76 lavoratori (nel 2011 gli avviamenti dei modellisti erano 18, nel 2015, 23). Seguono i “Disegnatori tecnici”, varie tipologie di consulenti aziendali (che tuttavia hanno visto diminuire il numero di avviamenti di -56%, da 16 avviamenti nel 2011 si è passati a 7 nel 2015) e gli “Ideatori di modelli”.</w:t>
      </w:r>
    </w:p>
    <w:p w:rsidR="00242B71" w:rsidRDefault="00242B71" w:rsidP="00242B71">
      <w:pPr>
        <w:jc w:val="both"/>
      </w:pPr>
      <w:r>
        <w:t>Se si analizzano le voci della tabella precedente, si intuisce che i profili professionali in essa riportati siano tutti correlati a processi di riaggiustamento industriale attraverso i quali le imprese tendono a istituzionalizzarsi e a verticalizzarsi. Le fasi produttive interessate dai cambiamenti, tuttavia, sembrano essere quelle a monte e a valle della produzione propriamente detta. Infatti, la maggior parte dei profili elencati sembra posizionarsi, da un lato, nella fase di ideazione del prodotto (si vedano i profili di “Modellista”, “Disegnatore tecnico”, “Ideatore di modelli”) e, dall’altro, nella fase della vendita (“Addetti alle attività organizzative della vendita”, Responsabile delle vendite”, “Esperto commerciale”).</w:t>
      </w:r>
    </w:p>
    <w:p w:rsidR="00242B71" w:rsidRDefault="00242B71" w:rsidP="00242B71">
      <w:pPr>
        <w:jc w:val="both"/>
      </w:pPr>
      <w:r>
        <w:t xml:space="preserve">Tali considerazioni appaiono ancor più plausibili se si va a vedere quali profili professionali cognitivo – generativi sono presenti nel 2015, ma risultavano assenti nel 2011. </w:t>
      </w:r>
    </w:p>
    <w:p w:rsidR="00242B71" w:rsidRDefault="00242B71" w:rsidP="00242B71">
      <w:pPr>
        <w:jc w:val="both"/>
      </w:pPr>
      <w:r>
        <w:t xml:space="preserve">A tale proposito, può essere utile suddividere tali profili professionali in riferimento alle seguenti fasi attraverso le quali può essere schematizzato il processo produttivo. Si tratta di profili che totalizzano un bassissimo numero di frequenze (sia in riferimento agli avviamenti che alle </w:t>
      </w:r>
      <w:r>
        <w:rPr>
          <w:i/>
        </w:rPr>
        <w:t>teste</w:t>
      </w:r>
      <w:r>
        <w:t>): tutti, infatti, si collocano al di sotto delle 10 unità.</w:t>
      </w:r>
    </w:p>
    <w:p w:rsidR="00242B71" w:rsidRDefault="00242B71" w:rsidP="00242B71">
      <w:pPr>
        <w:jc w:val="both"/>
      </w:pPr>
      <w:r>
        <w:t xml:space="preserve"> Dunque, la loro importanza non ha alcuna rilevanza statistica, ma testimonia l’esistenza di processi embrionali di riassetto dell’organizzazione dei processi produttivi che, in futuro, potrebbero assumere connotazioni quantitative ben più rilevanti.</w:t>
      </w:r>
    </w:p>
    <w:p w:rsidR="00242B71" w:rsidRDefault="00242B71" w:rsidP="00242B71">
      <w:pPr>
        <w:rPr>
          <w:b/>
          <w:u w:val="single"/>
        </w:rPr>
      </w:pPr>
      <w:r>
        <w:rPr>
          <w:b/>
          <w:u w:val="single"/>
        </w:rPr>
        <w:br w:type="page"/>
      </w:r>
    </w:p>
    <w:p w:rsidR="00242B71" w:rsidRPr="0029619D" w:rsidRDefault="00242B71" w:rsidP="00242B71">
      <w:pPr>
        <w:jc w:val="both"/>
        <w:rPr>
          <w:b/>
          <w:sz w:val="20"/>
          <w:szCs w:val="20"/>
        </w:rPr>
      </w:pPr>
      <w:r w:rsidRPr="0029619D">
        <w:rPr>
          <w:b/>
          <w:sz w:val="20"/>
          <w:szCs w:val="20"/>
        </w:rPr>
        <w:t xml:space="preserve">Fig. </w:t>
      </w:r>
      <w:r w:rsidR="0029619D" w:rsidRPr="0029619D">
        <w:rPr>
          <w:b/>
          <w:sz w:val="20"/>
          <w:szCs w:val="20"/>
        </w:rPr>
        <w:t>3.</w:t>
      </w:r>
      <w:r w:rsidRPr="0029619D">
        <w:rPr>
          <w:b/>
          <w:sz w:val="20"/>
          <w:szCs w:val="20"/>
        </w:rPr>
        <w:t>1 - Fasi del processo produttivo del settore orafo</w:t>
      </w:r>
    </w:p>
    <w:p w:rsidR="00242B71" w:rsidRDefault="00242B71" w:rsidP="00242B71">
      <w:pPr>
        <w:jc w:val="both"/>
      </w:pPr>
      <w:r>
        <w:object w:dxaOrig="9645" w:dyaOrig="3225">
          <v:shape id="_x0000_i1026" type="#_x0000_t75" style="width:482.25pt;height:161.25pt" o:ole="">
            <v:imagedata r:id="rId23" o:title=""/>
          </v:shape>
          <o:OLEObject Type="Embed" ProgID="SmartDraw.2" ShapeID="_x0000_i1026" DrawAspect="Content" ObjectID="_1575290689" r:id="rId24"/>
        </w:object>
      </w:r>
    </w:p>
    <w:p w:rsidR="00242B71" w:rsidRDefault="00242B71" w:rsidP="00242B71">
      <w:pPr>
        <w:jc w:val="both"/>
        <w:rPr>
          <w:u w:val="single"/>
        </w:rPr>
      </w:pPr>
    </w:p>
    <w:p w:rsidR="00242B71" w:rsidRDefault="00242B71" w:rsidP="00242B71">
      <w:pPr>
        <w:jc w:val="both"/>
        <w:rPr>
          <w:u w:val="single"/>
        </w:rPr>
      </w:pPr>
      <w:r>
        <w:rPr>
          <w:u w:val="single"/>
        </w:rPr>
        <w:t>Ideazione e design</w:t>
      </w:r>
    </w:p>
    <w:p w:rsidR="00242B71" w:rsidRDefault="00242B71" w:rsidP="00242B71">
      <w:pPr>
        <w:pStyle w:val="Paragrafoelenco"/>
        <w:numPr>
          <w:ilvl w:val="0"/>
          <w:numId w:val="8"/>
        </w:numPr>
        <w:spacing w:line="256" w:lineRule="auto"/>
        <w:jc w:val="both"/>
      </w:pPr>
      <w:r>
        <w:t>Stilista</w:t>
      </w:r>
    </w:p>
    <w:p w:rsidR="00242B71" w:rsidRDefault="00242B71" w:rsidP="00242B71">
      <w:pPr>
        <w:pStyle w:val="Paragrafoelenco"/>
        <w:numPr>
          <w:ilvl w:val="0"/>
          <w:numId w:val="8"/>
        </w:numPr>
        <w:spacing w:line="256" w:lineRule="auto"/>
        <w:jc w:val="both"/>
      </w:pPr>
      <w:r>
        <w:t>Tecnico di ricerca operativa</w:t>
      </w:r>
    </w:p>
    <w:p w:rsidR="00242B71" w:rsidRDefault="00242B71" w:rsidP="00242B71">
      <w:pPr>
        <w:jc w:val="both"/>
        <w:rPr>
          <w:u w:val="single"/>
        </w:rPr>
      </w:pPr>
      <w:r>
        <w:rPr>
          <w:u w:val="single"/>
        </w:rPr>
        <w:t>Industrializzazione</w:t>
      </w:r>
    </w:p>
    <w:p w:rsidR="00242B71" w:rsidRDefault="00242B71" w:rsidP="00242B71">
      <w:pPr>
        <w:pStyle w:val="Paragrafoelenco"/>
        <w:numPr>
          <w:ilvl w:val="0"/>
          <w:numId w:val="7"/>
        </w:numPr>
        <w:spacing w:line="256" w:lineRule="auto"/>
        <w:jc w:val="both"/>
      </w:pPr>
      <w:r>
        <w:t>Tecnico dell'organizzazione del lavoro</w:t>
      </w:r>
    </w:p>
    <w:p w:rsidR="00242B71" w:rsidRDefault="00242B71" w:rsidP="00242B71">
      <w:pPr>
        <w:pStyle w:val="Paragrafoelenco"/>
        <w:numPr>
          <w:ilvl w:val="0"/>
          <w:numId w:val="7"/>
        </w:numPr>
        <w:spacing w:line="256" w:lineRule="auto"/>
        <w:jc w:val="both"/>
      </w:pPr>
      <w:r>
        <w:t>Direttore responsabile ricerca e sviluppo</w:t>
      </w:r>
    </w:p>
    <w:p w:rsidR="00242B71" w:rsidRDefault="00242B71" w:rsidP="00242B71">
      <w:pPr>
        <w:pStyle w:val="Paragrafoelenco"/>
        <w:numPr>
          <w:ilvl w:val="0"/>
          <w:numId w:val="7"/>
        </w:numPr>
        <w:spacing w:line="256" w:lineRule="auto"/>
        <w:jc w:val="both"/>
      </w:pPr>
      <w:r>
        <w:t>Disegnatore d'arte</w:t>
      </w:r>
    </w:p>
    <w:p w:rsidR="00242B71" w:rsidRDefault="00242B71" w:rsidP="00242B71">
      <w:pPr>
        <w:jc w:val="both"/>
        <w:rPr>
          <w:u w:val="single"/>
        </w:rPr>
      </w:pPr>
      <w:r>
        <w:rPr>
          <w:u w:val="single"/>
        </w:rPr>
        <w:t>Produzione</w:t>
      </w:r>
    </w:p>
    <w:p w:rsidR="00242B71" w:rsidRDefault="00242B71" w:rsidP="00242B71">
      <w:pPr>
        <w:pStyle w:val="Paragrafoelenco"/>
        <w:numPr>
          <w:ilvl w:val="0"/>
          <w:numId w:val="8"/>
        </w:numPr>
        <w:spacing w:line="256" w:lineRule="auto"/>
        <w:jc w:val="both"/>
      </w:pPr>
      <w:r>
        <w:t xml:space="preserve">Scultore </w:t>
      </w:r>
    </w:p>
    <w:p w:rsidR="00242B71" w:rsidRDefault="00242B71" w:rsidP="00242B71">
      <w:pPr>
        <w:pStyle w:val="Paragrafoelenco"/>
        <w:numPr>
          <w:ilvl w:val="0"/>
          <w:numId w:val="8"/>
        </w:numPr>
        <w:spacing w:line="256" w:lineRule="auto"/>
        <w:jc w:val="both"/>
      </w:pPr>
      <w:r>
        <w:t>Ingegnere meccanico</w:t>
      </w:r>
    </w:p>
    <w:p w:rsidR="00242B71" w:rsidRDefault="00242B71" w:rsidP="00242B71">
      <w:pPr>
        <w:pStyle w:val="Paragrafoelenco"/>
        <w:numPr>
          <w:ilvl w:val="0"/>
          <w:numId w:val="8"/>
        </w:numPr>
        <w:spacing w:line="256" w:lineRule="auto"/>
        <w:jc w:val="both"/>
      </w:pPr>
      <w:r>
        <w:t xml:space="preserve">Tecnico per la gestione, manutenzione ed uso di </w:t>
      </w:r>
      <w:proofErr w:type="spellStart"/>
      <w:r>
        <w:t>robots</w:t>
      </w:r>
      <w:proofErr w:type="spellEnd"/>
      <w:r>
        <w:t xml:space="preserve"> industriali</w:t>
      </w:r>
    </w:p>
    <w:p w:rsidR="00242B71" w:rsidRDefault="00242B71" w:rsidP="00242B71">
      <w:pPr>
        <w:jc w:val="both"/>
        <w:rPr>
          <w:u w:val="single"/>
        </w:rPr>
      </w:pPr>
      <w:r>
        <w:rPr>
          <w:u w:val="single"/>
        </w:rPr>
        <w:t>Distribuzione / vendite</w:t>
      </w:r>
    </w:p>
    <w:p w:rsidR="00242B71" w:rsidRDefault="00242B71" w:rsidP="00242B71">
      <w:pPr>
        <w:pStyle w:val="Paragrafoelenco"/>
        <w:numPr>
          <w:ilvl w:val="0"/>
          <w:numId w:val="8"/>
        </w:numPr>
        <w:spacing w:line="256" w:lineRule="auto"/>
        <w:jc w:val="both"/>
      </w:pPr>
      <w:r>
        <w:t>Responsabile marketing</w:t>
      </w:r>
    </w:p>
    <w:p w:rsidR="00242B71" w:rsidRDefault="00242B71" w:rsidP="00242B71">
      <w:pPr>
        <w:pStyle w:val="Paragrafoelenco"/>
        <w:numPr>
          <w:ilvl w:val="0"/>
          <w:numId w:val="8"/>
        </w:numPr>
        <w:spacing w:line="256" w:lineRule="auto"/>
        <w:jc w:val="both"/>
      </w:pPr>
      <w:r>
        <w:t>Responsabile acquisti</w:t>
      </w:r>
    </w:p>
    <w:p w:rsidR="00242B71" w:rsidRDefault="00242B71" w:rsidP="00242B71">
      <w:pPr>
        <w:pStyle w:val="Paragrafoelenco"/>
        <w:numPr>
          <w:ilvl w:val="0"/>
          <w:numId w:val="8"/>
        </w:numPr>
        <w:spacing w:line="256" w:lineRule="auto"/>
        <w:jc w:val="both"/>
      </w:pPr>
      <w:r>
        <w:t xml:space="preserve">Web designer </w:t>
      </w:r>
    </w:p>
    <w:p w:rsidR="00242B71" w:rsidRDefault="00242B71" w:rsidP="00242B71">
      <w:pPr>
        <w:pStyle w:val="Paragrafoelenco"/>
        <w:numPr>
          <w:ilvl w:val="0"/>
          <w:numId w:val="8"/>
        </w:numPr>
        <w:spacing w:line="256" w:lineRule="auto"/>
        <w:jc w:val="both"/>
      </w:pPr>
      <w:r>
        <w:t>Organizzatore di eventi</w:t>
      </w:r>
    </w:p>
    <w:p w:rsidR="00242B71" w:rsidRDefault="00242B71" w:rsidP="00242B71">
      <w:pPr>
        <w:pStyle w:val="Paragrafoelenco"/>
        <w:numPr>
          <w:ilvl w:val="0"/>
          <w:numId w:val="8"/>
        </w:numPr>
        <w:spacing w:line="256" w:lineRule="auto"/>
        <w:jc w:val="both"/>
      </w:pPr>
      <w:r>
        <w:t>Responsabile commerciale</w:t>
      </w:r>
    </w:p>
    <w:p w:rsidR="00242B71" w:rsidRDefault="00242B71" w:rsidP="00242B71">
      <w:pPr>
        <w:pStyle w:val="Paragrafoelenco"/>
        <w:numPr>
          <w:ilvl w:val="0"/>
          <w:numId w:val="8"/>
        </w:numPr>
        <w:spacing w:line="256" w:lineRule="auto"/>
        <w:jc w:val="both"/>
      </w:pPr>
      <w:r>
        <w:t>Account manager</w:t>
      </w:r>
    </w:p>
    <w:p w:rsidR="00242B71" w:rsidRDefault="00242B71" w:rsidP="00242B71">
      <w:pPr>
        <w:pStyle w:val="Paragrafoelenco"/>
        <w:numPr>
          <w:ilvl w:val="0"/>
          <w:numId w:val="8"/>
        </w:numPr>
        <w:spacing w:line="256" w:lineRule="auto"/>
        <w:jc w:val="both"/>
      </w:pPr>
      <w:r>
        <w:t>Grafico pubblicitario (in quanto la pubblicità è utile alla promozione delle vendite)</w:t>
      </w:r>
    </w:p>
    <w:p w:rsidR="00242B71" w:rsidRDefault="00242B71" w:rsidP="00242B71">
      <w:pPr>
        <w:pStyle w:val="Paragrafoelenco"/>
        <w:numPr>
          <w:ilvl w:val="0"/>
          <w:numId w:val="8"/>
        </w:numPr>
        <w:spacing w:line="256" w:lineRule="auto"/>
        <w:jc w:val="both"/>
      </w:pPr>
      <w:r>
        <w:t>Tecnico vendite on-line</w:t>
      </w:r>
    </w:p>
    <w:p w:rsidR="00242B71" w:rsidRDefault="00242B71" w:rsidP="00242B71">
      <w:pPr>
        <w:jc w:val="both"/>
        <w:rPr>
          <w:u w:val="single"/>
        </w:rPr>
      </w:pPr>
      <w:r>
        <w:rPr>
          <w:u w:val="single"/>
        </w:rPr>
        <w:t xml:space="preserve">Processi di </w:t>
      </w:r>
      <w:r>
        <w:rPr>
          <w:i/>
          <w:u w:val="single"/>
        </w:rPr>
        <w:t>Staff</w:t>
      </w:r>
    </w:p>
    <w:p w:rsidR="00242B71" w:rsidRDefault="00242B71" w:rsidP="00242B71">
      <w:pPr>
        <w:pStyle w:val="Paragrafoelenco"/>
        <w:numPr>
          <w:ilvl w:val="0"/>
          <w:numId w:val="8"/>
        </w:numPr>
        <w:spacing w:line="256" w:lineRule="auto"/>
        <w:jc w:val="both"/>
      </w:pPr>
      <w:r>
        <w:t>Coordinatore della formazione</w:t>
      </w:r>
    </w:p>
    <w:p w:rsidR="00242B71" w:rsidRDefault="00242B71" w:rsidP="00242B71">
      <w:pPr>
        <w:pStyle w:val="Paragrafoelenco"/>
        <w:numPr>
          <w:ilvl w:val="0"/>
          <w:numId w:val="8"/>
        </w:numPr>
        <w:spacing w:line="256" w:lineRule="auto"/>
        <w:jc w:val="both"/>
      </w:pPr>
      <w:r>
        <w:t xml:space="preserve">Responsabile della contabilità </w:t>
      </w:r>
    </w:p>
    <w:p w:rsidR="00242B71" w:rsidRDefault="00242B71" w:rsidP="00242B71">
      <w:pPr>
        <w:pStyle w:val="Paragrafoelenco"/>
        <w:numPr>
          <w:ilvl w:val="0"/>
          <w:numId w:val="8"/>
        </w:numPr>
        <w:spacing w:line="256" w:lineRule="auto"/>
        <w:jc w:val="both"/>
      </w:pPr>
      <w:r>
        <w:t>Ingegnere del software</w:t>
      </w:r>
    </w:p>
    <w:p w:rsidR="00242B71" w:rsidRDefault="00242B71" w:rsidP="00242B71">
      <w:pPr>
        <w:jc w:val="both"/>
      </w:pPr>
    </w:p>
    <w:p w:rsidR="00242B71" w:rsidRDefault="00242B71" w:rsidP="00242B71">
      <w:pPr>
        <w:jc w:val="both"/>
      </w:pPr>
      <w:r>
        <w:t>Si tratta di 18 “nuovi profili” di cui solo 3 (il 16,7%) si annidano nella fase di produzione propriamente detta, la maggior parte di essi si colloca nella fase di Distribuzione e vendita (ci si riferisce a 8 profili, il 44,4% del totale): all’interno di questa fase ritroviamo professionalità connesse alla innovazione dei canali di distribuzione, alla produzione di dati utili ad una più razionale organizzazione delle vendite e ad una “più suggestiva” presentazione dei prodotti.</w:t>
      </w:r>
    </w:p>
    <w:p w:rsidR="00242B71" w:rsidRDefault="00242B71" w:rsidP="00242B71">
      <w:pPr>
        <w:jc w:val="both"/>
      </w:pPr>
      <w:r>
        <w:t xml:space="preserve">Le restanti professionalità si distribuiscono in maniera piuttosto uniforme fra le altre fasi di processo. </w:t>
      </w:r>
    </w:p>
    <w:p w:rsidR="00242B71" w:rsidRDefault="00242B71" w:rsidP="00242B71">
      <w:pPr>
        <w:jc w:val="both"/>
      </w:pPr>
      <w:r>
        <w:t xml:space="preserve">Solo 2 profili risultino essere connessi alla fase di ideazione e design. A tale proposito, però, occorre tenere presente che risultano piuttosto numerosi gli avviamenti associati ai profili di “Modellista”, “Disegnatore tecnico”, “Ideatore di modelli” già esposte in </w:t>
      </w:r>
      <w:proofErr w:type="spellStart"/>
      <w:r>
        <w:t>tab</w:t>
      </w:r>
      <w:proofErr w:type="spellEnd"/>
      <w:r>
        <w:t>. 10. Si tratta, tuttavia, di mansioni già presenti nel 2011 rispetto alle quali è ragionevole ipotizzare che siano stati avviati processi di aggiornamento che ne hanno ampliato competenze (probabilmente nella direzione dell’impiego degli strumenti informatici a supporto dell’ideazione del prodotto).</w:t>
      </w:r>
    </w:p>
    <w:p w:rsidR="00242B71" w:rsidRDefault="00242B71" w:rsidP="00242B71">
      <w:pPr>
        <w:jc w:val="both"/>
      </w:pPr>
    </w:p>
    <w:p w:rsidR="009E35BE" w:rsidRDefault="002F3F0C" w:rsidP="00C81BFD">
      <w:pPr>
        <w:pStyle w:val="Titolo2"/>
      </w:pPr>
      <w:r>
        <w:t xml:space="preserve">3.6 </w:t>
      </w:r>
      <w:r w:rsidR="009E35BE">
        <w:t>L’analisi del mercato del lavoro delle imprese artigiane</w:t>
      </w:r>
    </w:p>
    <w:p w:rsidR="009E35BE" w:rsidRDefault="009E35BE" w:rsidP="009E35BE">
      <w:pPr>
        <w:jc w:val="both"/>
      </w:pPr>
    </w:p>
    <w:p w:rsidR="009E35BE" w:rsidRDefault="009E35BE" w:rsidP="009E35BE">
      <w:pPr>
        <w:jc w:val="both"/>
      </w:pPr>
      <w:r>
        <w:t>Anche per quanto riguarda lo studio del Mercato del Lavoro delle aziende artigiane, si sono utilizzate le comunicazioni obbligatorie, ma il campo di analisi è stato ristretto ai movimenti delle imprese iscritte all’Ente Bilaterale Artigiano della Toscana nell’anno 2015.</w:t>
      </w:r>
    </w:p>
    <w:p w:rsidR="009E35BE" w:rsidRDefault="009E35BE" w:rsidP="009E35BE">
      <w:pPr>
        <w:jc w:val="both"/>
      </w:pPr>
      <w:r>
        <w:t xml:space="preserve">L’archivio contiene 361 aziende orafe (universo </w:t>
      </w:r>
      <w:proofErr w:type="spellStart"/>
      <w:r>
        <w:t>Ebret</w:t>
      </w:r>
      <w:proofErr w:type="spellEnd"/>
      <w:r w:rsidR="00C81BFD">
        <w:rPr>
          <w:rStyle w:val="Rimandonotaapidipagina"/>
        </w:rPr>
        <w:footnoteReference w:id="23"/>
      </w:r>
      <w:r>
        <w:t>) delle quali 73 (Campione) hanno effettuato 1.058 movimenti (cioè hanno prodotto almeno una comunicazione obbligatoria) nel periodo 2011-2015.</w:t>
      </w:r>
    </w:p>
    <w:p w:rsidR="009E35BE" w:rsidRDefault="009E35BE" w:rsidP="009E35BE">
      <w:pPr>
        <w:jc w:val="both"/>
      </w:pPr>
      <w:r>
        <w:t>Nella tabella seguente è riportata la distribuzione delle imprese per settore di attività.</w:t>
      </w:r>
    </w:p>
    <w:p w:rsidR="009E35BE" w:rsidRDefault="009E35BE" w:rsidP="009E35BE">
      <w:pPr>
        <w:jc w:val="both"/>
        <w:rPr>
          <w:b/>
          <w:sz w:val="20"/>
          <w:szCs w:val="20"/>
        </w:rPr>
      </w:pPr>
      <w:proofErr w:type="spellStart"/>
      <w:r w:rsidRPr="00443CF9">
        <w:rPr>
          <w:b/>
          <w:sz w:val="20"/>
          <w:szCs w:val="20"/>
        </w:rPr>
        <w:t>Tab</w:t>
      </w:r>
      <w:proofErr w:type="spellEnd"/>
      <w:r w:rsidRPr="00443CF9">
        <w:rPr>
          <w:b/>
          <w:sz w:val="20"/>
          <w:szCs w:val="20"/>
        </w:rPr>
        <w:t xml:space="preserve">. </w:t>
      </w:r>
      <w:r w:rsidR="0029619D">
        <w:rPr>
          <w:b/>
          <w:sz w:val="20"/>
          <w:szCs w:val="20"/>
        </w:rPr>
        <w:t>3.13</w:t>
      </w:r>
      <w:r w:rsidRPr="00443CF9">
        <w:rPr>
          <w:b/>
          <w:sz w:val="20"/>
          <w:szCs w:val="20"/>
        </w:rPr>
        <w:t xml:space="preserve"> – Distribuzione imprese </w:t>
      </w:r>
      <w:r>
        <w:rPr>
          <w:b/>
          <w:sz w:val="20"/>
          <w:szCs w:val="20"/>
        </w:rPr>
        <w:t xml:space="preserve">appartenenti all’Universo e al campione </w:t>
      </w:r>
      <w:r w:rsidRPr="00443CF9">
        <w:rPr>
          <w:b/>
          <w:sz w:val="20"/>
          <w:szCs w:val="20"/>
        </w:rPr>
        <w:t>per tipologia di attività svolta</w:t>
      </w:r>
      <w:r>
        <w:rPr>
          <w:b/>
          <w:sz w:val="20"/>
          <w:szCs w:val="20"/>
        </w:rPr>
        <w:t>.</w:t>
      </w:r>
    </w:p>
    <w:tbl>
      <w:tblPr>
        <w:tblW w:w="5000" w:type="pct"/>
        <w:tblCellMar>
          <w:top w:w="15" w:type="dxa"/>
          <w:left w:w="70" w:type="dxa"/>
          <w:bottom w:w="15" w:type="dxa"/>
          <w:right w:w="70" w:type="dxa"/>
        </w:tblCellMar>
        <w:tblLook w:val="04A0" w:firstRow="1" w:lastRow="0" w:firstColumn="1" w:lastColumn="0" w:noHBand="0" w:noVBand="1"/>
      </w:tblPr>
      <w:tblGrid>
        <w:gridCol w:w="4385"/>
        <w:gridCol w:w="1372"/>
        <w:gridCol w:w="1518"/>
        <w:gridCol w:w="1083"/>
        <w:gridCol w:w="1270"/>
      </w:tblGrid>
      <w:tr w:rsidR="009E35BE" w:rsidRPr="00443CF9" w:rsidTr="00832031">
        <w:trPr>
          <w:trHeight w:val="300"/>
        </w:trPr>
        <w:tc>
          <w:tcPr>
            <w:tcW w:w="2360" w:type="pct"/>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9E35BE" w:rsidRPr="00443CF9" w:rsidRDefault="009E35BE" w:rsidP="00832031">
            <w:pPr>
              <w:spacing w:after="0" w:line="240" w:lineRule="auto"/>
              <w:rPr>
                <w:rFonts w:ascii="Calibri" w:eastAsia="Times New Roman" w:hAnsi="Calibri" w:cs="Calibri"/>
                <w:b/>
                <w:bCs/>
                <w:color w:val="000000"/>
                <w:sz w:val="20"/>
                <w:szCs w:val="20"/>
                <w:lang w:eastAsia="it-IT"/>
              </w:rPr>
            </w:pPr>
            <w:r w:rsidRPr="00443CF9">
              <w:rPr>
                <w:rFonts w:ascii="Calibri" w:eastAsia="Times New Roman" w:hAnsi="Calibri" w:cs="Calibri"/>
                <w:b/>
                <w:bCs/>
                <w:color w:val="000000"/>
                <w:sz w:val="20"/>
                <w:szCs w:val="20"/>
                <w:lang w:eastAsia="it-IT"/>
              </w:rPr>
              <w:t>Settore di appartenenza imprese</w:t>
            </w:r>
          </w:p>
        </w:tc>
        <w:tc>
          <w:tcPr>
            <w:tcW w:w="584" w:type="pct"/>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9E35BE" w:rsidRPr="00443CF9" w:rsidRDefault="009E35BE" w:rsidP="00832031">
            <w:pPr>
              <w:spacing w:after="0" w:line="240" w:lineRule="auto"/>
              <w:rPr>
                <w:rFonts w:ascii="Calibri" w:eastAsia="Times New Roman" w:hAnsi="Calibri" w:cs="Calibri"/>
                <w:b/>
                <w:bCs/>
                <w:color w:val="000000"/>
                <w:sz w:val="20"/>
                <w:szCs w:val="20"/>
                <w:lang w:eastAsia="it-IT"/>
              </w:rPr>
            </w:pPr>
            <w:r w:rsidRPr="00443CF9">
              <w:rPr>
                <w:rFonts w:ascii="Calibri" w:eastAsia="Times New Roman" w:hAnsi="Calibri" w:cs="Calibri"/>
                <w:b/>
                <w:bCs/>
                <w:color w:val="000000"/>
                <w:sz w:val="20"/>
                <w:szCs w:val="20"/>
                <w:lang w:eastAsia="it-IT"/>
              </w:rPr>
              <w:t>Universo</w:t>
            </w:r>
            <w:r>
              <w:rPr>
                <w:rFonts w:ascii="Calibri" w:eastAsia="Times New Roman" w:hAnsi="Calibri" w:cs="Calibri"/>
                <w:b/>
                <w:bCs/>
                <w:color w:val="000000"/>
                <w:sz w:val="20"/>
                <w:szCs w:val="20"/>
                <w:lang w:eastAsia="it-IT"/>
              </w:rPr>
              <w:t xml:space="preserve"> </w:t>
            </w:r>
            <w:proofErr w:type="spellStart"/>
            <w:r>
              <w:rPr>
                <w:rFonts w:ascii="Calibri" w:eastAsia="Times New Roman" w:hAnsi="Calibri" w:cs="Calibri"/>
                <w:b/>
                <w:bCs/>
                <w:color w:val="000000"/>
                <w:sz w:val="20"/>
                <w:szCs w:val="20"/>
                <w:lang w:eastAsia="it-IT"/>
              </w:rPr>
              <w:t>Ebret</w:t>
            </w:r>
            <w:proofErr w:type="spellEnd"/>
          </w:p>
        </w:tc>
        <w:tc>
          <w:tcPr>
            <w:tcW w:w="669" w:type="pct"/>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9E35BE" w:rsidRPr="00443CF9" w:rsidRDefault="009E35BE" w:rsidP="00832031">
            <w:pPr>
              <w:spacing w:after="0" w:line="240" w:lineRule="auto"/>
              <w:rPr>
                <w:rFonts w:ascii="Calibri" w:eastAsia="Times New Roman" w:hAnsi="Calibri" w:cs="Calibri"/>
                <w:b/>
                <w:bCs/>
                <w:color w:val="000000"/>
                <w:sz w:val="20"/>
                <w:szCs w:val="20"/>
                <w:lang w:eastAsia="it-IT"/>
              </w:rPr>
            </w:pPr>
            <w:r w:rsidRPr="00443CF9">
              <w:rPr>
                <w:rFonts w:ascii="Calibri" w:eastAsia="Times New Roman" w:hAnsi="Calibri" w:cs="Calibri"/>
                <w:b/>
                <w:bCs/>
                <w:color w:val="000000"/>
                <w:sz w:val="20"/>
                <w:szCs w:val="20"/>
                <w:lang w:eastAsia="it-IT"/>
              </w:rPr>
              <w:t>Universo</w:t>
            </w:r>
            <w:r>
              <w:rPr>
                <w:rFonts w:ascii="Calibri" w:eastAsia="Times New Roman" w:hAnsi="Calibri" w:cs="Calibri"/>
                <w:b/>
                <w:bCs/>
                <w:color w:val="000000"/>
                <w:sz w:val="20"/>
                <w:szCs w:val="20"/>
                <w:lang w:eastAsia="it-IT"/>
              </w:rPr>
              <w:t xml:space="preserve"> </w:t>
            </w:r>
            <w:proofErr w:type="spellStart"/>
            <w:r>
              <w:rPr>
                <w:rFonts w:ascii="Calibri" w:eastAsia="Times New Roman" w:hAnsi="Calibri" w:cs="Calibri"/>
                <w:b/>
                <w:bCs/>
                <w:color w:val="000000"/>
                <w:sz w:val="20"/>
                <w:szCs w:val="20"/>
                <w:lang w:eastAsia="it-IT"/>
              </w:rPr>
              <w:t>Ebret</w:t>
            </w:r>
            <w:proofErr w:type="spellEnd"/>
            <w:r w:rsidRPr="00443CF9">
              <w:rPr>
                <w:rFonts w:ascii="Calibri" w:eastAsia="Times New Roman" w:hAnsi="Calibri" w:cs="Calibri"/>
                <w:b/>
                <w:bCs/>
                <w:color w:val="000000"/>
                <w:sz w:val="20"/>
                <w:szCs w:val="20"/>
                <w:lang w:eastAsia="it-IT"/>
              </w:rPr>
              <w:t>%</w:t>
            </w:r>
          </w:p>
        </w:tc>
        <w:tc>
          <w:tcPr>
            <w:tcW w:w="645" w:type="pct"/>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9E35BE" w:rsidRPr="00443CF9" w:rsidRDefault="009E35BE" w:rsidP="00832031">
            <w:pPr>
              <w:spacing w:after="0" w:line="240" w:lineRule="auto"/>
              <w:rPr>
                <w:rFonts w:ascii="Calibri" w:eastAsia="Times New Roman" w:hAnsi="Calibri" w:cs="Calibri"/>
                <w:b/>
                <w:bCs/>
                <w:color w:val="000000"/>
                <w:sz w:val="20"/>
                <w:szCs w:val="20"/>
                <w:lang w:eastAsia="it-IT"/>
              </w:rPr>
            </w:pPr>
            <w:r w:rsidRPr="00443CF9">
              <w:rPr>
                <w:rFonts w:ascii="Calibri" w:eastAsia="Times New Roman" w:hAnsi="Calibri" w:cs="Calibri"/>
                <w:b/>
                <w:bCs/>
                <w:color w:val="000000"/>
                <w:sz w:val="20"/>
                <w:szCs w:val="20"/>
                <w:lang w:eastAsia="it-IT"/>
              </w:rPr>
              <w:t>Campione</w:t>
            </w:r>
          </w:p>
        </w:tc>
        <w:tc>
          <w:tcPr>
            <w:tcW w:w="742" w:type="pct"/>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9E35BE" w:rsidRPr="00443CF9" w:rsidRDefault="009E35BE" w:rsidP="00832031">
            <w:pPr>
              <w:spacing w:after="0" w:line="240" w:lineRule="auto"/>
              <w:rPr>
                <w:rFonts w:ascii="Calibri" w:eastAsia="Times New Roman" w:hAnsi="Calibri" w:cs="Calibri"/>
                <w:b/>
                <w:bCs/>
                <w:color w:val="000000"/>
                <w:sz w:val="20"/>
                <w:szCs w:val="20"/>
                <w:lang w:eastAsia="it-IT"/>
              </w:rPr>
            </w:pPr>
            <w:r w:rsidRPr="00443CF9">
              <w:rPr>
                <w:rFonts w:ascii="Calibri" w:eastAsia="Times New Roman" w:hAnsi="Calibri" w:cs="Calibri"/>
                <w:b/>
                <w:bCs/>
                <w:color w:val="000000"/>
                <w:sz w:val="20"/>
                <w:szCs w:val="20"/>
                <w:lang w:eastAsia="it-IT"/>
              </w:rPr>
              <w:t>Campione</w:t>
            </w:r>
            <w:r>
              <w:rPr>
                <w:rFonts w:ascii="Calibri" w:eastAsia="Times New Roman" w:hAnsi="Calibri" w:cs="Calibri"/>
                <w:b/>
                <w:bCs/>
                <w:color w:val="000000"/>
                <w:sz w:val="20"/>
                <w:szCs w:val="20"/>
                <w:lang w:eastAsia="it-IT"/>
              </w:rPr>
              <w:t xml:space="preserve"> </w:t>
            </w:r>
            <w:r w:rsidRPr="00443CF9">
              <w:rPr>
                <w:rFonts w:ascii="Calibri" w:eastAsia="Times New Roman" w:hAnsi="Calibri" w:cs="Calibri"/>
                <w:b/>
                <w:bCs/>
                <w:color w:val="000000"/>
                <w:sz w:val="20"/>
                <w:szCs w:val="20"/>
                <w:lang w:eastAsia="it-IT"/>
              </w:rPr>
              <w:t>%</w:t>
            </w:r>
          </w:p>
        </w:tc>
      </w:tr>
      <w:tr w:rsidR="009E35BE" w:rsidRPr="00443CF9" w:rsidTr="00832031">
        <w:trPr>
          <w:trHeight w:val="300"/>
        </w:trPr>
        <w:tc>
          <w:tcPr>
            <w:tcW w:w="2360" w:type="pct"/>
            <w:tcBorders>
              <w:top w:val="single" w:sz="4" w:space="0" w:color="auto"/>
              <w:left w:val="single" w:sz="4" w:space="0" w:color="auto"/>
              <w:bottom w:val="single" w:sz="4" w:space="0" w:color="auto"/>
              <w:right w:val="single" w:sz="4" w:space="0" w:color="auto"/>
            </w:tcBorders>
            <w:noWrap/>
            <w:vAlign w:val="bottom"/>
            <w:hideMark/>
          </w:tcPr>
          <w:p w:rsidR="009E35BE" w:rsidRPr="00443CF9" w:rsidRDefault="009E35BE" w:rsidP="00832031">
            <w:pPr>
              <w:spacing w:after="0" w:line="240" w:lineRule="auto"/>
              <w:rPr>
                <w:rFonts w:ascii="Calibri" w:eastAsia="Times New Roman" w:hAnsi="Calibri" w:cs="Calibri"/>
                <w:color w:val="000000"/>
                <w:sz w:val="20"/>
                <w:szCs w:val="20"/>
                <w:lang w:eastAsia="it-IT"/>
              </w:rPr>
            </w:pPr>
            <w:r w:rsidRPr="00443CF9">
              <w:rPr>
                <w:rFonts w:ascii="Calibri" w:eastAsia="Times New Roman" w:hAnsi="Calibri" w:cs="Calibri"/>
                <w:color w:val="000000"/>
                <w:sz w:val="20"/>
                <w:szCs w:val="20"/>
                <w:lang w:eastAsia="it-IT"/>
              </w:rPr>
              <w:t>1. produzione e trattamento metalli</w:t>
            </w:r>
          </w:p>
        </w:tc>
        <w:tc>
          <w:tcPr>
            <w:tcW w:w="584" w:type="pct"/>
            <w:tcBorders>
              <w:top w:val="single" w:sz="4" w:space="0" w:color="auto"/>
              <w:left w:val="single" w:sz="4" w:space="0" w:color="auto"/>
              <w:bottom w:val="single" w:sz="4" w:space="0" w:color="auto"/>
              <w:right w:val="single" w:sz="4" w:space="0" w:color="auto"/>
            </w:tcBorders>
            <w:noWrap/>
            <w:vAlign w:val="bottom"/>
            <w:hideMark/>
          </w:tcPr>
          <w:p w:rsidR="009E35BE" w:rsidRDefault="009E35BE" w:rsidP="00832031">
            <w:pPr>
              <w:spacing w:after="0" w:line="240" w:lineRule="auto"/>
              <w:jc w:val="right"/>
              <w:rPr>
                <w:rFonts w:ascii="Calibri" w:hAnsi="Calibri" w:cs="Calibri"/>
                <w:color w:val="000000"/>
              </w:rPr>
            </w:pPr>
            <w:r>
              <w:rPr>
                <w:rFonts w:ascii="Calibri" w:hAnsi="Calibri" w:cs="Calibri"/>
                <w:color w:val="000000"/>
              </w:rPr>
              <w:t>22</w:t>
            </w:r>
          </w:p>
        </w:tc>
        <w:tc>
          <w:tcPr>
            <w:tcW w:w="669" w:type="pct"/>
            <w:tcBorders>
              <w:top w:val="single" w:sz="4" w:space="0" w:color="auto"/>
              <w:left w:val="single" w:sz="4" w:space="0" w:color="auto"/>
              <w:bottom w:val="single" w:sz="4" w:space="0" w:color="auto"/>
              <w:right w:val="single" w:sz="4" w:space="0" w:color="auto"/>
            </w:tcBorders>
            <w:noWrap/>
            <w:vAlign w:val="bottom"/>
            <w:hideMark/>
          </w:tcPr>
          <w:p w:rsidR="009E35BE" w:rsidRDefault="009E35BE" w:rsidP="00832031">
            <w:pPr>
              <w:spacing w:after="0" w:line="240" w:lineRule="auto"/>
              <w:jc w:val="right"/>
              <w:rPr>
                <w:rFonts w:ascii="Calibri" w:hAnsi="Calibri" w:cs="Calibri"/>
                <w:color w:val="000000"/>
              </w:rPr>
            </w:pPr>
            <w:r>
              <w:rPr>
                <w:rFonts w:ascii="Calibri" w:hAnsi="Calibri" w:cs="Calibri"/>
                <w:color w:val="000000"/>
              </w:rPr>
              <w:t>6,1%</w:t>
            </w:r>
          </w:p>
        </w:tc>
        <w:tc>
          <w:tcPr>
            <w:tcW w:w="645" w:type="pct"/>
            <w:tcBorders>
              <w:top w:val="single" w:sz="4" w:space="0" w:color="auto"/>
              <w:left w:val="single" w:sz="4" w:space="0" w:color="auto"/>
              <w:bottom w:val="single" w:sz="4" w:space="0" w:color="auto"/>
              <w:right w:val="single" w:sz="4" w:space="0" w:color="auto"/>
            </w:tcBorders>
            <w:noWrap/>
            <w:vAlign w:val="bottom"/>
            <w:hideMark/>
          </w:tcPr>
          <w:p w:rsidR="009E35BE" w:rsidRDefault="009E35BE" w:rsidP="00832031">
            <w:pPr>
              <w:spacing w:after="0" w:line="240" w:lineRule="auto"/>
              <w:jc w:val="right"/>
              <w:rPr>
                <w:rFonts w:ascii="Calibri" w:hAnsi="Calibri" w:cs="Calibri"/>
                <w:color w:val="000000"/>
              </w:rPr>
            </w:pPr>
            <w:r>
              <w:rPr>
                <w:rFonts w:ascii="Calibri" w:hAnsi="Calibri" w:cs="Calibri"/>
                <w:color w:val="000000"/>
              </w:rPr>
              <w:t>2</w:t>
            </w:r>
          </w:p>
        </w:tc>
        <w:tc>
          <w:tcPr>
            <w:tcW w:w="742" w:type="pct"/>
            <w:tcBorders>
              <w:top w:val="single" w:sz="4" w:space="0" w:color="auto"/>
              <w:left w:val="single" w:sz="4" w:space="0" w:color="auto"/>
              <w:bottom w:val="single" w:sz="4" w:space="0" w:color="auto"/>
              <w:right w:val="single" w:sz="4" w:space="0" w:color="auto"/>
            </w:tcBorders>
            <w:noWrap/>
            <w:vAlign w:val="bottom"/>
            <w:hideMark/>
          </w:tcPr>
          <w:p w:rsidR="009E35BE" w:rsidRDefault="009E35BE" w:rsidP="00832031">
            <w:pPr>
              <w:spacing w:after="0" w:line="240" w:lineRule="auto"/>
              <w:jc w:val="right"/>
              <w:rPr>
                <w:rFonts w:ascii="Calibri" w:hAnsi="Calibri" w:cs="Calibri"/>
                <w:color w:val="000000"/>
              </w:rPr>
            </w:pPr>
            <w:r>
              <w:rPr>
                <w:rFonts w:ascii="Calibri" w:hAnsi="Calibri" w:cs="Calibri"/>
                <w:color w:val="000000"/>
              </w:rPr>
              <w:t>2,7%</w:t>
            </w:r>
          </w:p>
        </w:tc>
      </w:tr>
      <w:tr w:rsidR="009E35BE" w:rsidRPr="00443CF9" w:rsidTr="00832031">
        <w:trPr>
          <w:trHeight w:val="300"/>
        </w:trPr>
        <w:tc>
          <w:tcPr>
            <w:tcW w:w="2360" w:type="pct"/>
            <w:tcBorders>
              <w:top w:val="single" w:sz="4" w:space="0" w:color="auto"/>
              <w:left w:val="single" w:sz="4" w:space="0" w:color="auto"/>
              <w:bottom w:val="single" w:sz="4" w:space="0" w:color="auto"/>
              <w:right w:val="single" w:sz="4" w:space="0" w:color="auto"/>
            </w:tcBorders>
            <w:noWrap/>
            <w:vAlign w:val="bottom"/>
            <w:hideMark/>
          </w:tcPr>
          <w:p w:rsidR="009E35BE" w:rsidRPr="00443CF9" w:rsidRDefault="009E35BE" w:rsidP="00832031">
            <w:pPr>
              <w:spacing w:after="0" w:line="240" w:lineRule="auto"/>
              <w:rPr>
                <w:rFonts w:ascii="Calibri" w:eastAsia="Times New Roman" w:hAnsi="Calibri" w:cs="Calibri"/>
                <w:color w:val="000000"/>
                <w:sz w:val="20"/>
                <w:szCs w:val="20"/>
                <w:lang w:eastAsia="it-IT"/>
              </w:rPr>
            </w:pPr>
            <w:r w:rsidRPr="00443CF9">
              <w:rPr>
                <w:rFonts w:ascii="Calibri" w:eastAsia="Times New Roman" w:hAnsi="Calibri" w:cs="Calibri"/>
                <w:color w:val="000000"/>
                <w:sz w:val="20"/>
                <w:szCs w:val="20"/>
                <w:lang w:eastAsia="it-IT"/>
              </w:rPr>
              <w:t>2. macchine e stampi per industria orafa</w:t>
            </w:r>
          </w:p>
        </w:tc>
        <w:tc>
          <w:tcPr>
            <w:tcW w:w="584" w:type="pct"/>
            <w:tcBorders>
              <w:top w:val="single" w:sz="4" w:space="0" w:color="auto"/>
              <w:left w:val="single" w:sz="4" w:space="0" w:color="auto"/>
              <w:bottom w:val="single" w:sz="4" w:space="0" w:color="auto"/>
              <w:right w:val="single" w:sz="4" w:space="0" w:color="auto"/>
            </w:tcBorders>
            <w:noWrap/>
            <w:vAlign w:val="bottom"/>
            <w:hideMark/>
          </w:tcPr>
          <w:p w:rsidR="009E35BE" w:rsidRDefault="009E35BE" w:rsidP="00832031">
            <w:pPr>
              <w:spacing w:after="0" w:line="240" w:lineRule="auto"/>
              <w:jc w:val="right"/>
              <w:rPr>
                <w:rFonts w:ascii="Calibri" w:hAnsi="Calibri" w:cs="Calibri"/>
                <w:color w:val="000000"/>
              </w:rPr>
            </w:pPr>
            <w:r>
              <w:rPr>
                <w:rFonts w:ascii="Calibri" w:hAnsi="Calibri" w:cs="Calibri"/>
                <w:color w:val="000000"/>
              </w:rPr>
              <w:t>19</w:t>
            </w:r>
          </w:p>
        </w:tc>
        <w:tc>
          <w:tcPr>
            <w:tcW w:w="669" w:type="pct"/>
            <w:tcBorders>
              <w:top w:val="single" w:sz="4" w:space="0" w:color="auto"/>
              <w:left w:val="single" w:sz="4" w:space="0" w:color="auto"/>
              <w:bottom w:val="single" w:sz="4" w:space="0" w:color="auto"/>
              <w:right w:val="single" w:sz="4" w:space="0" w:color="auto"/>
            </w:tcBorders>
            <w:noWrap/>
            <w:vAlign w:val="bottom"/>
            <w:hideMark/>
          </w:tcPr>
          <w:p w:rsidR="009E35BE" w:rsidRDefault="009E35BE" w:rsidP="00832031">
            <w:pPr>
              <w:spacing w:after="0" w:line="240" w:lineRule="auto"/>
              <w:jc w:val="right"/>
              <w:rPr>
                <w:rFonts w:ascii="Calibri" w:hAnsi="Calibri" w:cs="Calibri"/>
                <w:color w:val="000000"/>
              </w:rPr>
            </w:pPr>
            <w:r>
              <w:rPr>
                <w:rFonts w:ascii="Calibri" w:hAnsi="Calibri" w:cs="Calibri"/>
                <w:color w:val="000000"/>
              </w:rPr>
              <w:t>5,3%</w:t>
            </w:r>
          </w:p>
        </w:tc>
        <w:tc>
          <w:tcPr>
            <w:tcW w:w="645" w:type="pct"/>
            <w:tcBorders>
              <w:top w:val="single" w:sz="4" w:space="0" w:color="auto"/>
              <w:left w:val="single" w:sz="4" w:space="0" w:color="auto"/>
              <w:bottom w:val="single" w:sz="4" w:space="0" w:color="auto"/>
              <w:right w:val="single" w:sz="4" w:space="0" w:color="auto"/>
            </w:tcBorders>
            <w:noWrap/>
            <w:vAlign w:val="bottom"/>
            <w:hideMark/>
          </w:tcPr>
          <w:p w:rsidR="009E35BE" w:rsidRDefault="009E35BE" w:rsidP="00832031">
            <w:pPr>
              <w:spacing w:after="0" w:line="240" w:lineRule="auto"/>
              <w:jc w:val="right"/>
              <w:rPr>
                <w:rFonts w:ascii="Calibri" w:hAnsi="Calibri" w:cs="Calibri"/>
                <w:color w:val="000000"/>
              </w:rPr>
            </w:pPr>
            <w:r>
              <w:rPr>
                <w:rFonts w:ascii="Calibri" w:hAnsi="Calibri" w:cs="Calibri"/>
                <w:color w:val="000000"/>
              </w:rPr>
              <w:t>2</w:t>
            </w:r>
          </w:p>
        </w:tc>
        <w:tc>
          <w:tcPr>
            <w:tcW w:w="742" w:type="pct"/>
            <w:tcBorders>
              <w:top w:val="single" w:sz="4" w:space="0" w:color="auto"/>
              <w:left w:val="single" w:sz="4" w:space="0" w:color="auto"/>
              <w:bottom w:val="single" w:sz="4" w:space="0" w:color="auto"/>
              <w:right w:val="single" w:sz="4" w:space="0" w:color="auto"/>
            </w:tcBorders>
            <w:noWrap/>
            <w:vAlign w:val="bottom"/>
            <w:hideMark/>
          </w:tcPr>
          <w:p w:rsidR="009E35BE" w:rsidRDefault="009E35BE" w:rsidP="00832031">
            <w:pPr>
              <w:spacing w:after="0" w:line="240" w:lineRule="auto"/>
              <w:jc w:val="right"/>
              <w:rPr>
                <w:rFonts w:ascii="Calibri" w:hAnsi="Calibri" w:cs="Calibri"/>
                <w:color w:val="000000"/>
              </w:rPr>
            </w:pPr>
            <w:r>
              <w:rPr>
                <w:rFonts w:ascii="Calibri" w:hAnsi="Calibri" w:cs="Calibri"/>
                <w:color w:val="000000"/>
              </w:rPr>
              <w:t>2,7%</w:t>
            </w:r>
          </w:p>
        </w:tc>
      </w:tr>
      <w:tr w:rsidR="009E35BE" w:rsidRPr="00443CF9" w:rsidTr="00832031">
        <w:trPr>
          <w:trHeight w:val="300"/>
        </w:trPr>
        <w:tc>
          <w:tcPr>
            <w:tcW w:w="2360" w:type="pct"/>
            <w:tcBorders>
              <w:top w:val="single" w:sz="4" w:space="0" w:color="auto"/>
              <w:left w:val="single" w:sz="4" w:space="0" w:color="auto"/>
              <w:bottom w:val="single" w:sz="4" w:space="0" w:color="auto"/>
              <w:right w:val="single" w:sz="4" w:space="0" w:color="auto"/>
            </w:tcBorders>
            <w:noWrap/>
            <w:vAlign w:val="bottom"/>
            <w:hideMark/>
          </w:tcPr>
          <w:p w:rsidR="009E35BE" w:rsidRPr="00443CF9" w:rsidRDefault="009E35BE" w:rsidP="00832031">
            <w:pPr>
              <w:spacing w:after="0" w:line="240" w:lineRule="auto"/>
              <w:rPr>
                <w:rFonts w:ascii="Calibri" w:eastAsia="Times New Roman" w:hAnsi="Calibri" w:cs="Calibri"/>
                <w:color w:val="000000"/>
                <w:sz w:val="20"/>
                <w:szCs w:val="20"/>
                <w:lang w:eastAsia="it-IT"/>
              </w:rPr>
            </w:pPr>
            <w:r w:rsidRPr="00443CF9">
              <w:rPr>
                <w:rFonts w:ascii="Calibri" w:eastAsia="Times New Roman" w:hAnsi="Calibri" w:cs="Calibri"/>
                <w:color w:val="000000"/>
                <w:sz w:val="20"/>
                <w:szCs w:val="20"/>
                <w:lang w:eastAsia="it-IT"/>
              </w:rPr>
              <w:t>3. bigiotteria, orologi e altro</w:t>
            </w:r>
          </w:p>
        </w:tc>
        <w:tc>
          <w:tcPr>
            <w:tcW w:w="584" w:type="pct"/>
            <w:tcBorders>
              <w:top w:val="single" w:sz="4" w:space="0" w:color="auto"/>
              <w:left w:val="single" w:sz="4" w:space="0" w:color="auto"/>
              <w:bottom w:val="single" w:sz="4" w:space="0" w:color="auto"/>
              <w:right w:val="single" w:sz="4" w:space="0" w:color="auto"/>
            </w:tcBorders>
            <w:noWrap/>
            <w:vAlign w:val="bottom"/>
            <w:hideMark/>
          </w:tcPr>
          <w:p w:rsidR="009E35BE" w:rsidRDefault="009E35BE" w:rsidP="00832031">
            <w:pPr>
              <w:spacing w:after="0" w:line="240" w:lineRule="auto"/>
              <w:jc w:val="right"/>
              <w:rPr>
                <w:rFonts w:ascii="Calibri" w:hAnsi="Calibri" w:cs="Calibri"/>
                <w:color w:val="000000"/>
              </w:rPr>
            </w:pPr>
            <w:r>
              <w:rPr>
                <w:rFonts w:ascii="Calibri" w:hAnsi="Calibri" w:cs="Calibri"/>
                <w:color w:val="000000"/>
              </w:rPr>
              <w:t>16</w:t>
            </w:r>
          </w:p>
        </w:tc>
        <w:tc>
          <w:tcPr>
            <w:tcW w:w="669" w:type="pct"/>
            <w:tcBorders>
              <w:top w:val="single" w:sz="4" w:space="0" w:color="auto"/>
              <w:left w:val="single" w:sz="4" w:space="0" w:color="auto"/>
              <w:bottom w:val="single" w:sz="4" w:space="0" w:color="auto"/>
              <w:right w:val="single" w:sz="4" w:space="0" w:color="auto"/>
            </w:tcBorders>
            <w:noWrap/>
            <w:vAlign w:val="bottom"/>
            <w:hideMark/>
          </w:tcPr>
          <w:p w:rsidR="009E35BE" w:rsidRDefault="009E35BE" w:rsidP="00832031">
            <w:pPr>
              <w:spacing w:after="0" w:line="240" w:lineRule="auto"/>
              <w:jc w:val="right"/>
              <w:rPr>
                <w:rFonts w:ascii="Calibri" w:hAnsi="Calibri" w:cs="Calibri"/>
                <w:color w:val="000000"/>
              </w:rPr>
            </w:pPr>
            <w:r>
              <w:rPr>
                <w:rFonts w:ascii="Calibri" w:hAnsi="Calibri" w:cs="Calibri"/>
                <w:color w:val="000000"/>
              </w:rPr>
              <w:t>4,4%</w:t>
            </w:r>
          </w:p>
        </w:tc>
        <w:tc>
          <w:tcPr>
            <w:tcW w:w="645" w:type="pct"/>
            <w:tcBorders>
              <w:top w:val="single" w:sz="4" w:space="0" w:color="auto"/>
              <w:left w:val="single" w:sz="4" w:space="0" w:color="auto"/>
              <w:bottom w:val="single" w:sz="4" w:space="0" w:color="auto"/>
              <w:right w:val="single" w:sz="4" w:space="0" w:color="auto"/>
            </w:tcBorders>
            <w:noWrap/>
            <w:vAlign w:val="bottom"/>
            <w:hideMark/>
          </w:tcPr>
          <w:p w:rsidR="009E35BE" w:rsidRDefault="009E35BE" w:rsidP="00832031">
            <w:pPr>
              <w:spacing w:after="0" w:line="240" w:lineRule="auto"/>
              <w:jc w:val="right"/>
              <w:rPr>
                <w:rFonts w:ascii="Calibri" w:hAnsi="Calibri" w:cs="Calibri"/>
                <w:color w:val="000000"/>
              </w:rPr>
            </w:pPr>
            <w:r>
              <w:rPr>
                <w:rFonts w:ascii="Calibri" w:hAnsi="Calibri" w:cs="Calibri"/>
                <w:color w:val="000000"/>
              </w:rPr>
              <w:t>6</w:t>
            </w:r>
          </w:p>
        </w:tc>
        <w:tc>
          <w:tcPr>
            <w:tcW w:w="742" w:type="pct"/>
            <w:tcBorders>
              <w:top w:val="single" w:sz="4" w:space="0" w:color="auto"/>
              <w:left w:val="single" w:sz="4" w:space="0" w:color="auto"/>
              <w:bottom w:val="single" w:sz="4" w:space="0" w:color="auto"/>
              <w:right w:val="single" w:sz="4" w:space="0" w:color="auto"/>
            </w:tcBorders>
            <w:noWrap/>
            <w:vAlign w:val="bottom"/>
            <w:hideMark/>
          </w:tcPr>
          <w:p w:rsidR="009E35BE" w:rsidRDefault="009E35BE" w:rsidP="00832031">
            <w:pPr>
              <w:spacing w:after="0" w:line="240" w:lineRule="auto"/>
              <w:jc w:val="right"/>
              <w:rPr>
                <w:rFonts w:ascii="Calibri" w:hAnsi="Calibri" w:cs="Calibri"/>
                <w:color w:val="000000"/>
              </w:rPr>
            </w:pPr>
            <w:r>
              <w:rPr>
                <w:rFonts w:ascii="Calibri" w:hAnsi="Calibri" w:cs="Calibri"/>
                <w:color w:val="000000"/>
              </w:rPr>
              <w:t>8,2%</w:t>
            </w:r>
          </w:p>
        </w:tc>
      </w:tr>
      <w:tr w:rsidR="009E35BE" w:rsidRPr="00443CF9" w:rsidTr="00832031">
        <w:trPr>
          <w:trHeight w:val="300"/>
        </w:trPr>
        <w:tc>
          <w:tcPr>
            <w:tcW w:w="2360" w:type="pct"/>
            <w:tcBorders>
              <w:top w:val="single" w:sz="4" w:space="0" w:color="auto"/>
              <w:left w:val="single" w:sz="4" w:space="0" w:color="auto"/>
              <w:bottom w:val="single" w:sz="4" w:space="0" w:color="auto"/>
              <w:right w:val="single" w:sz="4" w:space="0" w:color="auto"/>
            </w:tcBorders>
            <w:noWrap/>
            <w:vAlign w:val="bottom"/>
            <w:hideMark/>
          </w:tcPr>
          <w:p w:rsidR="009E35BE" w:rsidRPr="00443CF9" w:rsidRDefault="009E35BE" w:rsidP="00832031">
            <w:pPr>
              <w:spacing w:after="0" w:line="240" w:lineRule="auto"/>
              <w:rPr>
                <w:rFonts w:ascii="Calibri" w:eastAsia="Times New Roman" w:hAnsi="Calibri" w:cs="Calibri"/>
                <w:color w:val="000000"/>
                <w:sz w:val="20"/>
                <w:szCs w:val="20"/>
                <w:lang w:eastAsia="it-IT"/>
              </w:rPr>
            </w:pPr>
            <w:r w:rsidRPr="00443CF9">
              <w:rPr>
                <w:rFonts w:ascii="Calibri" w:eastAsia="Times New Roman" w:hAnsi="Calibri" w:cs="Calibri"/>
                <w:color w:val="000000"/>
                <w:sz w:val="20"/>
                <w:szCs w:val="20"/>
                <w:lang w:eastAsia="it-IT"/>
              </w:rPr>
              <w:t>4. oreficeria</w:t>
            </w:r>
          </w:p>
        </w:tc>
        <w:tc>
          <w:tcPr>
            <w:tcW w:w="584" w:type="pct"/>
            <w:tcBorders>
              <w:top w:val="single" w:sz="4" w:space="0" w:color="auto"/>
              <w:left w:val="single" w:sz="4" w:space="0" w:color="auto"/>
              <w:bottom w:val="single" w:sz="4" w:space="0" w:color="auto"/>
              <w:right w:val="single" w:sz="4" w:space="0" w:color="auto"/>
            </w:tcBorders>
            <w:noWrap/>
            <w:vAlign w:val="bottom"/>
            <w:hideMark/>
          </w:tcPr>
          <w:p w:rsidR="009E35BE" w:rsidRDefault="009E35BE" w:rsidP="00832031">
            <w:pPr>
              <w:spacing w:after="0" w:line="240" w:lineRule="auto"/>
              <w:jc w:val="right"/>
              <w:rPr>
                <w:rFonts w:ascii="Calibri" w:hAnsi="Calibri" w:cs="Calibri"/>
                <w:color w:val="000000"/>
              </w:rPr>
            </w:pPr>
            <w:r>
              <w:rPr>
                <w:rFonts w:ascii="Calibri" w:hAnsi="Calibri" w:cs="Calibri"/>
                <w:color w:val="000000"/>
              </w:rPr>
              <w:t>304</w:t>
            </w:r>
          </w:p>
        </w:tc>
        <w:tc>
          <w:tcPr>
            <w:tcW w:w="669" w:type="pct"/>
            <w:tcBorders>
              <w:top w:val="single" w:sz="4" w:space="0" w:color="auto"/>
              <w:left w:val="single" w:sz="4" w:space="0" w:color="auto"/>
              <w:bottom w:val="single" w:sz="4" w:space="0" w:color="auto"/>
              <w:right w:val="single" w:sz="4" w:space="0" w:color="auto"/>
            </w:tcBorders>
            <w:noWrap/>
            <w:vAlign w:val="bottom"/>
            <w:hideMark/>
          </w:tcPr>
          <w:p w:rsidR="009E35BE" w:rsidRDefault="009E35BE" w:rsidP="00832031">
            <w:pPr>
              <w:spacing w:after="0" w:line="240" w:lineRule="auto"/>
              <w:jc w:val="right"/>
              <w:rPr>
                <w:rFonts w:ascii="Calibri" w:hAnsi="Calibri" w:cs="Calibri"/>
                <w:color w:val="000000"/>
              </w:rPr>
            </w:pPr>
            <w:r>
              <w:rPr>
                <w:rFonts w:ascii="Calibri" w:hAnsi="Calibri" w:cs="Calibri"/>
                <w:color w:val="000000"/>
              </w:rPr>
              <w:t>84,2%</w:t>
            </w:r>
          </w:p>
        </w:tc>
        <w:tc>
          <w:tcPr>
            <w:tcW w:w="645" w:type="pct"/>
            <w:tcBorders>
              <w:top w:val="single" w:sz="4" w:space="0" w:color="auto"/>
              <w:left w:val="single" w:sz="4" w:space="0" w:color="auto"/>
              <w:bottom w:val="single" w:sz="4" w:space="0" w:color="auto"/>
              <w:right w:val="single" w:sz="4" w:space="0" w:color="auto"/>
            </w:tcBorders>
            <w:noWrap/>
            <w:vAlign w:val="bottom"/>
            <w:hideMark/>
          </w:tcPr>
          <w:p w:rsidR="009E35BE" w:rsidRDefault="009E35BE" w:rsidP="00832031">
            <w:pPr>
              <w:spacing w:after="0" w:line="240" w:lineRule="auto"/>
              <w:jc w:val="right"/>
              <w:rPr>
                <w:rFonts w:ascii="Calibri" w:hAnsi="Calibri" w:cs="Calibri"/>
                <w:color w:val="000000"/>
              </w:rPr>
            </w:pPr>
            <w:r>
              <w:rPr>
                <w:rFonts w:ascii="Calibri" w:hAnsi="Calibri" w:cs="Calibri"/>
                <w:color w:val="000000"/>
              </w:rPr>
              <w:t>63</w:t>
            </w:r>
          </w:p>
        </w:tc>
        <w:tc>
          <w:tcPr>
            <w:tcW w:w="742" w:type="pct"/>
            <w:tcBorders>
              <w:top w:val="single" w:sz="4" w:space="0" w:color="auto"/>
              <w:left w:val="single" w:sz="4" w:space="0" w:color="auto"/>
              <w:bottom w:val="single" w:sz="4" w:space="0" w:color="auto"/>
              <w:right w:val="single" w:sz="4" w:space="0" w:color="auto"/>
            </w:tcBorders>
            <w:noWrap/>
            <w:vAlign w:val="bottom"/>
            <w:hideMark/>
          </w:tcPr>
          <w:p w:rsidR="009E35BE" w:rsidRDefault="009E35BE" w:rsidP="00832031">
            <w:pPr>
              <w:spacing w:after="0" w:line="240" w:lineRule="auto"/>
              <w:jc w:val="right"/>
              <w:rPr>
                <w:rFonts w:ascii="Calibri" w:hAnsi="Calibri" w:cs="Calibri"/>
                <w:color w:val="000000"/>
              </w:rPr>
            </w:pPr>
            <w:r>
              <w:rPr>
                <w:rFonts w:ascii="Calibri" w:hAnsi="Calibri" w:cs="Calibri"/>
                <w:color w:val="000000"/>
              </w:rPr>
              <w:t>86,3%</w:t>
            </w:r>
          </w:p>
        </w:tc>
      </w:tr>
      <w:tr w:rsidR="009E35BE" w:rsidRPr="00443CF9" w:rsidTr="00832031">
        <w:trPr>
          <w:trHeight w:val="300"/>
        </w:trPr>
        <w:tc>
          <w:tcPr>
            <w:tcW w:w="2360" w:type="pct"/>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9E35BE" w:rsidRPr="00443CF9" w:rsidRDefault="009E35BE" w:rsidP="00832031">
            <w:pPr>
              <w:spacing w:after="0" w:line="240" w:lineRule="auto"/>
              <w:rPr>
                <w:rFonts w:ascii="Calibri" w:eastAsia="Times New Roman" w:hAnsi="Calibri" w:cs="Calibri"/>
                <w:b/>
                <w:bCs/>
                <w:color w:val="000000"/>
                <w:sz w:val="20"/>
                <w:szCs w:val="20"/>
                <w:lang w:eastAsia="it-IT"/>
              </w:rPr>
            </w:pPr>
            <w:r w:rsidRPr="00443CF9">
              <w:rPr>
                <w:rFonts w:ascii="Calibri" w:eastAsia="Times New Roman" w:hAnsi="Calibri" w:cs="Calibri"/>
                <w:b/>
                <w:bCs/>
                <w:color w:val="000000"/>
                <w:sz w:val="20"/>
                <w:szCs w:val="20"/>
                <w:lang w:eastAsia="it-IT"/>
              </w:rPr>
              <w:t>Totale</w:t>
            </w:r>
          </w:p>
        </w:tc>
        <w:tc>
          <w:tcPr>
            <w:tcW w:w="584" w:type="pct"/>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9E35BE" w:rsidRDefault="009E35BE" w:rsidP="00832031">
            <w:pPr>
              <w:spacing w:after="0" w:line="240" w:lineRule="auto"/>
              <w:jc w:val="right"/>
              <w:rPr>
                <w:rFonts w:ascii="Calibri" w:hAnsi="Calibri" w:cs="Calibri"/>
                <w:b/>
                <w:bCs/>
                <w:color w:val="000000"/>
              </w:rPr>
            </w:pPr>
            <w:r>
              <w:rPr>
                <w:rFonts w:ascii="Calibri" w:hAnsi="Calibri" w:cs="Calibri"/>
                <w:b/>
                <w:bCs/>
                <w:color w:val="000000"/>
              </w:rPr>
              <w:t>361</w:t>
            </w:r>
          </w:p>
        </w:tc>
        <w:tc>
          <w:tcPr>
            <w:tcW w:w="669" w:type="pct"/>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9E35BE" w:rsidRDefault="009E35BE" w:rsidP="00832031">
            <w:pPr>
              <w:spacing w:after="0" w:line="240" w:lineRule="auto"/>
              <w:jc w:val="right"/>
              <w:rPr>
                <w:rFonts w:ascii="Calibri" w:hAnsi="Calibri" w:cs="Calibri"/>
                <w:b/>
                <w:bCs/>
                <w:color w:val="000000"/>
              </w:rPr>
            </w:pPr>
            <w:r>
              <w:rPr>
                <w:rFonts w:ascii="Calibri" w:hAnsi="Calibri" w:cs="Calibri"/>
                <w:b/>
                <w:bCs/>
                <w:color w:val="000000"/>
              </w:rPr>
              <w:t>100,0%</w:t>
            </w:r>
          </w:p>
        </w:tc>
        <w:tc>
          <w:tcPr>
            <w:tcW w:w="645" w:type="pct"/>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9E35BE" w:rsidRDefault="009E35BE" w:rsidP="00832031">
            <w:pPr>
              <w:spacing w:after="0" w:line="240" w:lineRule="auto"/>
              <w:jc w:val="right"/>
              <w:rPr>
                <w:rFonts w:ascii="Calibri" w:hAnsi="Calibri" w:cs="Calibri"/>
                <w:b/>
                <w:bCs/>
                <w:color w:val="000000"/>
              </w:rPr>
            </w:pPr>
            <w:r>
              <w:rPr>
                <w:rFonts w:ascii="Calibri" w:hAnsi="Calibri" w:cs="Calibri"/>
                <w:b/>
                <w:bCs/>
                <w:color w:val="000000"/>
              </w:rPr>
              <w:t>73</w:t>
            </w:r>
          </w:p>
        </w:tc>
        <w:tc>
          <w:tcPr>
            <w:tcW w:w="742" w:type="pct"/>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9E35BE" w:rsidRDefault="009E35BE" w:rsidP="00832031">
            <w:pPr>
              <w:spacing w:after="0" w:line="240" w:lineRule="auto"/>
              <w:jc w:val="right"/>
              <w:rPr>
                <w:rFonts w:ascii="Calibri" w:hAnsi="Calibri" w:cs="Calibri"/>
                <w:b/>
                <w:bCs/>
                <w:color w:val="000000"/>
              </w:rPr>
            </w:pPr>
            <w:r>
              <w:rPr>
                <w:rFonts w:ascii="Calibri" w:hAnsi="Calibri" w:cs="Calibri"/>
                <w:b/>
                <w:bCs/>
                <w:color w:val="000000"/>
              </w:rPr>
              <w:t>100%</w:t>
            </w:r>
          </w:p>
        </w:tc>
      </w:tr>
    </w:tbl>
    <w:p w:rsidR="009E35BE" w:rsidRDefault="009E35BE" w:rsidP="009E35BE">
      <w:pPr>
        <w:jc w:val="both"/>
        <w:rPr>
          <w:b/>
          <w:sz w:val="20"/>
          <w:szCs w:val="20"/>
        </w:rPr>
      </w:pPr>
    </w:p>
    <w:p w:rsidR="009E35BE" w:rsidRDefault="009E35BE" w:rsidP="009E35BE">
      <w:pPr>
        <w:jc w:val="both"/>
      </w:pPr>
      <w:r>
        <w:t>Le due distribuzioni hanno un andamento simile: infatti, il calcolo dell’indice di correlazione è pari al 99,7%</w:t>
      </w:r>
      <w:r>
        <w:rPr>
          <w:rStyle w:val="Rimandonotaapidipagina"/>
        </w:rPr>
        <w:footnoteReference w:id="24"/>
      </w:r>
      <w:r>
        <w:t>. Nel campione (come nell’universo) prevalgono le imprese orafe, seguono quelle dedite alla produzione di bigiotteria e poi tutte le altre specializzazioni settoriali. Le aziende del campione impiegano 327 dipendenti, con una media pari a 4,7 lavoratori per ognuna.</w:t>
      </w:r>
    </w:p>
    <w:p w:rsidR="009E35BE" w:rsidRDefault="009E35BE" w:rsidP="009E35BE">
      <w:pPr>
        <w:jc w:val="both"/>
      </w:pPr>
      <w:r>
        <w:t>Nella tabella seguente sono riportati i movimenti delle imprese del campione.</w:t>
      </w:r>
    </w:p>
    <w:p w:rsidR="009E35BE" w:rsidRPr="00303E69" w:rsidRDefault="0029619D" w:rsidP="009E35BE">
      <w:pPr>
        <w:jc w:val="both"/>
        <w:rPr>
          <w:b/>
          <w:sz w:val="20"/>
          <w:szCs w:val="20"/>
        </w:rPr>
      </w:pPr>
      <w:proofErr w:type="spellStart"/>
      <w:r>
        <w:rPr>
          <w:b/>
          <w:sz w:val="20"/>
          <w:szCs w:val="20"/>
        </w:rPr>
        <w:t>Tab</w:t>
      </w:r>
      <w:proofErr w:type="spellEnd"/>
      <w:r>
        <w:rPr>
          <w:b/>
          <w:sz w:val="20"/>
          <w:szCs w:val="20"/>
        </w:rPr>
        <w:t>. 3.14</w:t>
      </w:r>
      <w:r w:rsidR="009E35BE" w:rsidRPr="00303E69">
        <w:rPr>
          <w:b/>
          <w:sz w:val="20"/>
          <w:szCs w:val="20"/>
        </w:rPr>
        <w:t xml:space="preserve"> - Distribuzione dei movimenti per </w:t>
      </w:r>
      <w:r w:rsidR="009E35BE">
        <w:rPr>
          <w:b/>
          <w:sz w:val="20"/>
          <w:szCs w:val="20"/>
        </w:rPr>
        <w:t>status lavorativo</w:t>
      </w:r>
      <w:r w:rsidR="009E35BE" w:rsidRPr="00303E69">
        <w:rPr>
          <w:b/>
          <w:sz w:val="20"/>
          <w:szCs w:val="20"/>
        </w:rPr>
        <w:t xml:space="preserve"> – aziende campione </w:t>
      </w:r>
      <w:proofErr w:type="spellStart"/>
      <w:r w:rsidR="009E35BE" w:rsidRPr="00303E69">
        <w:rPr>
          <w:b/>
          <w:sz w:val="20"/>
          <w:szCs w:val="20"/>
        </w:rPr>
        <w:t>Ebret</w:t>
      </w:r>
      <w:proofErr w:type="spellEnd"/>
      <w:r w:rsidR="009E35BE">
        <w:rPr>
          <w:b/>
          <w:sz w:val="20"/>
          <w:szCs w:val="20"/>
        </w:rPr>
        <w:t>.</w:t>
      </w:r>
    </w:p>
    <w:tbl>
      <w:tblPr>
        <w:tblW w:w="5000" w:type="pct"/>
        <w:tblLayout w:type="fixed"/>
        <w:tblCellMar>
          <w:top w:w="15" w:type="dxa"/>
          <w:left w:w="70" w:type="dxa"/>
          <w:bottom w:w="15" w:type="dxa"/>
          <w:right w:w="70" w:type="dxa"/>
        </w:tblCellMar>
        <w:tblLook w:val="04A0" w:firstRow="1" w:lastRow="0" w:firstColumn="1" w:lastColumn="0" w:noHBand="0" w:noVBand="1"/>
      </w:tblPr>
      <w:tblGrid>
        <w:gridCol w:w="991"/>
        <w:gridCol w:w="1700"/>
        <w:gridCol w:w="1700"/>
        <w:gridCol w:w="1700"/>
        <w:gridCol w:w="1700"/>
        <w:gridCol w:w="1837"/>
      </w:tblGrid>
      <w:tr w:rsidR="009E35BE" w:rsidRPr="00303E69" w:rsidTr="00832031">
        <w:trPr>
          <w:trHeight w:val="300"/>
        </w:trPr>
        <w:tc>
          <w:tcPr>
            <w:tcW w:w="514" w:type="pct"/>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9E35BE" w:rsidRPr="00303E69" w:rsidRDefault="009E35BE" w:rsidP="00832031">
            <w:pPr>
              <w:spacing w:after="0" w:line="240" w:lineRule="auto"/>
              <w:jc w:val="center"/>
              <w:rPr>
                <w:rFonts w:ascii="Calibri" w:eastAsia="Times New Roman" w:hAnsi="Calibri" w:cs="Calibri"/>
                <w:b/>
                <w:bCs/>
                <w:color w:val="000000"/>
                <w:sz w:val="20"/>
                <w:szCs w:val="20"/>
                <w:lang w:eastAsia="it-IT"/>
              </w:rPr>
            </w:pPr>
            <w:r w:rsidRPr="00303E69">
              <w:rPr>
                <w:rFonts w:ascii="Calibri" w:eastAsia="Times New Roman" w:hAnsi="Calibri" w:cs="Calibri"/>
                <w:b/>
                <w:bCs/>
                <w:color w:val="000000"/>
                <w:sz w:val="20"/>
                <w:szCs w:val="20"/>
                <w:lang w:eastAsia="it-IT"/>
              </w:rPr>
              <w:t>Anno</w:t>
            </w:r>
          </w:p>
        </w:tc>
        <w:tc>
          <w:tcPr>
            <w:tcW w:w="883" w:type="pct"/>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9E35BE" w:rsidRPr="00303E69" w:rsidRDefault="009E35BE" w:rsidP="00832031">
            <w:pPr>
              <w:spacing w:after="0" w:line="240" w:lineRule="auto"/>
              <w:jc w:val="center"/>
              <w:rPr>
                <w:rFonts w:ascii="Calibri" w:eastAsia="Times New Roman" w:hAnsi="Calibri" w:cs="Calibri"/>
                <w:b/>
                <w:bCs/>
                <w:color w:val="000000"/>
                <w:sz w:val="20"/>
                <w:szCs w:val="20"/>
                <w:lang w:eastAsia="it-IT"/>
              </w:rPr>
            </w:pPr>
            <w:r w:rsidRPr="00303E69">
              <w:rPr>
                <w:rFonts w:ascii="Calibri" w:eastAsia="Times New Roman" w:hAnsi="Calibri" w:cs="Calibri"/>
                <w:b/>
                <w:bCs/>
                <w:color w:val="000000"/>
                <w:sz w:val="20"/>
                <w:szCs w:val="20"/>
                <w:lang w:eastAsia="it-IT"/>
              </w:rPr>
              <w:t>ASSUNZIONE LAVORATORE</w:t>
            </w:r>
          </w:p>
        </w:tc>
        <w:tc>
          <w:tcPr>
            <w:tcW w:w="883" w:type="pct"/>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9E35BE" w:rsidRPr="00303E69" w:rsidRDefault="009E35BE" w:rsidP="00832031">
            <w:pPr>
              <w:spacing w:after="0" w:line="240" w:lineRule="auto"/>
              <w:jc w:val="center"/>
              <w:rPr>
                <w:rFonts w:ascii="Calibri" w:eastAsia="Times New Roman" w:hAnsi="Calibri" w:cs="Calibri"/>
                <w:b/>
                <w:bCs/>
                <w:color w:val="000000"/>
                <w:sz w:val="20"/>
                <w:szCs w:val="20"/>
                <w:lang w:eastAsia="it-IT"/>
              </w:rPr>
            </w:pPr>
            <w:r w:rsidRPr="00303E69">
              <w:rPr>
                <w:rFonts w:ascii="Calibri" w:eastAsia="Times New Roman" w:hAnsi="Calibri" w:cs="Calibri"/>
                <w:b/>
                <w:bCs/>
                <w:color w:val="000000"/>
                <w:sz w:val="20"/>
                <w:szCs w:val="20"/>
                <w:lang w:eastAsia="it-IT"/>
              </w:rPr>
              <w:t>CESSAZIONE RAPPORTO DI LAVORO</w:t>
            </w:r>
          </w:p>
        </w:tc>
        <w:tc>
          <w:tcPr>
            <w:tcW w:w="883" w:type="pct"/>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9E35BE" w:rsidRPr="00303E69" w:rsidRDefault="009E35BE" w:rsidP="00832031">
            <w:pPr>
              <w:spacing w:after="0" w:line="240" w:lineRule="auto"/>
              <w:jc w:val="center"/>
              <w:rPr>
                <w:rFonts w:ascii="Calibri" w:eastAsia="Times New Roman" w:hAnsi="Calibri" w:cs="Calibri"/>
                <w:b/>
                <w:bCs/>
                <w:color w:val="000000"/>
                <w:sz w:val="20"/>
                <w:szCs w:val="20"/>
                <w:lang w:eastAsia="it-IT"/>
              </w:rPr>
            </w:pPr>
            <w:r w:rsidRPr="00303E69">
              <w:rPr>
                <w:rFonts w:ascii="Calibri" w:eastAsia="Times New Roman" w:hAnsi="Calibri" w:cs="Calibri"/>
                <w:b/>
                <w:bCs/>
                <w:color w:val="000000"/>
                <w:sz w:val="20"/>
                <w:szCs w:val="20"/>
                <w:lang w:eastAsia="it-IT"/>
              </w:rPr>
              <w:t>PROROGA RAPPORTO DI LAVORO</w:t>
            </w:r>
          </w:p>
        </w:tc>
        <w:tc>
          <w:tcPr>
            <w:tcW w:w="883" w:type="pct"/>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9E35BE" w:rsidRPr="00303E69" w:rsidRDefault="009E35BE" w:rsidP="00832031">
            <w:pPr>
              <w:spacing w:after="0" w:line="240" w:lineRule="auto"/>
              <w:jc w:val="center"/>
              <w:rPr>
                <w:rFonts w:ascii="Calibri" w:eastAsia="Times New Roman" w:hAnsi="Calibri" w:cs="Calibri"/>
                <w:b/>
                <w:bCs/>
                <w:color w:val="000000"/>
                <w:sz w:val="20"/>
                <w:szCs w:val="20"/>
                <w:lang w:eastAsia="it-IT"/>
              </w:rPr>
            </w:pPr>
            <w:r w:rsidRPr="00303E69">
              <w:rPr>
                <w:rFonts w:ascii="Calibri" w:eastAsia="Times New Roman" w:hAnsi="Calibri" w:cs="Calibri"/>
                <w:b/>
                <w:bCs/>
                <w:color w:val="000000"/>
                <w:sz w:val="20"/>
                <w:szCs w:val="20"/>
                <w:lang w:eastAsia="it-IT"/>
              </w:rPr>
              <w:t>TRASFORMAZIONE RAPPORTO DI LAVORO</w:t>
            </w:r>
          </w:p>
        </w:tc>
        <w:tc>
          <w:tcPr>
            <w:tcW w:w="955" w:type="pct"/>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9E35BE" w:rsidRPr="00303E69" w:rsidRDefault="009E35BE" w:rsidP="00832031">
            <w:pPr>
              <w:spacing w:after="0" w:line="240" w:lineRule="auto"/>
              <w:jc w:val="center"/>
              <w:rPr>
                <w:rFonts w:ascii="Calibri" w:eastAsia="Times New Roman" w:hAnsi="Calibri" w:cs="Calibri"/>
                <w:b/>
                <w:bCs/>
                <w:color w:val="000000"/>
                <w:sz w:val="20"/>
                <w:szCs w:val="20"/>
                <w:lang w:eastAsia="it-IT"/>
              </w:rPr>
            </w:pPr>
            <w:r w:rsidRPr="00303E69">
              <w:rPr>
                <w:rFonts w:ascii="Calibri" w:eastAsia="Times New Roman" w:hAnsi="Calibri" w:cs="Calibri"/>
                <w:b/>
                <w:bCs/>
                <w:color w:val="000000"/>
                <w:sz w:val="20"/>
                <w:szCs w:val="20"/>
                <w:lang w:eastAsia="it-IT"/>
              </w:rPr>
              <w:t>Saldo avviamenti e cessazioni</w:t>
            </w:r>
          </w:p>
        </w:tc>
      </w:tr>
      <w:tr w:rsidR="009E35BE" w:rsidRPr="00303E69" w:rsidTr="00832031">
        <w:tc>
          <w:tcPr>
            <w:tcW w:w="514" w:type="pct"/>
            <w:tcBorders>
              <w:top w:val="single" w:sz="4" w:space="0" w:color="auto"/>
              <w:left w:val="single" w:sz="4" w:space="0" w:color="auto"/>
              <w:bottom w:val="single" w:sz="4" w:space="0" w:color="auto"/>
              <w:right w:val="single" w:sz="4" w:space="0" w:color="auto"/>
            </w:tcBorders>
            <w:noWrap/>
            <w:vAlign w:val="bottom"/>
            <w:hideMark/>
          </w:tcPr>
          <w:p w:rsidR="009E35BE" w:rsidRPr="005F1957" w:rsidRDefault="009E35BE" w:rsidP="00832031">
            <w:pPr>
              <w:spacing w:after="0" w:line="240" w:lineRule="auto"/>
              <w:jc w:val="center"/>
              <w:rPr>
                <w:rFonts w:ascii="Calibri" w:eastAsia="Times New Roman" w:hAnsi="Calibri" w:cs="Calibri"/>
                <w:color w:val="000000"/>
                <w:sz w:val="20"/>
                <w:szCs w:val="20"/>
                <w:lang w:eastAsia="it-IT"/>
              </w:rPr>
            </w:pPr>
            <w:r w:rsidRPr="005F1957">
              <w:rPr>
                <w:rFonts w:ascii="Calibri" w:eastAsia="Times New Roman" w:hAnsi="Calibri" w:cs="Calibri"/>
                <w:color w:val="000000"/>
                <w:sz w:val="20"/>
                <w:szCs w:val="20"/>
                <w:lang w:eastAsia="it-IT"/>
              </w:rPr>
              <w:t>2011</w:t>
            </w:r>
          </w:p>
        </w:tc>
        <w:tc>
          <w:tcPr>
            <w:tcW w:w="883" w:type="pct"/>
            <w:tcBorders>
              <w:top w:val="single" w:sz="4" w:space="0" w:color="auto"/>
              <w:left w:val="single" w:sz="4" w:space="0" w:color="auto"/>
              <w:bottom w:val="single" w:sz="4" w:space="0" w:color="auto"/>
              <w:right w:val="single" w:sz="4" w:space="0" w:color="auto"/>
            </w:tcBorders>
            <w:noWrap/>
            <w:vAlign w:val="bottom"/>
            <w:hideMark/>
          </w:tcPr>
          <w:p w:rsidR="009E35BE" w:rsidRPr="00501E8F" w:rsidRDefault="009E35BE" w:rsidP="00832031">
            <w:pPr>
              <w:spacing w:after="0"/>
              <w:jc w:val="right"/>
              <w:rPr>
                <w:rFonts w:ascii="Calibri" w:hAnsi="Calibri" w:cs="Calibri"/>
                <w:color w:val="000000"/>
                <w:sz w:val="20"/>
                <w:szCs w:val="20"/>
              </w:rPr>
            </w:pPr>
            <w:r w:rsidRPr="00501E8F">
              <w:rPr>
                <w:rFonts w:ascii="Calibri" w:hAnsi="Calibri" w:cs="Calibri"/>
                <w:color w:val="000000"/>
                <w:sz w:val="20"/>
                <w:szCs w:val="20"/>
              </w:rPr>
              <w:t xml:space="preserve"> 60 </w:t>
            </w:r>
          </w:p>
        </w:tc>
        <w:tc>
          <w:tcPr>
            <w:tcW w:w="883" w:type="pct"/>
            <w:tcBorders>
              <w:top w:val="single" w:sz="4" w:space="0" w:color="auto"/>
              <w:left w:val="single" w:sz="4" w:space="0" w:color="auto"/>
              <w:bottom w:val="single" w:sz="4" w:space="0" w:color="auto"/>
              <w:right w:val="single" w:sz="4" w:space="0" w:color="auto"/>
            </w:tcBorders>
            <w:noWrap/>
            <w:vAlign w:val="bottom"/>
            <w:hideMark/>
          </w:tcPr>
          <w:p w:rsidR="009E35BE" w:rsidRPr="00501E8F" w:rsidRDefault="009E35BE" w:rsidP="00832031">
            <w:pPr>
              <w:spacing w:after="0"/>
              <w:jc w:val="right"/>
              <w:rPr>
                <w:rFonts w:ascii="Calibri" w:hAnsi="Calibri" w:cs="Calibri"/>
                <w:color w:val="000000"/>
                <w:sz w:val="20"/>
                <w:szCs w:val="20"/>
              </w:rPr>
            </w:pPr>
            <w:r w:rsidRPr="00501E8F">
              <w:rPr>
                <w:rFonts w:ascii="Calibri" w:hAnsi="Calibri" w:cs="Calibri"/>
                <w:color w:val="000000"/>
                <w:sz w:val="20"/>
                <w:szCs w:val="20"/>
              </w:rPr>
              <w:t xml:space="preserve"> 46 </w:t>
            </w:r>
          </w:p>
        </w:tc>
        <w:tc>
          <w:tcPr>
            <w:tcW w:w="883" w:type="pct"/>
            <w:tcBorders>
              <w:top w:val="single" w:sz="4" w:space="0" w:color="auto"/>
              <w:left w:val="single" w:sz="4" w:space="0" w:color="auto"/>
              <w:bottom w:val="single" w:sz="4" w:space="0" w:color="auto"/>
              <w:right w:val="single" w:sz="4" w:space="0" w:color="auto"/>
            </w:tcBorders>
            <w:noWrap/>
            <w:vAlign w:val="bottom"/>
            <w:hideMark/>
          </w:tcPr>
          <w:p w:rsidR="009E35BE" w:rsidRPr="00501E8F" w:rsidRDefault="009E35BE" w:rsidP="00832031">
            <w:pPr>
              <w:spacing w:after="0"/>
              <w:jc w:val="right"/>
              <w:rPr>
                <w:rFonts w:ascii="Calibri" w:hAnsi="Calibri" w:cs="Calibri"/>
                <w:color w:val="000000"/>
                <w:sz w:val="20"/>
                <w:szCs w:val="20"/>
              </w:rPr>
            </w:pPr>
            <w:r w:rsidRPr="00501E8F">
              <w:rPr>
                <w:rFonts w:ascii="Calibri" w:hAnsi="Calibri" w:cs="Calibri"/>
                <w:color w:val="000000"/>
                <w:sz w:val="20"/>
                <w:szCs w:val="20"/>
              </w:rPr>
              <w:t xml:space="preserve"> 12 </w:t>
            </w:r>
          </w:p>
        </w:tc>
        <w:tc>
          <w:tcPr>
            <w:tcW w:w="883" w:type="pct"/>
            <w:tcBorders>
              <w:top w:val="single" w:sz="4" w:space="0" w:color="auto"/>
              <w:left w:val="single" w:sz="4" w:space="0" w:color="auto"/>
              <w:bottom w:val="single" w:sz="4" w:space="0" w:color="auto"/>
              <w:right w:val="single" w:sz="4" w:space="0" w:color="auto"/>
            </w:tcBorders>
            <w:noWrap/>
            <w:vAlign w:val="bottom"/>
            <w:hideMark/>
          </w:tcPr>
          <w:p w:rsidR="009E35BE" w:rsidRPr="00501E8F" w:rsidRDefault="009E35BE" w:rsidP="00832031">
            <w:pPr>
              <w:spacing w:after="0"/>
              <w:jc w:val="right"/>
              <w:rPr>
                <w:rFonts w:ascii="Calibri" w:hAnsi="Calibri" w:cs="Calibri"/>
                <w:color w:val="000000"/>
                <w:sz w:val="20"/>
                <w:szCs w:val="20"/>
              </w:rPr>
            </w:pPr>
            <w:r w:rsidRPr="00501E8F">
              <w:rPr>
                <w:rFonts w:ascii="Calibri" w:hAnsi="Calibri" w:cs="Calibri"/>
                <w:color w:val="000000"/>
                <w:sz w:val="20"/>
                <w:szCs w:val="20"/>
              </w:rPr>
              <w:t xml:space="preserve"> 17 </w:t>
            </w:r>
          </w:p>
        </w:tc>
        <w:tc>
          <w:tcPr>
            <w:tcW w:w="955" w:type="pct"/>
            <w:tcBorders>
              <w:top w:val="single" w:sz="4" w:space="0" w:color="auto"/>
              <w:left w:val="single" w:sz="4" w:space="0" w:color="auto"/>
              <w:bottom w:val="single" w:sz="4" w:space="0" w:color="auto"/>
              <w:right w:val="single" w:sz="4" w:space="0" w:color="auto"/>
            </w:tcBorders>
            <w:noWrap/>
            <w:vAlign w:val="bottom"/>
            <w:hideMark/>
          </w:tcPr>
          <w:p w:rsidR="009E35BE" w:rsidRPr="00501E8F" w:rsidRDefault="009E35BE" w:rsidP="00832031">
            <w:pPr>
              <w:spacing w:after="0"/>
              <w:jc w:val="right"/>
              <w:rPr>
                <w:rFonts w:ascii="Calibri" w:hAnsi="Calibri" w:cs="Calibri"/>
                <w:color w:val="000000"/>
                <w:sz w:val="20"/>
                <w:szCs w:val="20"/>
              </w:rPr>
            </w:pPr>
            <w:r w:rsidRPr="00501E8F">
              <w:rPr>
                <w:rFonts w:ascii="Calibri" w:hAnsi="Calibri" w:cs="Calibri"/>
                <w:color w:val="000000"/>
                <w:sz w:val="20"/>
                <w:szCs w:val="20"/>
              </w:rPr>
              <w:t xml:space="preserve"> 14 </w:t>
            </w:r>
          </w:p>
        </w:tc>
      </w:tr>
      <w:tr w:rsidR="009E35BE" w:rsidRPr="00303E69" w:rsidTr="00832031">
        <w:tc>
          <w:tcPr>
            <w:tcW w:w="514" w:type="pct"/>
            <w:tcBorders>
              <w:top w:val="single" w:sz="4" w:space="0" w:color="auto"/>
              <w:left w:val="single" w:sz="4" w:space="0" w:color="auto"/>
              <w:bottom w:val="single" w:sz="4" w:space="0" w:color="auto"/>
              <w:right w:val="single" w:sz="4" w:space="0" w:color="auto"/>
            </w:tcBorders>
            <w:noWrap/>
            <w:vAlign w:val="bottom"/>
            <w:hideMark/>
          </w:tcPr>
          <w:p w:rsidR="009E35BE" w:rsidRPr="005F1957" w:rsidRDefault="009E35BE" w:rsidP="00832031">
            <w:pPr>
              <w:spacing w:after="0" w:line="240" w:lineRule="auto"/>
              <w:jc w:val="center"/>
              <w:rPr>
                <w:rFonts w:ascii="Calibri" w:eastAsia="Times New Roman" w:hAnsi="Calibri" w:cs="Calibri"/>
                <w:color w:val="000000"/>
                <w:sz w:val="20"/>
                <w:szCs w:val="20"/>
                <w:lang w:eastAsia="it-IT"/>
              </w:rPr>
            </w:pPr>
            <w:r w:rsidRPr="005F1957">
              <w:rPr>
                <w:rFonts w:ascii="Calibri" w:eastAsia="Times New Roman" w:hAnsi="Calibri" w:cs="Calibri"/>
                <w:color w:val="000000"/>
                <w:sz w:val="20"/>
                <w:szCs w:val="20"/>
                <w:lang w:eastAsia="it-IT"/>
              </w:rPr>
              <w:t>2012</w:t>
            </w:r>
          </w:p>
        </w:tc>
        <w:tc>
          <w:tcPr>
            <w:tcW w:w="883" w:type="pct"/>
            <w:tcBorders>
              <w:top w:val="single" w:sz="4" w:space="0" w:color="auto"/>
              <w:left w:val="single" w:sz="4" w:space="0" w:color="auto"/>
              <w:bottom w:val="single" w:sz="4" w:space="0" w:color="auto"/>
              <w:right w:val="single" w:sz="4" w:space="0" w:color="auto"/>
            </w:tcBorders>
            <w:noWrap/>
            <w:vAlign w:val="bottom"/>
            <w:hideMark/>
          </w:tcPr>
          <w:p w:rsidR="009E35BE" w:rsidRPr="00501E8F" w:rsidRDefault="009E35BE" w:rsidP="00832031">
            <w:pPr>
              <w:spacing w:after="0"/>
              <w:jc w:val="right"/>
              <w:rPr>
                <w:rFonts w:ascii="Calibri" w:hAnsi="Calibri" w:cs="Calibri"/>
                <w:color w:val="000000"/>
                <w:sz w:val="20"/>
                <w:szCs w:val="20"/>
              </w:rPr>
            </w:pPr>
            <w:r w:rsidRPr="00501E8F">
              <w:rPr>
                <w:rFonts w:ascii="Calibri" w:hAnsi="Calibri" w:cs="Calibri"/>
                <w:color w:val="000000"/>
                <w:sz w:val="20"/>
                <w:szCs w:val="20"/>
              </w:rPr>
              <w:t xml:space="preserve"> 69 </w:t>
            </w:r>
          </w:p>
        </w:tc>
        <w:tc>
          <w:tcPr>
            <w:tcW w:w="883" w:type="pct"/>
            <w:tcBorders>
              <w:top w:val="single" w:sz="4" w:space="0" w:color="auto"/>
              <w:left w:val="single" w:sz="4" w:space="0" w:color="auto"/>
              <w:bottom w:val="single" w:sz="4" w:space="0" w:color="auto"/>
              <w:right w:val="single" w:sz="4" w:space="0" w:color="auto"/>
            </w:tcBorders>
            <w:noWrap/>
            <w:vAlign w:val="bottom"/>
            <w:hideMark/>
          </w:tcPr>
          <w:p w:rsidR="009E35BE" w:rsidRPr="00501E8F" w:rsidRDefault="009E35BE" w:rsidP="00832031">
            <w:pPr>
              <w:spacing w:after="0"/>
              <w:jc w:val="right"/>
              <w:rPr>
                <w:rFonts w:ascii="Calibri" w:hAnsi="Calibri" w:cs="Calibri"/>
                <w:color w:val="000000"/>
                <w:sz w:val="20"/>
                <w:szCs w:val="20"/>
              </w:rPr>
            </w:pPr>
            <w:r w:rsidRPr="00501E8F">
              <w:rPr>
                <w:rFonts w:ascii="Calibri" w:hAnsi="Calibri" w:cs="Calibri"/>
                <w:color w:val="000000"/>
                <w:sz w:val="20"/>
                <w:szCs w:val="20"/>
              </w:rPr>
              <w:t xml:space="preserve"> 61 </w:t>
            </w:r>
          </w:p>
        </w:tc>
        <w:tc>
          <w:tcPr>
            <w:tcW w:w="883" w:type="pct"/>
            <w:tcBorders>
              <w:top w:val="single" w:sz="4" w:space="0" w:color="auto"/>
              <w:left w:val="single" w:sz="4" w:space="0" w:color="auto"/>
              <w:bottom w:val="single" w:sz="4" w:space="0" w:color="auto"/>
              <w:right w:val="single" w:sz="4" w:space="0" w:color="auto"/>
            </w:tcBorders>
            <w:noWrap/>
            <w:vAlign w:val="bottom"/>
            <w:hideMark/>
          </w:tcPr>
          <w:p w:rsidR="009E35BE" w:rsidRPr="00501E8F" w:rsidRDefault="009E35BE" w:rsidP="00832031">
            <w:pPr>
              <w:spacing w:after="0"/>
              <w:jc w:val="right"/>
              <w:rPr>
                <w:rFonts w:ascii="Calibri" w:hAnsi="Calibri" w:cs="Calibri"/>
                <w:color w:val="000000"/>
                <w:sz w:val="20"/>
                <w:szCs w:val="20"/>
              </w:rPr>
            </w:pPr>
            <w:r w:rsidRPr="00501E8F">
              <w:rPr>
                <w:rFonts w:ascii="Calibri" w:hAnsi="Calibri" w:cs="Calibri"/>
                <w:color w:val="000000"/>
                <w:sz w:val="20"/>
                <w:szCs w:val="20"/>
              </w:rPr>
              <w:t xml:space="preserve"> 13 </w:t>
            </w:r>
          </w:p>
        </w:tc>
        <w:tc>
          <w:tcPr>
            <w:tcW w:w="883" w:type="pct"/>
            <w:tcBorders>
              <w:top w:val="single" w:sz="4" w:space="0" w:color="auto"/>
              <w:left w:val="single" w:sz="4" w:space="0" w:color="auto"/>
              <w:bottom w:val="single" w:sz="4" w:space="0" w:color="auto"/>
              <w:right w:val="single" w:sz="4" w:space="0" w:color="auto"/>
            </w:tcBorders>
            <w:noWrap/>
            <w:vAlign w:val="bottom"/>
            <w:hideMark/>
          </w:tcPr>
          <w:p w:rsidR="009E35BE" w:rsidRPr="00501E8F" w:rsidRDefault="009E35BE" w:rsidP="00832031">
            <w:pPr>
              <w:spacing w:after="0"/>
              <w:jc w:val="right"/>
              <w:rPr>
                <w:rFonts w:ascii="Calibri" w:hAnsi="Calibri" w:cs="Calibri"/>
                <w:color w:val="000000"/>
                <w:sz w:val="20"/>
                <w:szCs w:val="20"/>
              </w:rPr>
            </w:pPr>
            <w:r w:rsidRPr="00501E8F">
              <w:rPr>
                <w:rFonts w:ascii="Calibri" w:hAnsi="Calibri" w:cs="Calibri"/>
                <w:color w:val="000000"/>
                <w:sz w:val="20"/>
                <w:szCs w:val="20"/>
              </w:rPr>
              <w:t xml:space="preserve"> 19 </w:t>
            </w:r>
          </w:p>
        </w:tc>
        <w:tc>
          <w:tcPr>
            <w:tcW w:w="955" w:type="pct"/>
            <w:tcBorders>
              <w:top w:val="single" w:sz="4" w:space="0" w:color="auto"/>
              <w:left w:val="single" w:sz="4" w:space="0" w:color="auto"/>
              <w:bottom w:val="single" w:sz="4" w:space="0" w:color="auto"/>
              <w:right w:val="single" w:sz="4" w:space="0" w:color="auto"/>
            </w:tcBorders>
            <w:noWrap/>
            <w:vAlign w:val="bottom"/>
            <w:hideMark/>
          </w:tcPr>
          <w:p w:rsidR="009E35BE" w:rsidRPr="00501E8F" w:rsidRDefault="009E35BE" w:rsidP="00832031">
            <w:pPr>
              <w:spacing w:after="0"/>
              <w:jc w:val="right"/>
              <w:rPr>
                <w:rFonts w:ascii="Calibri" w:hAnsi="Calibri" w:cs="Calibri"/>
                <w:color w:val="000000"/>
                <w:sz w:val="20"/>
                <w:szCs w:val="20"/>
              </w:rPr>
            </w:pPr>
            <w:r w:rsidRPr="00501E8F">
              <w:rPr>
                <w:rFonts w:ascii="Calibri" w:hAnsi="Calibri" w:cs="Calibri"/>
                <w:color w:val="000000"/>
                <w:sz w:val="20"/>
                <w:szCs w:val="20"/>
              </w:rPr>
              <w:t xml:space="preserve"> 8 </w:t>
            </w:r>
          </w:p>
        </w:tc>
      </w:tr>
      <w:tr w:rsidR="009E35BE" w:rsidRPr="00303E69" w:rsidTr="00832031">
        <w:tc>
          <w:tcPr>
            <w:tcW w:w="514" w:type="pct"/>
            <w:tcBorders>
              <w:top w:val="single" w:sz="4" w:space="0" w:color="auto"/>
              <w:left w:val="single" w:sz="4" w:space="0" w:color="auto"/>
              <w:bottom w:val="single" w:sz="4" w:space="0" w:color="auto"/>
              <w:right w:val="single" w:sz="4" w:space="0" w:color="auto"/>
            </w:tcBorders>
            <w:noWrap/>
            <w:vAlign w:val="bottom"/>
            <w:hideMark/>
          </w:tcPr>
          <w:p w:rsidR="009E35BE" w:rsidRPr="005F1957" w:rsidRDefault="009E35BE" w:rsidP="00832031">
            <w:pPr>
              <w:spacing w:after="0" w:line="240" w:lineRule="auto"/>
              <w:jc w:val="center"/>
              <w:rPr>
                <w:rFonts w:ascii="Calibri" w:eastAsia="Times New Roman" w:hAnsi="Calibri" w:cs="Calibri"/>
                <w:color w:val="000000"/>
                <w:sz w:val="20"/>
                <w:szCs w:val="20"/>
                <w:lang w:eastAsia="it-IT"/>
              </w:rPr>
            </w:pPr>
            <w:r w:rsidRPr="005F1957">
              <w:rPr>
                <w:rFonts w:ascii="Calibri" w:eastAsia="Times New Roman" w:hAnsi="Calibri" w:cs="Calibri"/>
                <w:color w:val="000000"/>
                <w:sz w:val="20"/>
                <w:szCs w:val="20"/>
                <w:lang w:eastAsia="it-IT"/>
              </w:rPr>
              <w:t>2013</w:t>
            </w:r>
          </w:p>
        </w:tc>
        <w:tc>
          <w:tcPr>
            <w:tcW w:w="883" w:type="pct"/>
            <w:tcBorders>
              <w:top w:val="single" w:sz="4" w:space="0" w:color="auto"/>
              <w:left w:val="single" w:sz="4" w:space="0" w:color="auto"/>
              <w:bottom w:val="single" w:sz="4" w:space="0" w:color="auto"/>
              <w:right w:val="single" w:sz="4" w:space="0" w:color="auto"/>
            </w:tcBorders>
            <w:noWrap/>
            <w:vAlign w:val="bottom"/>
            <w:hideMark/>
          </w:tcPr>
          <w:p w:rsidR="009E35BE" w:rsidRPr="00501E8F" w:rsidRDefault="009E35BE" w:rsidP="00832031">
            <w:pPr>
              <w:spacing w:after="0"/>
              <w:jc w:val="right"/>
              <w:rPr>
                <w:rFonts w:ascii="Calibri" w:hAnsi="Calibri" w:cs="Calibri"/>
                <w:color w:val="000000"/>
                <w:sz w:val="20"/>
                <w:szCs w:val="20"/>
              </w:rPr>
            </w:pPr>
            <w:r w:rsidRPr="00501E8F">
              <w:rPr>
                <w:rFonts w:ascii="Calibri" w:hAnsi="Calibri" w:cs="Calibri"/>
                <w:color w:val="000000"/>
                <w:sz w:val="20"/>
                <w:szCs w:val="20"/>
              </w:rPr>
              <w:t xml:space="preserve"> 125 </w:t>
            </w:r>
          </w:p>
        </w:tc>
        <w:tc>
          <w:tcPr>
            <w:tcW w:w="883" w:type="pct"/>
            <w:tcBorders>
              <w:top w:val="single" w:sz="4" w:space="0" w:color="auto"/>
              <w:left w:val="single" w:sz="4" w:space="0" w:color="auto"/>
              <w:bottom w:val="single" w:sz="4" w:space="0" w:color="auto"/>
              <w:right w:val="single" w:sz="4" w:space="0" w:color="auto"/>
            </w:tcBorders>
            <w:noWrap/>
            <w:vAlign w:val="bottom"/>
            <w:hideMark/>
          </w:tcPr>
          <w:p w:rsidR="009E35BE" w:rsidRPr="00501E8F" w:rsidRDefault="009E35BE" w:rsidP="00832031">
            <w:pPr>
              <w:spacing w:after="0"/>
              <w:jc w:val="right"/>
              <w:rPr>
                <w:rFonts w:ascii="Calibri" w:hAnsi="Calibri" w:cs="Calibri"/>
                <w:color w:val="000000"/>
                <w:sz w:val="20"/>
                <w:szCs w:val="20"/>
              </w:rPr>
            </w:pPr>
            <w:r w:rsidRPr="00501E8F">
              <w:rPr>
                <w:rFonts w:ascii="Calibri" w:hAnsi="Calibri" w:cs="Calibri"/>
                <w:color w:val="000000"/>
                <w:sz w:val="20"/>
                <w:szCs w:val="20"/>
              </w:rPr>
              <w:t xml:space="preserve"> 77 </w:t>
            </w:r>
          </w:p>
        </w:tc>
        <w:tc>
          <w:tcPr>
            <w:tcW w:w="883" w:type="pct"/>
            <w:tcBorders>
              <w:top w:val="single" w:sz="4" w:space="0" w:color="auto"/>
              <w:left w:val="single" w:sz="4" w:space="0" w:color="auto"/>
              <w:bottom w:val="single" w:sz="4" w:space="0" w:color="auto"/>
              <w:right w:val="single" w:sz="4" w:space="0" w:color="auto"/>
            </w:tcBorders>
            <w:noWrap/>
            <w:vAlign w:val="bottom"/>
            <w:hideMark/>
          </w:tcPr>
          <w:p w:rsidR="009E35BE" w:rsidRPr="00501E8F" w:rsidRDefault="009E35BE" w:rsidP="00832031">
            <w:pPr>
              <w:spacing w:after="0"/>
              <w:jc w:val="right"/>
              <w:rPr>
                <w:rFonts w:ascii="Calibri" w:hAnsi="Calibri" w:cs="Calibri"/>
                <w:color w:val="000000"/>
                <w:sz w:val="20"/>
                <w:szCs w:val="20"/>
              </w:rPr>
            </w:pPr>
            <w:r w:rsidRPr="00501E8F">
              <w:rPr>
                <w:rFonts w:ascii="Calibri" w:hAnsi="Calibri" w:cs="Calibri"/>
                <w:color w:val="000000"/>
                <w:sz w:val="20"/>
                <w:szCs w:val="20"/>
              </w:rPr>
              <w:t xml:space="preserve"> 14 </w:t>
            </w:r>
          </w:p>
        </w:tc>
        <w:tc>
          <w:tcPr>
            <w:tcW w:w="883" w:type="pct"/>
            <w:tcBorders>
              <w:top w:val="single" w:sz="4" w:space="0" w:color="auto"/>
              <w:left w:val="single" w:sz="4" w:space="0" w:color="auto"/>
              <w:bottom w:val="single" w:sz="4" w:space="0" w:color="auto"/>
              <w:right w:val="single" w:sz="4" w:space="0" w:color="auto"/>
            </w:tcBorders>
            <w:noWrap/>
            <w:vAlign w:val="bottom"/>
            <w:hideMark/>
          </w:tcPr>
          <w:p w:rsidR="009E35BE" w:rsidRPr="00501E8F" w:rsidRDefault="009E35BE" w:rsidP="00832031">
            <w:pPr>
              <w:spacing w:after="0"/>
              <w:jc w:val="right"/>
              <w:rPr>
                <w:rFonts w:ascii="Calibri" w:hAnsi="Calibri" w:cs="Calibri"/>
                <w:color w:val="000000"/>
                <w:sz w:val="20"/>
                <w:szCs w:val="20"/>
              </w:rPr>
            </w:pPr>
            <w:r w:rsidRPr="00501E8F">
              <w:rPr>
                <w:rFonts w:ascii="Calibri" w:hAnsi="Calibri" w:cs="Calibri"/>
                <w:color w:val="000000"/>
                <w:sz w:val="20"/>
                <w:szCs w:val="20"/>
              </w:rPr>
              <w:t xml:space="preserve"> 21 </w:t>
            </w:r>
          </w:p>
        </w:tc>
        <w:tc>
          <w:tcPr>
            <w:tcW w:w="955" w:type="pct"/>
            <w:tcBorders>
              <w:top w:val="single" w:sz="4" w:space="0" w:color="auto"/>
              <w:left w:val="single" w:sz="4" w:space="0" w:color="auto"/>
              <w:bottom w:val="single" w:sz="4" w:space="0" w:color="auto"/>
              <w:right w:val="single" w:sz="4" w:space="0" w:color="auto"/>
            </w:tcBorders>
            <w:noWrap/>
            <w:vAlign w:val="bottom"/>
            <w:hideMark/>
          </w:tcPr>
          <w:p w:rsidR="009E35BE" w:rsidRPr="00501E8F" w:rsidRDefault="009E35BE" w:rsidP="00832031">
            <w:pPr>
              <w:spacing w:after="0"/>
              <w:jc w:val="right"/>
              <w:rPr>
                <w:rFonts w:ascii="Calibri" w:hAnsi="Calibri" w:cs="Calibri"/>
                <w:color w:val="000000"/>
                <w:sz w:val="20"/>
                <w:szCs w:val="20"/>
              </w:rPr>
            </w:pPr>
            <w:r w:rsidRPr="00501E8F">
              <w:rPr>
                <w:rFonts w:ascii="Calibri" w:hAnsi="Calibri" w:cs="Calibri"/>
                <w:color w:val="000000"/>
                <w:sz w:val="20"/>
                <w:szCs w:val="20"/>
              </w:rPr>
              <w:t xml:space="preserve"> 48 </w:t>
            </w:r>
          </w:p>
        </w:tc>
      </w:tr>
      <w:tr w:rsidR="009E35BE" w:rsidRPr="00303E69" w:rsidTr="00832031">
        <w:tc>
          <w:tcPr>
            <w:tcW w:w="514" w:type="pct"/>
            <w:tcBorders>
              <w:top w:val="single" w:sz="4" w:space="0" w:color="auto"/>
              <w:left w:val="single" w:sz="4" w:space="0" w:color="auto"/>
              <w:bottom w:val="single" w:sz="4" w:space="0" w:color="auto"/>
              <w:right w:val="single" w:sz="4" w:space="0" w:color="auto"/>
            </w:tcBorders>
            <w:noWrap/>
            <w:vAlign w:val="bottom"/>
            <w:hideMark/>
          </w:tcPr>
          <w:p w:rsidR="009E35BE" w:rsidRPr="005F1957" w:rsidRDefault="009E35BE" w:rsidP="00832031">
            <w:pPr>
              <w:spacing w:after="0" w:line="240" w:lineRule="auto"/>
              <w:jc w:val="center"/>
              <w:rPr>
                <w:rFonts w:ascii="Calibri" w:eastAsia="Times New Roman" w:hAnsi="Calibri" w:cs="Calibri"/>
                <w:color w:val="000000"/>
                <w:sz w:val="20"/>
                <w:szCs w:val="20"/>
                <w:lang w:eastAsia="it-IT"/>
              </w:rPr>
            </w:pPr>
            <w:r w:rsidRPr="005F1957">
              <w:rPr>
                <w:rFonts w:ascii="Calibri" w:eastAsia="Times New Roman" w:hAnsi="Calibri" w:cs="Calibri"/>
                <w:color w:val="000000"/>
                <w:sz w:val="20"/>
                <w:szCs w:val="20"/>
                <w:lang w:eastAsia="it-IT"/>
              </w:rPr>
              <w:t>2014</w:t>
            </w:r>
          </w:p>
        </w:tc>
        <w:tc>
          <w:tcPr>
            <w:tcW w:w="883" w:type="pct"/>
            <w:tcBorders>
              <w:top w:val="single" w:sz="4" w:space="0" w:color="auto"/>
              <w:left w:val="single" w:sz="4" w:space="0" w:color="auto"/>
              <w:bottom w:val="single" w:sz="4" w:space="0" w:color="auto"/>
              <w:right w:val="single" w:sz="4" w:space="0" w:color="auto"/>
            </w:tcBorders>
            <w:noWrap/>
            <w:vAlign w:val="bottom"/>
            <w:hideMark/>
          </w:tcPr>
          <w:p w:rsidR="009E35BE" w:rsidRPr="00501E8F" w:rsidRDefault="009E35BE" w:rsidP="00832031">
            <w:pPr>
              <w:spacing w:after="0"/>
              <w:jc w:val="right"/>
              <w:rPr>
                <w:rFonts w:ascii="Calibri" w:hAnsi="Calibri" w:cs="Calibri"/>
                <w:color w:val="000000"/>
                <w:sz w:val="20"/>
                <w:szCs w:val="20"/>
              </w:rPr>
            </w:pPr>
            <w:r w:rsidRPr="00501E8F">
              <w:rPr>
                <w:rFonts w:ascii="Calibri" w:hAnsi="Calibri" w:cs="Calibri"/>
                <w:color w:val="000000"/>
                <w:sz w:val="20"/>
                <w:szCs w:val="20"/>
              </w:rPr>
              <w:t xml:space="preserve"> 151 </w:t>
            </w:r>
          </w:p>
        </w:tc>
        <w:tc>
          <w:tcPr>
            <w:tcW w:w="883" w:type="pct"/>
            <w:tcBorders>
              <w:top w:val="single" w:sz="4" w:space="0" w:color="auto"/>
              <w:left w:val="single" w:sz="4" w:space="0" w:color="auto"/>
              <w:bottom w:val="single" w:sz="4" w:space="0" w:color="auto"/>
              <w:right w:val="single" w:sz="4" w:space="0" w:color="auto"/>
            </w:tcBorders>
            <w:noWrap/>
            <w:vAlign w:val="bottom"/>
            <w:hideMark/>
          </w:tcPr>
          <w:p w:rsidR="009E35BE" w:rsidRPr="00501E8F" w:rsidRDefault="009E35BE" w:rsidP="00832031">
            <w:pPr>
              <w:spacing w:after="0"/>
              <w:jc w:val="right"/>
              <w:rPr>
                <w:rFonts w:ascii="Calibri" w:hAnsi="Calibri" w:cs="Calibri"/>
                <w:color w:val="000000"/>
                <w:sz w:val="20"/>
                <w:szCs w:val="20"/>
              </w:rPr>
            </w:pPr>
            <w:r w:rsidRPr="00501E8F">
              <w:rPr>
                <w:rFonts w:ascii="Calibri" w:hAnsi="Calibri" w:cs="Calibri"/>
                <w:color w:val="000000"/>
                <w:sz w:val="20"/>
                <w:szCs w:val="20"/>
              </w:rPr>
              <w:t xml:space="preserve"> 108 </w:t>
            </w:r>
          </w:p>
        </w:tc>
        <w:tc>
          <w:tcPr>
            <w:tcW w:w="883" w:type="pct"/>
            <w:tcBorders>
              <w:top w:val="single" w:sz="4" w:space="0" w:color="auto"/>
              <w:left w:val="single" w:sz="4" w:space="0" w:color="auto"/>
              <w:bottom w:val="single" w:sz="4" w:space="0" w:color="auto"/>
              <w:right w:val="single" w:sz="4" w:space="0" w:color="auto"/>
            </w:tcBorders>
            <w:noWrap/>
            <w:vAlign w:val="bottom"/>
            <w:hideMark/>
          </w:tcPr>
          <w:p w:rsidR="009E35BE" w:rsidRPr="00501E8F" w:rsidRDefault="009E35BE" w:rsidP="00832031">
            <w:pPr>
              <w:spacing w:after="0"/>
              <w:jc w:val="right"/>
              <w:rPr>
                <w:rFonts w:ascii="Calibri" w:hAnsi="Calibri" w:cs="Calibri"/>
                <w:color w:val="000000"/>
                <w:sz w:val="20"/>
                <w:szCs w:val="20"/>
              </w:rPr>
            </w:pPr>
            <w:r w:rsidRPr="00501E8F">
              <w:rPr>
                <w:rFonts w:ascii="Calibri" w:hAnsi="Calibri" w:cs="Calibri"/>
                <w:color w:val="000000"/>
                <w:sz w:val="20"/>
                <w:szCs w:val="20"/>
              </w:rPr>
              <w:t xml:space="preserve"> 33 </w:t>
            </w:r>
          </w:p>
        </w:tc>
        <w:tc>
          <w:tcPr>
            <w:tcW w:w="883" w:type="pct"/>
            <w:tcBorders>
              <w:top w:val="single" w:sz="4" w:space="0" w:color="auto"/>
              <w:left w:val="single" w:sz="4" w:space="0" w:color="auto"/>
              <w:bottom w:val="single" w:sz="4" w:space="0" w:color="auto"/>
              <w:right w:val="single" w:sz="4" w:space="0" w:color="auto"/>
            </w:tcBorders>
            <w:noWrap/>
            <w:vAlign w:val="bottom"/>
            <w:hideMark/>
          </w:tcPr>
          <w:p w:rsidR="009E35BE" w:rsidRPr="00501E8F" w:rsidRDefault="009E35BE" w:rsidP="00832031">
            <w:pPr>
              <w:spacing w:after="0"/>
              <w:jc w:val="right"/>
              <w:rPr>
                <w:rFonts w:ascii="Calibri" w:hAnsi="Calibri" w:cs="Calibri"/>
                <w:color w:val="000000"/>
                <w:sz w:val="20"/>
                <w:szCs w:val="20"/>
              </w:rPr>
            </w:pPr>
            <w:r w:rsidRPr="00501E8F">
              <w:rPr>
                <w:rFonts w:ascii="Calibri" w:hAnsi="Calibri" w:cs="Calibri"/>
                <w:color w:val="000000"/>
                <w:sz w:val="20"/>
                <w:szCs w:val="20"/>
              </w:rPr>
              <w:t xml:space="preserve"> 36 </w:t>
            </w:r>
          </w:p>
        </w:tc>
        <w:tc>
          <w:tcPr>
            <w:tcW w:w="955" w:type="pct"/>
            <w:tcBorders>
              <w:top w:val="single" w:sz="4" w:space="0" w:color="auto"/>
              <w:left w:val="single" w:sz="4" w:space="0" w:color="auto"/>
              <w:bottom w:val="single" w:sz="4" w:space="0" w:color="auto"/>
              <w:right w:val="single" w:sz="4" w:space="0" w:color="auto"/>
            </w:tcBorders>
            <w:noWrap/>
            <w:vAlign w:val="bottom"/>
            <w:hideMark/>
          </w:tcPr>
          <w:p w:rsidR="009E35BE" w:rsidRPr="00501E8F" w:rsidRDefault="009E35BE" w:rsidP="00832031">
            <w:pPr>
              <w:spacing w:after="0"/>
              <w:jc w:val="right"/>
              <w:rPr>
                <w:rFonts w:ascii="Calibri" w:hAnsi="Calibri" w:cs="Calibri"/>
                <w:color w:val="000000"/>
                <w:sz w:val="20"/>
                <w:szCs w:val="20"/>
              </w:rPr>
            </w:pPr>
            <w:r w:rsidRPr="00501E8F">
              <w:rPr>
                <w:rFonts w:ascii="Calibri" w:hAnsi="Calibri" w:cs="Calibri"/>
                <w:color w:val="000000"/>
                <w:sz w:val="20"/>
                <w:szCs w:val="20"/>
              </w:rPr>
              <w:t xml:space="preserve"> 43 </w:t>
            </w:r>
          </w:p>
        </w:tc>
      </w:tr>
      <w:tr w:rsidR="009E35BE" w:rsidRPr="00303E69" w:rsidTr="00832031">
        <w:tc>
          <w:tcPr>
            <w:tcW w:w="514" w:type="pct"/>
            <w:tcBorders>
              <w:top w:val="single" w:sz="4" w:space="0" w:color="auto"/>
              <w:left w:val="single" w:sz="4" w:space="0" w:color="auto"/>
              <w:bottom w:val="single" w:sz="4" w:space="0" w:color="auto"/>
              <w:right w:val="single" w:sz="4" w:space="0" w:color="auto"/>
            </w:tcBorders>
            <w:noWrap/>
            <w:vAlign w:val="bottom"/>
            <w:hideMark/>
          </w:tcPr>
          <w:p w:rsidR="009E35BE" w:rsidRPr="005F1957" w:rsidRDefault="009E35BE" w:rsidP="00832031">
            <w:pPr>
              <w:spacing w:after="0" w:line="240" w:lineRule="auto"/>
              <w:jc w:val="center"/>
              <w:rPr>
                <w:rFonts w:ascii="Calibri" w:eastAsia="Times New Roman" w:hAnsi="Calibri" w:cs="Calibri"/>
                <w:color w:val="000000"/>
                <w:sz w:val="20"/>
                <w:szCs w:val="20"/>
                <w:lang w:eastAsia="it-IT"/>
              </w:rPr>
            </w:pPr>
            <w:r w:rsidRPr="005F1957">
              <w:rPr>
                <w:rFonts w:ascii="Calibri" w:eastAsia="Times New Roman" w:hAnsi="Calibri" w:cs="Calibri"/>
                <w:color w:val="000000"/>
                <w:sz w:val="20"/>
                <w:szCs w:val="20"/>
                <w:lang w:eastAsia="it-IT"/>
              </w:rPr>
              <w:t>2015</w:t>
            </w:r>
          </w:p>
        </w:tc>
        <w:tc>
          <w:tcPr>
            <w:tcW w:w="883" w:type="pct"/>
            <w:tcBorders>
              <w:top w:val="single" w:sz="4" w:space="0" w:color="auto"/>
              <w:left w:val="single" w:sz="4" w:space="0" w:color="auto"/>
              <w:bottom w:val="single" w:sz="4" w:space="0" w:color="auto"/>
              <w:right w:val="single" w:sz="4" w:space="0" w:color="auto"/>
            </w:tcBorders>
            <w:noWrap/>
            <w:vAlign w:val="bottom"/>
            <w:hideMark/>
          </w:tcPr>
          <w:p w:rsidR="009E35BE" w:rsidRPr="00501E8F" w:rsidRDefault="009E35BE" w:rsidP="00832031">
            <w:pPr>
              <w:spacing w:after="0"/>
              <w:jc w:val="right"/>
              <w:rPr>
                <w:rFonts w:ascii="Calibri" w:hAnsi="Calibri" w:cs="Calibri"/>
                <w:color w:val="000000"/>
                <w:sz w:val="20"/>
                <w:szCs w:val="20"/>
              </w:rPr>
            </w:pPr>
            <w:r w:rsidRPr="00501E8F">
              <w:rPr>
                <w:rFonts w:ascii="Calibri" w:hAnsi="Calibri" w:cs="Calibri"/>
                <w:color w:val="000000"/>
                <w:sz w:val="20"/>
                <w:szCs w:val="20"/>
              </w:rPr>
              <w:t xml:space="preserve"> 127 </w:t>
            </w:r>
          </w:p>
        </w:tc>
        <w:tc>
          <w:tcPr>
            <w:tcW w:w="883" w:type="pct"/>
            <w:tcBorders>
              <w:top w:val="single" w:sz="4" w:space="0" w:color="auto"/>
              <w:left w:val="single" w:sz="4" w:space="0" w:color="auto"/>
              <w:bottom w:val="single" w:sz="4" w:space="0" w:color="auto"/>
              <w:right w:val="single" w:sz="4" w:space="0" w:color="auto"/>
            </w:tcBorders>
            <w:noWrap/>
            <w:vAlign w:val="bottom"/>
            <w:hideMark/>
          </w:tcPr>
          <w:p w:rsidR="009E35BE" w:rsidRPr="00501E8F" w:rsidRDefault="009E35BE" w:rsidP="00832031">
            <w:pPr>
              <w:spacing w:after="0"/>
              <w:jc w:val="right"/>
              <w:rPr>
                <w:rFonts w:ascii="Calibri" w:hAnsi="Calibri" w:cs="Calibri"/>
                <w:color w:val="000000"/>
                <w:sz w:val="20"/>
                <w:szCs w:val="20"/>
              </w:rPr>
            </w:pPr>
            <w:r w:rsidRPr="00501E8F">
              <w:rPr>
                <w:rFonts w:ascii="Calibri" w:hAnsi="Calibri" w:cs="Calibri"/>
                <w:color w:val="000000"/>
                <w:sz w:val="20"/>
                <w:szCs w:val="20"/>
              </w:rPr>
              <w:t xml:space="preserve"> 92 </w:t>
            </w:r>
          </w:p>
        </w:tc>
        <w:tc>
          <w:tcPr>
            <w:tcW w:w="883" w:type="pct"/>
            <w:tcBorders>
              <w:top w:val="single" w:sz="4" w:space="0" w:color="auto"/>
              <w:left w:val="single" w:sz="4" w:space="0" w:color="auto"/>
              <w:bottom w:val="single" w:sz="4" w:space="0" w:color="auto"/>
              <w:right w:val="single" w:sz="4" w:space="0" w:color="auto"/>
            </w:tcBorders>
            <w:noWrap/>
            <w:vAlign w:val="bottom"/>
            <w:hideMark/>
          </w:tcPr>
          <w:p w:rsidR="009E35BE" w:rsidRPr="00501E8F" w:rsidRDefault="009E35BE" w:rsidP="00832031">
            <w:pPr>
              <w:spacing w:after="0"/>
              <w:jc w:val="right"/>
              <w:rPr>
                <w:rFonts w:ascii="Calibri" w:hAnsi="Calibri" w:cs="Calibri"/>
                <w:color w:val="000000"/>
                <w:sz w:val="20"/>
                <w:szCs w:val="20"/>
              </w:rPr>
            </w:pPr>
            <w:r w:rsidRPr="00501E8F">
              <w:rPr>
                <w:rFonts w:ascii="Calibri" w:hAnsi="Calibri" w:cs="Calibri"/>
                <w:color w:val="000000"/>
                <w:sz w:val="20"/>
                <w:szCs w:val="20"/>
              </w:rPr>
              <w:t xml:space="preserve"> 35 </w:t>
            </w:r>
          </w:p>
        </w:tc>
        <w:tc>
          <w:tcPr>
            <w:tcW w:w="883" w:type="pct"/>
            <w:tcBorders>
              <w:top w:val="single" w:sz="4" w:space="0" w:color="auto"/>
              <w:left w:val="single" w:sz="4" w:space="0" w:color="auto"/>
              <w:bottom w:val="single" w:sz="4" w:space="0" w:color="auto"/>
              <w:right w:val="single" w:sz="4" w:space="0" w:color="auto"/>
            </w:tcBorders>
            <w:noWrap/>
            <w:vAlign w:val="bottom"/>
            <w:hideMark/>
          </w:tcPr>
          <w:p w:rsidR="009E35BE" w:rsidRPr="00501E8F" w:rsidRDefault="009E35BE" w:rsidP="00832031">
            <w:pPr>
              <w:spacing w:after="0"/>
              <w:jc w:val="right"/>
              <w:rPr>
                <w:rFonts w:ascii="Calibri" w:hAnsi="Calibri" w:cs="Calibri"/>
                <w:color w:val="000000"/>
                <w:sz w:val="20"/>
                <w:szCs w:val="20"/>
              </w:rPr>
            </w:pPr>
            <w:r w:rsidRPr="00501E8F">
              <w:rPr>
                <w:rFonts w:ascii="Calibri" w:hAnsi="Calibri" w:cs="Calibri"/>
                <w:color w:val="000000"/>
                <w:sz w:val="20"/>
                <w:szCs w:val="20"/>
              </w:rPr>
              <w:t xml:space="preserve"> 38 </w:t>
            </w:r>
          </w:p>
        </w:tc>
        <w:tc>
          <w:tcPr>
            <w:tcW w:w="955" w:type="pct"/>
            <w:tcBorders>
              <w:top w:val="single" w:sz="4" w:space="0" w:color="auto"/>
              <w:left w:val="single" w:sz="4" w:space="0" w:color="auto"/>
              <w:bottom w:val="single" w:sz="4" w:space="0" w:color="auto"/>
              <w:right w:val="single" w:sz="4" w:space="0" w:color="auto"/>
            </w:tcBorders>
            <w:noWrap/>
            <w:vAlign w:val="bottom"/>
            <w:hideMark/>
          </w:tcPr>
          <w:p w:rsidR="009E35BE" w:rsidRPr="00501E8F" w:rsidRDefault="009E35BE" w:rsidP="00832031">
            <w:pPr>
              <w:spacing w:after="0"/>
              <w:jc w:val="right"/>
              <w:rPr>
                <w:rFonts w:ascii="Calibri" w:hAnsi="Calibri" w:cs="Calibri"/>
                <w:color w:val="000000"/>
                <w:sz w:val="20"/>
                <w:szCs w:val="20"/>
              </w:rPr>
            </w:pPr>
            <w:r w:rsidRPr="00501E8F">
              <w:rPr>
                <w:rFonts w:ascii="Calibri" w:hAnsi="Calibri" w:cs="Calibri"/>
                <w:color w:val="000000"/>
                <w:sz w:val="20"/>
                <w:szCs w:val="20"/>
              </w:rPr>
              <w:t xml:space="preserve"> 35 </w:t>
            </w:r>
          </w:p>
        </w:tc>
      </w:tr>
      <w:tr w:rsidR="009E35BE" w:rsidRPr="00303E69" w:rsidTr="00832031">
        <w:tc>
          <w:tcPr>
            <w:tcW w:w="514" w:type="pct"/>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9E35BE" w:rsidRPr="005F1957" w:rsidRDefault="009E35BE" w:rsidP="00832031">
            <w:pPr>
              <w:spacing w:after="0" w:line="240" w:lineRule="auto"/>
              <w:jc w:val="center"/>
              <w:rPr>
                <w:rFonts w:ascii="Calibri" w:eastAsia="Times New Roman" w:hAnsi="Calibri" w:cs="Calibri"/>
                <w:b/>
                <w:bCs/>
                <w:color w:val="000000"/>
                <w:sz w:val="20"/>
                <w:szCs w:val="20"/>
                <w:lang w:eastAsia="it-IT"/>
              </w:rPr>
            </w:pPr>
            <w:r w:rsidRPr="005F1957">
              <w:rPr>
                <w:rFonts w:ascii="Calibri" w:eastAsia="Times New Roman" w:hAnsi="Calibri" w:cs="Calibri"/>
                <w:b/>
                <w:bCs/>
                <w:color w:val="000000"/>
                <w:sz w:val="20"/>
                <w:szCs w:val="20"/>
                <w:lang w:eastAsia="it-IT"/>
              </w:rPr>
              <w:t>Totale</w:t>
            </w:r>
          </w:p>
        </w:tc>
        <w:tc>
          <w:tcPr>
            <w:tcW w:w="883" w:type="pct"/>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9E35BE" w:rsidRPr="00501E8F" w:rsidRDefault="009E35BE" w:rsidP="00832031">
            <w:pPr>
              <w:spacing w:after="0"/>
              <w:jc w:val="right"/>
              <w:rPr>
                <w:rFonts w:ascii="Calibri" w:hAnsi="Calibri" w:cs="Calibri"/>
                <w:b/>
                <w:bCs/>
                <w:color w:val="000000"/>
                <w:sz w:val="20"/>
                <w:szCs w:val="20"/>
              </w:rPr>
            </w:pPr>
            <w:r w:rsidRPr="00501E8F">
              <w:rPr>
                <w:rFonts w:ascii="Calibri" w:hAnsi="Calibri" w:cs="Calibri"/>
                <w:b/>
                <w:bCs/>
                <w:color w:val="000000"/>
                <w:sz w:val="20"/>
                <w:szCs w:val="20"/>
              </w:rPr>
              <w:t xml:space="preserve"> 532 </w:t>
            </w:r>
          </w:p>
        </w:tc>
        <w:tc>
          <w:tcPr>
            <w:tcW w:w="883" w:type="pct"/>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9E35BE" w:rsidRPr="00501E8F" w:rsidRDefault="009E35BE" w:rsidP="00832031">
            <w:pPr>
              <w:spacing w:after="0"/>
              <w:jc w:val="right"/>
              <w:rPr>
                <w:rFonts w:ascii="Calibri" w:hAnsi="Calibri" w:cs="Calibri"/>
                <w:b/>
                <w:bCs/>
                <w:color w:val="000000"/>
                <w:sz w:val="20"/>
                <w:szCs w:val="20"/>
              </w:rPr>
            </w:pPr>
            <w:r w:rsidRPr="00501E8F">
              <w:rPr>
                <w:rFonts w:ascii="Calibri" w:hAnsi="Calibri" w:cs="Calibri"/>
                <w:b/>
                <w:bCs/>
                <w:color w:val="000000"/>
                <w:sz w:val="20"/>
                <w:szCs w:val="20"/>
              </w:rPr>
              <w:t xml:space="preserve"> 384 </w:t>
            </w:r>
          </w:p>
        </w:tc>
        <w:tc>
          <w:tcPr>
            <w:tcW w:w="883" w:type="pct"/>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9E35BE" w:rsidRPr="00501E8F" w:rsidRDefault="009E35BE" w:rsidP="00832031">
            <w:pPr>
              <w:spacing w:after="0"/>
              <w:jc w:val="right"/>
              <w:rPr>
                <w:rFonts w:ascii="Calibri" w:hAnsi="Calibri" w:cs="Calibri"/>
                <w:b/>
                <w:bCs/>
                <w:color w:val="000000"/>
                <w:sz w:val="20"/>
                <w:szCs w:val="20"/>
              </w:rPr>
            </w:pPr>
            <w:r w:rsidRPr="00501E8F">
              <w:rPr>
                <w:rFonts w:ascii="Calibri" w:hAnsi="Calibri" w:cs="Calibri"/>
                <w:b/>
                <w:bCs/>
                <w:color w:val="000000"/>
                <w:sz w:val="20"/>
                <w:szCs w:val="20"/>
              </w:rPr>
              <w:t xml:space="preserve"> 107 </w:t>
            </w:r>
          </w:p>
        </w:tc>
        <w:tc>
          <w:tcPr>
            <w:tcW w:w="883" w:type="pct"/>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9E35BE" w:rsidRPr="00501E8F" w:rsidRDefault="009E35BE" w:rsidP="00832031">
            <w:pPr>
              <w:spacing w:after="0"/>
              <w:jc w:val="right"/>
              <w:rPr>
                <w:rFonts w:ascii="Calibri" w:hAnsi="Calibri" w:cs="Calibri"/>
                <w:b/>
                <w:bCs/>
                <w:color w:val="000000"/>
                <w:sz w:val="20"/>
                <w:szCs w:val="20"/>
              </w:rPr>
            </w:pPr>
            <w:r w:rsidRPr="00501E8F">
              <w:rPr>
                <w:rFonts w:ascii="Calibri" w:hAnsi="Calibri" w:cs="Calibri"/>
                <w:b/>
                <w:bCs/>
                <w:color w:val="000000"/>
                <w:sz w:val="20"/>
                <w:szCs w:val="20"/>
              </w:rPr>
              <w:t xml:space="preserve"> 131 </w:t>
            </w:r>
          </w:p>
        </w:tc>
        <w:tc>
          <w:tcPr>
            <w:tcW w:w="955" w:type="pct"/>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9E35BE" w:rsidRPr="00501E8F" w:rsidRDefault="009E35BE" w:rsidP="00832031">
            <w:pPr>
              <w:spacing w:after="0"/>
              <w:jc w:val="right"/>
              <w:rPr>
                <w:rFonts w:ascii="Calibri" w:hAnsi="Calibri" w:cs="Calibri"/>
                <w:b/>
                <w:bCs/>
                <w:color w:val="000000"/>
                <w:sz w:val="20"/>
                <w:szCs w:val="20"/>
              </w:rPr>
            </w:pPr>
            <w:r w:rsidRPr="00501E8F">
              <w:rPr>
                <w:rFonts w:ascii="Calibri" w:hAnsi="Calibri" w:cs="Calibri"/>
                <w:b/>
                <w:bCs/>
                <w:color w:val="000000"/>
                <w:sz w:val="20"/>
                <w:szCs w:val="20"/>
              </w:rPr>
              <w:t xml:space="preserve"> 148 </w:t>
            </w:r>
          </w:p>
        </w:tc>
      </w:tr>
    </w:tbl>
    <w:p w:rsidR="009E35BE" w:rsidRDefault="009E35BE" w:rsidP="009E35BE">
      <w:pPr>
        <w:jc w:val="both"/>
      </w:pPr>
      <w:r>
        <w:t>Le assunzioni nel 2015, rispetto il 2011, sono aumentate del 111,7%. Si tratta di una crescita ben più elevata rispetto a quella registrata nell’intero comparto orafo (</w:t>
      </w:r>
      <w:proofErr w:type="spellStart"/>
      <w:r>
        <w:t>Ateco</w:t>
      </w:r>
      <w:proofErr w:type="spellEnd"/>
      <w:r>
        <w:t xml:space="preserve"> 2007, 32.12) che nel medesimo periodo ha fatto registrare (solo) un +82,9%. Tuttavia, tale crescita è seguita da un vistoso aumento delle cessazioni: che sono incrementate (nel 2015, rispetto al 2011) del 100% (mentre nell’intero comparto orafo queste ultime sono incrementate del 19,7%.</w:t>
      </w:r>
    </w:p>
    <w:p w:rsidR="009E35BE" w:rsidRDefault="009E35BE" w:rsidP="009E35BE">
      <w:pPr>
        <w:jc w:val="both"/>
      </w:pPr>
      <w:r>
        <w:t>Dunque, per un corretto raffronto con l’intero comparto orafo occorre ricorrere ad un indicatore che qui chiameremo resilienza del mercato del lavoro (δ)</w:t>
      </w:r>
      <w:r>
        <w:rPr>
          <w:rStyle w:val="Rimandonotaapidipagina"/>
        </w:rPr>
        <w:footnoteReference w:id="25"/>
      </w:r>
      <w:r>
        <w:t xml:space="preserve">: nel campione </w:t>
      </w:r>
      <w:proofErr w:type="spellStart"/>
      <w:r>
        <w:t>Ebret</w:t>
      </w:r>
      <w:proofErr w:type="spellEnd"/>
      <w:r>
        <w:t xml:space="preserve"> tale indicatore – fra il 2011 e il 2015 – fa registrare un +16%, mentre nell’intero comparto orafo il dato è pari a +7,4%. Dunque, pare che le performances occupazionali delle aziende artigiane siano notevolmente migliori rispetto a quelle dell’intero settore orafo.</w:t>
      </w:r>
    </w:p>
    <w:p w:rsidR="009E35BE" w:rsidRDefault="009E35BE" w:rsidP="009E35BE">
      <w:pPr>
        <w:jc w:val="both"/>
      </w:pPr>
      <w:r>
        <w:t>Per quanto concerne le proroghe, infine, nel periodo d’analisi, sono aumentate del 191,7% (contro il +167,2% dell’intero comparto). Infine, le trasformazioni sono cresciute del 123,5% (contro il -32,2% dell’intero comparto).</w:t>
      </w:r>
    </w:p>
    <w:p w:rsidR="009E35BE" w:rsidRDefault="009E35BE" w:rsidP="009E35BE">
      <w:pPr>
        <w:jc w:val="both"/>
      </w:pPr>
      <w:r>
        <w:t xml:space="preserve">Le migliori performances occupazionali del campione </w:t>
      </w:r>
      <w:proofErr w:type="spellStart"/>
      <w:r>
        <w:t>Ebret</w:t>
      </w:r>
      <w:proofErr w:type="spellEnd"/>
      <w:r>
        <w:t xml:space="preserve"> sembrano essere correlate ad un più elevato turn over fra i lavoratori: infatti, l’incremento del numero di cessazioni fra le imprese </w:t>
      </w:r>
      <w:proofErr w:type="spellStart"/>
      <w:r>
        <w:t>Ebret</w:t>
      </w:r>
      <w:proofErr w:type="spellEnd"/>
      <w:r>
        <w:t>, nel quinquennio considerato, è circa il 80,3% in più rispetto a quanto avviene nell’intero settore orafo.</w:t>
      </w:r>
    </w:p>
    <w:p w:rsidR="009E35BE" w:rsidRDefault="009E35BE" w:rsidP="009E35BE">
      <w:pPr>
        <w:jc w:val="both"/>
      </w:pPr>
      <w:r>
        <w:t xml:space="preserve">Nella tabella seguente sono riportati gli avviamenti relativi al periodo d’analisi. Gli avviamenti sono 532. Si noti una crescita dei contratti a tempo determinato del +18,2% e quella del lavoro a tempo indeterminato pari a +312,5% (si passa dai 16 contratti del 2011 da 66 contratti del 2015). Per quanto concerne l’apprendistato, invece, la crescita è del +90,9%. </w:t>
      </w:r>
    </w:p>
    <w:p w:rsidR="009E35BE" w:rsidRDefault="009E35BE" w:rsidP="009E35BE">
      <w:pPr>
        <w:jc w:val="both"/>
        <w:rPr>
          <w:b/>
          <w:sz w:val="20"/>
          <w:szCs w:val="20"/>
        </w:rPr>
      </w:pPr>
      <w:proofErr w:type="gramStart"/>
      <w:r w:rsidRPr="00ED714C">
        <w:rPr>
          <w:b/>
          <w:sz w:val="20"/>
          <w:szCs w:val="20"/>
        </w:rPr>
        <w:t>Tab.</w:t>
      </w:r>
      <w:r w:rsidR="0029619D">
        <w:rPr>
          <w:b/>
          <w:sz w:val="20"/>
          <w:szCs w:val="20"/>
        </w:rPr>
        <w:t>3.15.</w:t>
      </w:r>
      <w:r w:rsidRPr="00ED714C">
        <w:rPr>
          <w:b/>
          <w:sz w:val="20"/>
          <w:szCs w:val="20"/>
        </w:rPr>
        <w:t>–</w:t>
      </w:r>
      <w:proofErr w:type="gramEnd"/>
      <w:r w:rsidRPr="00ED714C">
        <w:rPr>
          <w:b/>
          <w:sz w:val="20"/>
          <w:szCs w:val="20"/>
        </w:rPr>
        <w:t xml:space="preserve"> Distribuzione degli avviamenti per tipologia contrattuale – aziende campione </w:t>
      </w:r>
      <w:proofErr w:type="spellStart"/>
      <w:r w:rsidRPr="00ED714C">
        <w:rPr>
          <w:b/>
          <w:sz w:val="20"/>
          <w:szCs w:val="20"/>
        </w:rPr>
        <w:t>Ebret</w:t>
      </w:r>
      <w:proofErr w:type="spellEnd"/>
    </w:p>
    <w:tbl>
      <w:tblPr>
        <w:tblW w:w="5000" w:type="pct"/>
        <w:tblCellMar>
          <w:top w:w="15" w:type="dxa"/>
          <w:left w:w="70" w:type="dxa"/>
          <w:bottom w:w="15" w:type="dxa"/>
          <w:right w:w="70" w:type="dxa"/>
        </w:tblCellMar>
        <w:tblLook w:val="04A0" w:firstRow="1" w:lastRow="0" w:firstColumn="1" w:lastColumn="0" w:noHBand="0" w:noVBand="1"/>
      </w:tblPr>
      <w:tblGrid>
        <w:gridCol w:w="3080"/>
        <w:gridCol w:w="1092"/>
        <w:gridCol w:w="1092"/>
        <w:gridCol w:w="1092"/>
        <w:gridCol w:w="1092"/>
        <w:gridCol w:w="1092"/>
        <w:gridCol w:w="1088"/>
      </w:tblGrid>
      <w:tr w:rsidR="009E35BE" w:rsidRPr="00636F17" w:rsidTr="00832031">
        <w:trPr>
          <w:trHeight w:val="300"/>
        </w:trPr>
        <w:tc>
          <w:tcPr>
            <w:tcW w:w="1600" w:type="pct"/>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9E35BE" w:rsidRPr="00636F17" w:rsidRDefault="009E35BE" w:rsidP="00832031">
            <w:pPr>
              <w:spacing w:after="0" w:line="240" w:lineRule="auto"/>
              <w:rPr>
                <w:rFonts w:ascii="Calibri" w:eastAsia="Times New Roman" w:hAnsi="Calibri" w:cs="Calibri"/>
                <w:b/>
                <w:bCs/>
                <w:color w:val="000000"/>
                <w:sz w:val="20"/>
                <w:szCs w:val="20"/>
                <w:lang w:eastAsia="it-IT"/>
              </w:rPr>
            </w:pPr>
            <w:r w:rsidRPr="00636F17">
              <w:rPr>
                <w:rFonts w:ascii="Calibri" w:eastAsia="Times New Roman" w:hAnsi="Calibri" w:cs="Calibri"/>
                <w:b/>
                <w:bCs/>
                <w:color w:val="000000"/>
                <w:sz w:val="20"/>
                <w:szCs w:val="20"/>
                <w:lang w:eastAsia="it-IT"/>
              </w:rPr>
              <w:t>Tipologia di contratto</w:t>
            </w:r>
          </w:p>
        </w:tc>
        <w:tc>
          <w:tcPr>
            <w:tcW w:w="567" w:type="pct"/>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9E35BE" w:rsidRPr="00636F17" w:rsidRDefault="009E35BE" w:rsidP="00832031">
            <w:pPr>
              <w:spacing w:after="0" w:line="240" w:lineRule="auto"/>
              <w:jc w:val="right"/>
              <w:rPr>
                <w:rFonts w:ascii="Calibri" w:eastAsia="Times New Roman" w:hAnsi="Calibri" w:cs="Calibri"/>
                <w:b/>
                <w:bCs/>
                <w:color w:val="000000"/>
                <w:sz w:val="20"/>
                <w:szCs w:val="20"/>
                <w:lang w:eastAsia="it-IT"/>
              </w:rPr>
            </w:pPr>
            <w:r w:rsidRPr="00636F17">
              <w:rPr>
                <w:rFonts w:ascii="Calibri" w:eastAsia="Times New Roman" w:hAnsi="Calibri" w:cs="Calibri"/>
                <w:b/>
                <w:bCs/>
                <w:color w:val="000000"/>
                <w:sz w:val="20"/>
                <w:szCs w:val="20"/>
                <w:lang w:eastAsia="it-IT"/>
              </w:rPr>
              <w:t>2011</w:t>
            </w:r>
          </w:p>
        </w:tc>
        <w:tc>
          <w:tcPr>
            <w:tcW w:w="567" w:type="pct"/>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9E35BE" w:rsidRPr="00636F17" w:rsidRDefault="009E35BE" w:rsidP="00832031">
            <w:pPr>
              <w:spacing w:after="0" w:line="240" w:lineRule="auto"/>
              <w:jc w:val="right"/>
              <w:rPr>
                <w:rFonts w:ascii="Calibri" w:eastAsia="Times New Roman" w:hAnsi="Calibri" w:cs="Calibri"/>
                <w:b/>
                <w:bCs/>
                <w:color w:val="000000"/>
                <w:sz w:val="20"/>
                <w:szCs w:val="20"/>
                <w:lang w:eastAsia="it-IT"/>
              </w:rPr>
            </w:pPr>
            <w:r w:rsidRPr="00636F17">
              <w:rPr>
                <w:rFonts w:ascii="Calibri" w:eastAsia="Times New Roman" w:hAnsi="Calibri" w:cs="Calibri"/>
                <w:b/>
                <w:bCs/>
                <w:color w:val="000000"/>
                <w:sz w:val="20"/>
                <w:szCs w:val="20"/>
                <w:lang w:eastAsia="it-IT"/>
              </w:rPr>
              <w:t>2012</w:t>
            </w:r>
          </w:p>
        </w:tc>
        <w:tc>
          <w:tcPr>
            <w:tcW w:w="567" w:type="pct"/>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9E35BE" w:rsidRPr="00636F17" w:rsidRDefault="009E35BE" w:rsidP="00832031">
            <w:pPr>
              <w:spacing w:after="0" w:line="240" w:lineRule="auto"/>
              <w:jc w:val="right"/>
              <w:rPr>
                <w:rFonts w:ascii="Calibri" w:eastAsia="Times New Roman" w:hAnsi="Calibri" w:cs="Calibri"/>
                <w:b/>
                <w:bCs/>
                <w:color w:val="000000"/>
                <w:sz w:val="20"/>
                <w:szCs w:val="20"/>
                <w:lang w:eastAsia="it-IT"/>
              </w:rPr>
            </w:pPr>
            <w:r w:rsidRPr="00636F17">
              <w:rPr>
                <w:rFonts w:ascii="Calibri" w:eastAsia="Times New Roman" w:hAnsi="Calibri" w:cs="Calibri"/>
                <w:b/>
                <w:bCs/>
                <w:color w:val="000000"/>
                <w:sz w:val="20"/>
                <w:szCs w:val="20"/>
                <w:lang w:eastAsia="it-IT"/>
              </w:rPr>
              <w:t>2013</w:t>
            </w:r>
          </w:p>
        </w:tc>
        <w:tc>
          <w:tcPr>
            <w:tcW w:w="567" w:type="pct"/>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9E35BE" w:rsidRPr="00636F17" w:rsidRDefault="009E35BE" w:rsidP="00832031">
            <w:pPr>
              <w:spacing w:after="0" w:line="240" w:lineRule="auto"/>
              <w:jc w:val="right"/>
              <w:rPr>
                <w:rFonts w:ascii="Calibri" w:eastAsia="Times New Roman" w:hAnsi="Calibri" w:cs="Calibri"/>
                <w:b/>
                <w:bCs/>
                <w:color w:val="000000"/>
                <w:sz w:val="20"/>
                <w:szCs w:val="20"/>
                <w:lang w:eastAsia="it-IT"/>
              </w:rPr>
            </w:pPr>
            <w:r w:rsidRPr="00636F17">
              <w:rPr>
                <w:rFonts w:ascii="Calibri" w:eastAsia="Times New Roman" w:hAnsi="Calibri" w:cs="Calibri"/>
                <w:b/>
                <w:bCs/>
                <w:color w:val="000000"/>
                <w:sz w:val="20"/>
                <w:szCs w:val="20"/>
                <w:lang w:eastAsia="it-IT"/>
              </w:rPr>
              <w:t>2014</w:t>
            </w:r>
          </w:p>
        </w:tc>
        <w:tc>
          <w:tcPr>
            <w:tcW w:w="567" w:type="pct"/>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9E35BE" w:rsidRPr="00636F17" w:rsidRDefault="009E35BE" w:rsidP="00832031">
            <w:pPr>
              <w:spacing w:after="0" w:line="240" w:lineRule="auto"/>
              <w:jc w:val="right"/>
              <w:rPr>
                <w:rFonts w:ascii="Calibri" w:eastAsia="Times New Roman" w:hAnsi="Calibri" w:cs="Calibri"/>
                <w:b/>
                <w:bCs/>
                <w:color w:val="000000"/>
                <w:sz w:val="20"/>
                <w:szCs w:val="20"/>
                <w:lang w:eastAsia="it-IT"/>
              </w:rPr>
            </w:pPr>
            <w:r w:rsidRPr="00636F17">
              <w:rPr>
                <w:rFonts w:ascii="Calibri" w:eastAsia="Times New Roman" w:hAnsi="Calibri" w:cs="Calibri"/>
                <w:b/>
                <w:bCs/>
                <w:color w:val="000000"/>
                <w:sz w:val="20"/>
                <w:szCs w:val="20"/>
                <w:lang w:eastAsia="it-IT"/>
              </w:rPr>
              <w:t>2015</w:t>
            </w:r>
          </w:p>
        </w:tc>
        <w:tc>
          <w:tcPr>
            <w:tcW w:w="565" w:type="pct"/>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9E35BE" w:rsidRPr="00636F17" w:rsidRDefault="009E35BE" w:rsidP="00832031">
            <w:pPr>
              <w:spacing w:after="0" w:line="240" w:lineRule="auto"/>
              <w:rPr>
                <w:rFonts w:ascii="Calibri" w:eastAsia="Times New Roman" w:hAnsi="Calibri" w:cs="Calibri"/>
                <w:b/>
                <w:bCs/>
                <w:color w:val="000000"/>
                <w:sz w:val="20"/>
                <w:szCs w:val="20"/>
                <w:lang w:eastAsia="it-IT"/>
              </w:rPr>
            </w:pPr>
            <w:r w:rsidRPr="00636F17">
              <w:rPr>
                <w:rFonts w:ascii="Calibri" w:eastAsia="Times New Roman" w:hAnsi="Calibri" w:cs="Calibri"/>
                <w:b/>
                <w:bCs/>
                <w:color w:val="000000"/>
                <w:sz w:val="20"/>
                <w:szCs w:val="20"/>
                <w:lang w:eastAsia="it-IT"/>
              </w:rPr>
              <w:t>Totale</w:t>
            </w:r>
          </w:p>
        </w:tc>
      </w:tr>
      <w:tr w:rsidR="009E35BE" w:rsidRPr="00636F17" w:rsidTr="00832031">
        <w:trPr>
          <w:trHeight w:val="300"/>
        </w:trPr>
        <w:tc>
          <w:tcPr>
            <w:tcW w:w="1600" w:type="pct"/>
            <w:tcBorders>
              <w:top w:val="single" w:sz="4" w:space="0" w:color="auto"/>
              <w:left w:val="single" w:sz="4" w:space="0" w:color="auto"/>
              <w:bottom w:val="single" w:sz="4" w:space="0" w:color="auto"/>
              <w:right w:val="single" w:sz="4" w:space="0" w:color="auto"/>
            </w:tcBorders>
            <w:noWrap/>
            <w:vAlign w:val="bottom"/>
            <w:hideMark/>
          </w:tcPr>
          <w:p w:rsidR="009E35BE" w:rsidRPr="003636CA" w:rsidRDefault="009E35BE" w:rsidP="00832031">
            <w:pPr>
              <w:spacing w:after="0"/>
              <w:rPr>
                <w:rFonts w:ascii="Calibri" w:hAnsi="Calibri" w:cs="Calibri"/>
                <w:color w:val="000000"/>
                <w:sz w:val="20"/>
                <w:szCs w:val="20"/>
              </w:rPr>
            </w:pPr>
            <w:r w:rsidRPr="003636CA">
              <w:rPr>
                <w:rFonts w:ascii="Calibri" w:hAnsi="Calibri" w:cs="Calibri"/>
                <w:color w:val="000000"/>
                <w:sz w:val="20"/>
                <w:szCs w:val="20"/>
              </w:rPr>
              <w:t>LAVORO A TEMPO DETERMINATO</w:t>
            </w:r>
          </w:p>
        </w:tc>
        <w:tc>
          <w:tcPr>
            <w:tcW w:w="567" w:type="pct"/>
            <w:tcBorders>
              <w:top w:val="single" w:sz="4" w:space="0" w:color="auto"/>
              <w:left w:val="single" w:sz="4" w:space="0" w:color="auto"/>
              <w:bottom w:val="single" w:sz="4" w:space="0" w:color="auto"/>
              <w:right w:val="single" w:sz="4" w:space="0" w:color="auto"/>
            </w:tcBorders>
            <w:noWrap/>
            <w:vAlign w:val="bottom"/>
            <w:hideMark/>
          </w:tcPr>
          <w:p w:rsidR="009E35BE" w:rsidRPr="003636CA" w:rsidRDefault="009E35BE" w:rsidP="00832031">
            <w:pPr>
              <w:spacing w:after="0"/>
              <w:jc w:val="right"/>
              <w:rPr>
                <w:rFonts w:ascii="Calibri" w:hAnsi="Calibri" w:cs="Calibri"/>
                <w:color w:val="000000"/>
                <w:sz w:val="20"/>
                <w:szCs w:val="20"/>
              </w:rPr>
            </w:pPr>
            <w:r w:rsidRPr="003636CA">
              <w:rPr>
                <w:rFonts w:ascii="Calibri" w:hAnsi="Calibri" w:cs="Calibri"/>
                <w:color w:val="000000"/>
                <w:sz w:val="20"/>
                <w:szCs w:val="20"/>
              </w:rPr>
              <w:t>33</w:t>
            </w:r>
          </w:p>
        </w:tc>
        <w:tc>
          <w:tcPr>
            <w:tcW w:w="567" w:type="pct"/>
            <w:tcBorders>
              <w:top w:val="single" w:sz="4" w:space="0" w:color="auto"/>
              <w:left w:val="single" w:sz="4" w:space="0" w:color="auto"/>
              <w:bottom w:val="single" w:sz="4" w:space="0" w:color="auto"/>
              <w:right w:val="single" w:sz="4" w:space="0" w:color="auto"/>
            </w:tcBorders>
            <w:noWrap/>
            <w:vAlign w:val="bottom"/>
            <w:hideMark/>
          </w:tcPr>
          <w:p w:rsidR="009E35BE" w:rsidRPr="003636CA" w:rsidRDefault="009E35BE" w:rsidP="00832031">
            <w:pPr>
              <w:spacing w:after="0"/>
              <w:jc w:val="right"/>
              <w:rPr>
                <w:rFonts w:ascii="Calibri" w:hAnsi="Calibri" w:cs="Calibri"/>
                <w:color w:val="000000"/>
                <w:sz w:val="20"/>
                <w:szCs w:val="20"/>
              </w:rPr>
            </w:pPr>
            <w:r w:rsidRPr="003636CA">
              <w:rPr>
                <w:rFonts w:ascii="Calibri" w:hAnsi="Calibri" w:cs="Calibri"/>
                <w:color w:val="000000"/>
                <w:sz w:val="20"/>
                <w:szCs w:val="20"/>
              </w:rPr>
              <w:t>36</w:t>
            </w:r>
          </w:p>
        </w:tc>
        <w:tc>
          <w:tcPr>
            <w:tcW w:w="567" w:type="pct"/>
            <w:tcBorders>
              <w:top w:val="single" w:sz="4" w:space="0" w:color="auto"/>
              <w:left w:val="single" w:sz="4" w:space="0" w:color="auto"/>
              <w:bottom w:val="single" w:sz="4" w:space="0" w:color="auto"/>
              <w:right w:val="single" w:sz="4" w:space="0" w:color="auto"/>
            </w:tcBorders>
            <w:noWrap/>
            <w:vAlign w:val="bottom"/>
            <w:hideMark/>
          </w:tcPr>
          <w:p w:rsidR="009E35BE" w:rsidRPr="003636CA" w:rsidRDefault="009E35BE" w:rsidP="00832031">
            <w:pPr>
              <w:spacing w:after="0"/>
              <w:jc w:val="right"/>
              <w:rPr>
                <w:rFonts w:ascii="Calibri" w:hAnsi="Calibri" w:cs="Calibri"/>
                <w:color w:val="000000"/>
                <w:sz w:val="20"/>
                <w:szCs w:val="20"/>
              </w:rPr>
            </w:pPr>
            <w:r w:rsidRPr="003636CA">
              <w:rPr>
                <w:rFonts w:ascii="Calibri" w:hAnsi="Calibri" w:cs="Calibri"/>
                <w:color w:val="000000"/>
                <w:sz w:val="20"/>
                <w:szCs w:val="20"/>
              </w:rPr>
              <w:t>69</w:t>
            </w:r>
          </w:p>
        </w:tc>
        <w:tc>
          <w:tcPr>
            <w:tcW w:w="567" w:type="pct"/>
            <w:tcBorders>
              <w:top w:val="single" w:sz="4" w:space="0" w:color="auto"/>
              <w:left w:val="single" w:sz="4" w:space="0" w:color="auto"/>
              <w:bottom w:val="single" w:sz="4" w:space="0" w:color="auto"/>
              <w:right w:val="single" w:sz="4" w:space="0" w:color="auto"/>
            </w:tcBorders>
            <w:noWrap/>
            <w:vAlign w:val="bottom"/>
            <w:hideMark/>
          </w:tcPr>
          <w:p w:rsidR="009E35BE" w:rsidRPr="003636CA" w:rsidRDefault="009E35BE" w:rsidP="00832031">
            <w:pPr>
              <w:spacing w:after="0"/>
              <w:jc w:val="right"/>
              <w:rPr>
                <w:rFonts w:ascii="Calibri" w:hAnsi="Calibri" w:cs="Calibri"/>
                <w:color w:val="000000"/>
                <w:sz w:val="20"/>
                <w:szCs w:val="20"/>
              </w:rPr>
            </w:pPr>
            <w:r w:rsidRPr="003636CA">
              <w:rPr>
                <w:rFonts w:ascii="Calibri" w:hAnsi="Calibri" w:cs="Calibri"/>
                <w:color w:val="000000"/>
                <w:sz w:val="20"/>
                <w:szCs w:val="20"/>
              </w:rPr>
              <w:t>77</w:t>
            </w:r>
          </w:p>
        </w:tc>
        <w:tc>
          <w:tcPr>
            <w:tcW w:w="567" w:type="pct"/>
            <w:tcBorders>
              <w:top w:val="single" w:sz="4" w:space="0" w:color="auto"/>
              <w:left w:val="single" w:sz="4" w:space="0" w:color="auto"/>
              <w:bottom w:val="single" w:sz="4" w:space="0" w:color="auto"/>
              <w:right w:val="single" w:sz="4" w:space="0" w:color="auto"/>
            </w:tcBorders>
            <w:noWrap/>
            <w:vAlign w:val="bottom"/>
            <w:hideMark/>
          </w:tcPr>
          <w:p w:rsidR="009E35BE" w:rsidRPr="003636CA" w:rsidRDefault="009E35BE" w:rsidP="00832031">
            <w:pPr>
              <w:spacing w:after="0"/>
              <w:jc w:val="right"/>
              <w:rPr>
                <w:rFonts w:ascii="Calibri" w:hAnsi="Calibri" w:cs="Calibri"/>
                <w:color w:val="000000"/>
                <w:sz w:val="20"/>
                <w:szCs w:val="20"/>
              </w:rPr>
            </w:pPr>
            <w:r w:rsidRPr="003636CA">
              <w:rPr>
                <w:rFonts w:ascii="Calibri" w:hAnsi="Calibri" w:cs="Calibri"/>
                <w:color w:val="000000"/>
                <w:sz w:val="20"/>
                <w:szCs w:val="20"/>
              </w:rPr>
              <w:t>39</w:t>
            </w:r>
          </w:p>
        </w:tc>
        <w:tc>
          <w:tcPr>
            <w:tcW w:w="565" w:type="pct"/>
            <w:tcBorders>
              <w:top w:val="single" w:sz="4" w:space="0" w:color="auto"/>
              <w:left w:val="single" w:sz="4" w:space="0" w:color="auto"/>
              <w:bottom w:val="single" w:sz="4" w:space="0" w:color="auto"/>
              <w:right w:val="single" w:sz="4" w:space="0" w:color="auto"/>
            </w:tcBorders>
            <w:noWrap/>
            <w:vAlign w:val="bottom"/>
            <w:hideMark/>
          </w:tcPr>
          <w:p w:rsidR="009E35BE" w:rsidRPr="003636CA" w:rsidRDefault="009E35BE" w:rsidP="00832031">
            <w:pPr>
              <w:spacing w:after="0"/>
              <w:jc w:val="right"/>
              <w:rPr>
                <w:rFonts w:ascii="Calibri" w:hAnsi="Calibri" w:cs="Calibri"/>
                <w:color w:val="000000"/>
                <w:sz w:val="20"/>
                <w:szCs w:val="20"/>
              </w:rPr>
            </w:pPr>
            <w:r w:rsidRPr="003636CA">
              <w:rPr>
                <w:rFonts w:ascii="Calibri" w:hAnsi="Calibri" w:cs="Calibri"/>
                <w:color w:val="000000"/>
                <w:sz w:val="20"/>
                <w:szCs w:val="20"/>
              </w:rPr>
              <w:t>254</w:t>
            </w:r>
          </w:p>
        </w:tc>
      </w:tr>
      <w:tr w:rsidR="009E35BE" w:rsidRPr="00636F17" w:rsidTr="00832031">
        <w:trPr>
          <w:trHeight w:val="300"/>
        </w:trPr>
        <w:tc>
          <w:tcPr>
            <w:tcW w:w="1600" w:type="pct"/>
            <w:tcBorders>
              <w:top w:val="single" w:sz="4" w:space="0" w:color="auto"/>
              <w:left w:val="single" w:sz="4" w:space="0" w:color="auto"/>
              <w:bottom w:val="single" w:sz="4" w:space="0" w:color="auto"/>
              <w:right w:val="single" w:sz="4" w:space="0" w:color="auto"/>
            </w:tcBorders>
            <w:noWrap/>
            <w:vAlign w:val="bottom"/>
            <w:hideMark/>
          </w:tcPr>
          <w:p w:rsidR="009E35BE" w:rsidRPr="003636CA" w:rsidRDefault="009E35BE" w:rsidP="00832031">
            <w:pPr>
              <w:spacing w:after="0"/>
              <w:rPr>
                <w:rFonts w:ascii="Calibri" w:hAnsi="Calibri" w:cs="Calibri"/>
                <w:color w:val="000000"/>
                <w:sz w:val="20"/>
                <w:szCs w:val="20"/>
              </w:rPr>
            </w:pPr>
            <w:r w:rsidRPr="003636CA">
              <w:rPr>
                <w:rFonts w:ascii="Calibri" w:hAnsi="Calibri" w:cs="Calibri"/>
                <w:color w:val="000000"/>
                <w:sz w:val="20"/>
                <w:szCs w:val="20"/>
              </w:rPr>
              <w:t>LAVORO A TEMPO INDETERMINATO</w:t>
            </w:r>
          </w:p>
        </w:tc>
        <w:tc>
          <w:tcPr>
            <w:tcW w:w="567" w:type="pct"/>
            <w:tcBorders>
              <w:top w:val="single" w:sz="4" w:space="0" w:color="auto"/>
              <w:left w:val="single" w:sz="4" w:space="0" w:color="auto"/>
              <w:bottom w:val="single" w:sz="4" w:space="0" w:color="auto"/>
              <w:right w:val="single" w:sz="4" w:space="0" w:color="auto"/>
            </w:tcBorders>
            <w:noWrap/>
            <w:vAlign w:val="bottom"/>
            <w:hideMark/>
          </w:tcPr>
          <w:p w:rsidR="009E35BE" w:rsidRPr="003636CA" w:rsidRDefault="009E35BE" w:rsidP="00832031">
            <w:pPr>
              <w:spacing w:after="0"/>
              <w:jc w:val="right"/>
              <w:rPr>
                <w:rFonts w:ascii="Calibri" w:hAnsi="Calibri" w:cs="Calibri"/>
                <w:color w:val="000000"/>
                <w:sz w:val="20"/>
                <w:szCs w:val="20"/>
              </w:rPr>
            </w:pPr>
            <w:r w:rsidRPr="003636CA">
              <w:rPr>
                <w:rFonts w:ascii="Calibri" w:hAnsi="Calibri" w:cs="Calibri"/>
                <w:color w:val="000000"/>
                <w:sz w:val="20"/>
                <w:szCs w:val="20"/>
              </w:rPr>
              <w:t>16</w:t>
            </w:r>
          </w:p>
        </w:tc>
        <w:tc>
          <w:tcPr>
            <w:tcW w:w="567" w:type="pct"/>
            <w:tcBorders>
              <w:top w:val="single" w:sz="4" w:space="0" w:color="auto"/>
              <w:left w:val="single" w:sz="4" w:space="0" w:color="auto"/>
              <w:bottom w:val="single" w:sz="4" w:space="0" w:color="auto"/>
              <w:right w:val="single" w:sz="4" w:space="0" w:color="auto"/>
            </w:tcBorders>
            <w:noWrap/>
            <w:vAlign w:val="bottom"/>
            <w:hideMark/>
          </w:tcPr>
          <w:p w:rsidR="009E35BE" w:rsidRPr="003636CA" w:rsidRDefault="009E35BE" w:rsidP="00832031">
            <w:pPr>
              <w:spacing w:after="0"/>
              <w:jc w:val="right"/>
              <w:rPr>
                <w:rFonts w:ascii="Calibri" w:hAnsi="Calibri" w:cs="Calibri"/>
                <w:color w:val="000000"/>
                <w:sz w:val="20"/>
                <w:szCs w:val="20"/>
              </w:rPr>
            </w:pPr>
            <w:r w:rsidRPr="003636CA">
              <w:rPr>
                <w:rFonts w:ascii="Calibri" w:hAnsi="Calibri" w:cs="Calibri"/>
                <w:color w:val="000000"/>
                <w:sz w:val="20"/>
                <w:szCs w:val="20"/>
              </w:rPr>
              <w:t>23</w:t>
            </w:r>
          </w:p>
        </w:tc>
        <w:tc>
          <w:tcPr>
            <w:tcW w:w="567" w:type="pct"/>
            <w:tcBorders>
              <w:top w:val="single" w:sz="4" w:space="0" w:color="auto"/>
              <w:left w:val="single" w:sz="4" w:space="0" w:color="auto"/>
              <w:bottom w:val="single" w:sz="4" w:space="0" w:color="auto"/>
              <w:right w:val="single" w:sz="4" w:space="0" w:color="auto"/>
            </w:tcBorders>
            <w:noWrap/>
            <w:vAlign w:val="bottom"/>
            <w:hideMark/>
          </w:tcPr>
          <w:p w:rsidR="009E35BE" w:rsidRPr="003636CA" w:rsidRDefault="009E35BE" w:rsidP="00832031">
            <w:pPr>
              <w:spacing w:after="0"/>
              <w:jc w:val="right"/>
              <w:rPr>
                <w:rFonts w:ascii="Calibri" w:hAnsi="Calibri" w:cs="Calibri"/>
                <w:color w:val="000000"/>
                <w:sz w:val="20"/>
                <w:szCs w:val="20"/>
              </w:rPr>
            </w:pPr>
            <w:r w:rsidRPr="003636CA">
              <w:rPr>
                <w:rFonts w:ascii="Calibri" w:hAnsi="Calibri" w:cs="Calibri"/>
                <w:color w:val="000000"/>
                <w:sz w:val="20"/>
                <w:szCs w:val="20"/>
              </w:rPr>
              <w:t>30</w:t>
            </w:r>
          </w:p>
        </w:tc>
        <w:tc>
          <w:tcPr>
            <w:tcW w:w="567" w:type="pct"/>
            <w:tcBorders>
              <w:top w:val="single" w:sz="4" w:space="0" w:color="auto"/>
              <w:left w:val="single" w:sz="4" w:space="0" w:color="auto"/>
              <w:bottom w:val="single" w:sz="4" w:space="0" w:color="auto"/>
              <w:right w:val="single" w:sz="4" w:space="0" w:color="auto"/>
            </w:tcBorders>
            <w:noWrap/>
            <w:vAlign w:val="bottom"/>
            <w:hideMark/>
          </w:tcPr>
          <w:p w:rsidR="009E35BE" w:rsidRPr="003636CA" w:rsidRDefault="009E35BE" w:rsidP="00832031">
            <w:pPr>
              <w:spacing w:after="0"/>
              <w:jc w:val="right"/>
              <w:rPr>
                <w:rFonts w:ascii="Calibri" w:hAnsi="Calibri" w:cs="Calibri"/>
                <w:color w:val="000000"/>
                <w:sz w:val="20"/>
                <w:szCs w:val="20"/>
              </w:rPr>
            </w:pPr>
            <w:r w:rsidRPr="003636CA">
              <w:rPr>
                <w:rFonts w:ascii="Calibri" w:hAnsi="Calibri" w:cs="Calibri"/>
                <w:color w:val="000000"/>
                <w:sz w:val="20"/>
                <w:szCs w:val="20"/>
              </w:rPr>
              <w:t>40</w:t>
            </w:r>
          </w:p>
        </w:tc>
        <w:tc>
          <w:tcPr>
            <w:tcW w:w="567" w:type="pct"/>
            <w:tcBorders>
              <w:top w:val="single" w:sz="4" w:space="0" w:color="auto"/>
              <w:left w:val="single" w:sz="4" w:space="0" w:color="auto"/>
              <w:bottom w:val="single" w:sz="4" w:space="0" w:color="auto"/>
              <w:right w:val="single" w:sz="4" w:space="0" w:color="auto"/>
            </w:tcBorders>
            <w:noWrap/>
            <w:vAlign w:val="bottom"/>
            <w:hideMark/>
          </w:tcPr>
          <w:p w:rsidR="009E35BE" w:rsidRPr="003636CA" w:rsidRDefault="009E35BE" w:rsidP="00832031">
            <w:pPr>
              <w:spacing w:after="0"/>
              <w:jc w:val="right"/>
              <w:rPr>
                <w:rFonts w:ascii="Calibri" w:hAnsi="Calibri" w:cs="Calibri"/>
                <w:color w:val="000000"/>
                <w:sz w:val="20"/>
                <w:szCs w:val="20"/>
              </w:rPr>
            </w:pPr>
            <w:r w:rsidRPr="003636CA">
              <w:rPr>
                <w:rFonts w:ascii="Calibri" w:hAnsi="Calibri" w:cs="Calibri"/>
                <w:color w:val="000000"/>
                <w:sz w:val="20"/>
                <w:szCs w:val="20"/>
              </w:rPr>
              <w:t>66</w:t>
            </w:r>
          </w:p>
        </w:tc>
        <w:tc>
          <w:tcPr>
            <w:tcW w:w="565" w:type="pct"/>
            <w:tcBorders>
              <w:top w:val="single" w:sz="4" w:space="0" w:color="auto"/>
              <w:left w:val="single" w:sz="4" w:space="0" w:color="auto"/>
              <w:bottom w:val="single" w:sz="4" w:space="0" w:color="auto"/>
              <w:right w:val="single" w:sz="4" w:space="0" w:color="auto"/>
            </w:tcBorders>
            <w:noWrap/>
            <w:vAlign w:val="bottom"/>
            <w:hideMark/>
          </w:tcPr>
          <w:p w:rsidR="009E35BE" w:rsidRPr="003636CA" w:rsidRDefault="009E35BE" w:rsidP="00832031">
            <w:pPr>
              <w:spacing w:after="0"/>
              <w:jc w:val="right"/>
              <w:rPr>
                <w:rFonts w:ascii="Calibri" w:hAnsi="Calibri" w:cs="Calibri"/>
                <w:color w:val="000000"/>
                <w:sz w:val="20"/>
                <w:szCs w:val="20"/>
              </w:rPr>
            </w:pPr>
            <w:r w:rsidRPr="003636CA">
              <w:rPr>
                <w:rFonts w:ascii="Calibri" w:hAnsi="Calibri" w:cs="Calibri"/>
                <w:color w:val="000000"/>
                <w:sz w:val="20"/>
                <w:szCs w:val="20"/>
              </w:rPr>
              <w:t>175</w:t>
            </w:r>
          </w:p>
        </w:tc>
      </w:tr>
      <w:tr w:rsidR="009E35BE" w:rsidRPr="00636F17" w:rsidTr="00832031">
        <w:trPr>
          <w:trHeight w:val="300"/>
        </w:trPr>
        <w:tc>
          <w:tcPr>
            <w:tcW w:w="1600" w:type="pct"/>
            <w:tcBorders>
              <w:top w:val="single" w:sz="4" w:space="0" w:color="auto"/>
              <w:left w:val="single" w:sz="4" w:space="0" w:color="auto"/>
              <w:bottom w:val="single" w:sz="4" w:space="0" w:color="auto"/>
              <w:right w:val="single" w:sz="4" w:space="0" w:color="auto"/>
            </w:tcBorders>
            <w:noWrap/>
            <w:vAlign w:val="bottom"/>
            <w:hideMark/>
          </w:tcPr>
          <w:p w:rsidR="009E35BE" w:rsidRPr="003636CA" w:rsidRDefault="009E35BE" w:rsidP="00832031">
            <w:pPr>
              <w:spacing w:after="0"/>
              <w:rPr>
                <w:rFonts w:ascii="Calibri" w:hAnsi="Calibri" w:cs="Calibri"/>
                <w:color w:val="000000"/>
                <w:sz w:val="20"/>
                <w:szCs w:val="20"/>
              </w:rPr>
            </w:pPr>
            <w:r w:rsidRPr="003636CA">
              <w:rPr>
                <w:rFonts w:ascii="Calibri" w:hAnsi="Calibri" w:cs="Calibri"/>
                <w:color w:val="000000"/>
                <w:sz w:val="20"/>
                <w:szCs w:val="20"/>
              </w:rPr>
              <w:t>APPRENDISTATO</w:t>
            </w:r>
          </w:p>
        </w:tc>
        <w:tc>
          <w:tcPr>
            <w:tcW w:w="567" w:type="pct"/>
            <w:tcBorders>
              <w:top w:val="single" w:sz="4" w:space="0" w:color="auto"/>
              <w:left w:val="single" w:sz="4" w:space="0" w:color="auto"/>
              <w:bottom w:val="single" w:sz="4" w:space="0" w:color="auto"/>
              <w:right w:val="single" w:sz="4" w:space="0" w:color="auto"/>
            </w:tcBorders>
            <w:noWrap/>
            <w:vAlign w:val="bottom"/>
            <w:hideMark/>
          </w:tcPr>
          <w:p w:rsidR="009E35BE" w:rsidRPr="003636CA" w:rsidRDefault="009E35BE" w:rsidP="00832031">
            <w:pPr>
              <w:spacing w:after="0"/>
              <w:jc w:val="right"/>
              <w:rPr>
                <w:rFonts w:ascii="Calibri" w:hAnsi="Calibri" w:cs="Calibri"/>
                <w:color w:val="000000"/>
                <w:sz w:val="20"/>
                <w:szCs w:val="20"/>
              </w:rPr>
            </w:pPr>
            <w:r w:rsidRPr="003636CA">
              <w:rPr>
                <w:rFonts w:ascii="Calibri" w:hAnsi="Calibri" w:cs="Calibri"/>
                <w:color w:val="000000"/>
                <w:sz w:val="20"/>
                <w:szCs w:val="20"/>
              </w:rPr>
              <w:t>11</w:t>
            </w:r>
          </w:p>
        </w:tc>
        <w:tc>
          <w:tcPr>
            <w:tcW w:w="567" w:type="pct"/>
            <w:tcBorders>
              <w:top w:val="single" w:sz="4" w:space="0" w:color="auto"/>
              <w:left w:val="single" w:sz="4" w:space="0" w:color="auto"/>
              <w:bottom w:val="single" w:sz="4" w:space="0" w:color="auto"/>
              <w:right w:val="single" w:sz="4" w:space="0" w:color="auto"/>
            </w:tcBorders>
            <w:noWrap/>
            <w:vAlign w:val="bottom"/>
            <w:hideMark/>
          </w:tcPr>
          <w:p w:rsidR="009E35BE" w:rsidRPr="003636CA" w:rsidRDefault="009E35BE" w:rsidP="00832031">
            <w:pPr>
              <w:spacing w:after="0"/>
              <w:jc w:val="right"/>
              <w:rPr>
                <w:rFonts w:ascii="Calibri" w:hAnsi="Calibri" w:cs="Calibri"/>
                <w:color w:val="000000"/>
                <w:sz w:val="20"/>
                <w:szCs w:val="20"/>
              </w:rPr>
            </w:pPr>
            <w:r w:rsidRPr="003636CA">
              <w:rPr>
                <w:rFonts w:ascii="Calibri" w:hAnsi="Calibri" w:cs="Calibri"/>
                <w:color w:val="000000"/>
                <w:sz w:val="20"/>
                <w:szCs w:val="20"/>
              </w:rPr>
              <w:t>9</w:t>
            </w:r>
          </w:p>
        </w:tc>
        <w:tc>
          <w:tcPr>
            <w:tcW w:w="567" w:type="pct"/>
            <w:tcBorders>
              <w:top w:val="single" w:sz="4" w:space="0" w:color="auto"/>
              <w:left w:val="single" w:sz="4" w:space="0" w:color="auto"/>
              <w:bottom w:val="single" w:sz="4" w:space="0" w:color="auto"/>
              <w:right w:val="single" w:sz="4" w:space="0" w:color="auto"/>
            </w:tcBorders>
            <w:noWrap/>
            <w:vAlign w:val="bottom"/>
            <w:hideMark/>
          </w:tcPr>
          <w:p w:rsidR="009E35BE" w:rsidRPr="003636CA" w:rsidRDefault="009E35BE" w:rsidP="00832031">
            <w:pPr>
              <w:spacing w:after="0"/>
              <w:jc w:val="right"/>
              <w:rPr>
                <w:rFonts w:ascii="Calibri" w:hAnsi="Calibri" w:cs="Calibri"/>
                <w:color w:val="000000"/>
                <w:sz w:val="20"/>
                <w:szCs w:val="20"/>
              </w:rPr>
            </w:pPr>
            <w:r w:rsidRPr="003636CA">
              <w:rPr>
                <w:rFonts w:ascii="Calibri" w:hAnsi="Calibri" w:cs="Calibri"/>
                <w:color w:val="000000"/>
                <w:sz w:val="20"/>
                <w:szCs w:val="20"/>
              </w:rPr>
              <w:t>22</w:t>
            </w:r>
          </w:p>
        </w:tc>
        <w:tc>
          <w:tcPr>
            <w:tcW w:w="567" w:type="pct"/>
            <w:tcBorders>
              <w:top w:val="single" w:sz="4" w:space="0" w:color="auto"/>
              <w:left w:val="single" w:sz="4" w:space="0" w:color="auto"/>
              <w:bottom w:val="single" w:sz="4" w:space="0" w:color="auto"/>
              <w:right w:val="single" w:sz="4" w:space="0" w:color="auto"/>
            </w:tcBorders>
            <w:noWrap/>
            <w:vAlign w:val="bottom"/>
            <w:hideMark/>
          </w:tcPr>
          <w:p w:rsidR="009E35BE" w:rsidRPr="003636CA" w:rsidRDefault="009E35BE" w:rsidP="00832031">
            <w:pPr>
              <w:spacing w:after="0"/>
              <w:jc w:val="right"/>
              <w:rPr>
                <w:rFonts w:ascii="Calibri" w:hAnsi="Calibri" w:cs="Calibri"/>
                <w:color w:val="000000"/>
                <w:sz w:val="20"/>
                <w:szCs w:val="20"/>
              </w:rPr>
            </w:pPr>
            <w:r w:rsidRPr="003636CA">
              <w:rPr>
                <w:rFonts w:ascii="Calibri" w:hAnsi="Calibri" w:cs="Calibri"/>
                <w:color w:val="000000"/>
                <w:sz w:val="20"/>
                <w:szCs w:val="20"/>
              </w:rPr>
              <w:t>28</w:t>
            </w:r>
          </w:p>
        </w:tc>
        <w:tc>
          <w:tcPr>
            <w:tcW w:w="567" w:type="pct"/>
            <w:tcBorders>
              <w:top w:val="single" w:sz="4" w:space="0" w:color="auto"/>
              <w:left w:val="single" w:sz="4" w:space="0" w:color="auto"/>
              <w:bottom w:val="single" w:sz="4" w:space="0" w:color="auto"/>
              <w:right w:val="single" w:sz="4" w:space="0" w:color="auto"/>
            </w:tcBorders>
            <w:noWrap/>
            <w:vAlign w:val="bottom"/>
            <w:hideMark/>
          </w:tcPr>
          <w:p w:rsidR="009E35BE" w:rsidRPr="003636CA" w:rsidRDefault="009E35BE" w:rsidP="00832031">
            <w:pPr>
              <w:spacing w:after="0"/>
              <w:jc w:val="right"/>
              <w:rPr>
                <w:rFonts w:ascii="Calibri" w:hAnsi="Calibri" w:cs="Calibri"/>
                <w:color w:val="000000"/>
                <w:sz w:val="20"/>
                <w:szCs w:val="20"/>
              </w:rPr>
            </w:pPr>
            <w:r w:rsidRPr="003636CA">
              <w:rPr>
                <w:rFonts w:ascii="Calibri" w:hAnsi="Calibri" w:cs="Calibri"/>
                <w:color w:val="000000"/>
                <w:sz w:val="20"/>
                <w:szCs w:val="20"/>
              </w:rPr>
              <w:t>21</w:t>
            </w:r>
          </w:p>
        </w:tc>
        <w:tc>
          <w:tcPr>
            <w:tcW w:w="565" w:type="pct"/>
            <w:tcBorders>
              <w:top w:val="single" w:sz="4" w:space="0" w:color="auto"/>
              <w:left w:val="single" w:sz="4" w:space="0" w:color="auto"/>
              <w:bottom w:val="single" w:sz="4" w:space="0" w:color="auto"/>
              <w:right w:val="single" w:sz="4" w:space="0" w:color="auto"/>
            </w:tcBorders>
            <w:noWrap/>
            <w:vAlign w:val="bottom"/>
            <w:hideMark/>
          </w:tcPr>
          <w:p w:rsidR="009E35BE" w:rsidRPr="003636CA" w:rsidRDefault="009E35BE" w:rsidP="00832031">
            <w:pPr>
              <w:spacing w:after="0"/>
              <w:jc w:val="right"/>
              <w:rPr>
                <w:rFonts w:ascii="Calibri" w:hAnsi="Calibri" w:cs="Calibri"/>
                <w:color w:val="000000"/>
                <w:sz w:val="20"/>
                <w:szCs w:val="20"/>
              </w:rPr>
            </w:pPr>
            <w:r w:rsidRPr="003636CA">
              <w:rPr>
                <w:rFonts w:ascii="Calibri" w:hAnsi="Calibri" w:cs="Calibri"/>
                <w:color w:val="000000"/>
                <w:sz w:val="20"/>
                <w:szCs w:val="20"/>
              </w:rPr>
              <w:t>91</w:t>
            </w:r>
          </w:p>
        </w:tc>
      </w:tr>
      <w:tr w:rsidR="009E35BE" w:rsidRPr="00636F17" w:rsidTr="00832031">
        <w:trPr>
          <w:trHeight w:val="300"/>
        </w:trPr>
        <w:tc>
          <w:tcPr>
            <w:tcW w:w="1600" w:type="pct"/>
            <w:tcBorders>
              <w:top w:val="single" w:sz="4" w:space="0" w:color="auto"/>
              <w:left w:val="single" w:sz="4" w:space="0" w:color="auto"/>
              <w:bottom w:val="single" w:sz="4" w:space="0" w:color="auto"/>
              <w:right w:val="single" w:sz="4" w:space="0" w:color="auto"/>
            </w:tcBorders>
            <w:noWrap/>
            <w:vAlign w:val="bottom"/>
            <w:hideMark/>
          </w:tcPr>
          <w:p w:rsidR="009E35BE" w:rsidRPr="003636CA" w:rsidRDefault="009E35BE" w:rsidP="00832031">
            <w:pPr>
              <w:spacing w:after="0"/>
              <w:rPr>
                <w:rFonts w:ascii="Calibri" w:hAnsi="Calibri" w:cs="Calibri"/>
                <w:color w:val="000000"/>
                <w:sz w:val="20"/>
                <w:szCs w:val="20"/>
              </w:rPr>
            </w:pPr>
            <w:r w:rsidRPr="003636CA">
              <w:rPr>
                <w:rFonts w:ascii="Calibri" w:hAnsi="Calibri" w:cs="Calibri"/>
                <w:color w:val="000000"/>
                <w:sz w:val="20"/>
                <w:szCs w:val="20"/>
              </w:rPr>
              <w:t>LAVORO A DOMICILIO</w:t>
            </w:r>
          </w:p>
        </w:tc>
        <w:tc>
          <w:tcPr>
            <w:tcW w:w="567" w:type="pct"/>
            <w:tcBorders>
              <w:top w:val="single" w:sz="4" w:space="0" w:color="auto"/>
              <w:left w:val="single" w:sz="4" w:space="0" w:color="auto"/>
              <w:bottom w:val="single" w:sz="4" w:space="0" w:color="auto"/>
              <w:right w:val="single" w:sz="4" w:space="0" w:color="auto"/>
            </w:tcBorders>
            <w:noWrap/>
            <w:vAlign w:val="bottom"/>
            <w:hideMark/>
          </w:tcPr>
          <w:p w:rsidR="009E35BE" w:rsidRPr="003636CA" w:rsidRDefault="009E35BE" w:rsidP="00832031">
            <w:pPr>
              <w:spacing w:after="0"/>
              <w:rPr>
                <w:rFonts w:ascii="Calibri" w:hAnsi="Calibri" w:cs="Calibri"/>
                <w:color w:val="000000"/>
                <w:sz w:val="20"/>
                <w:szCs w:val="20"/>
              </w:rPr>
            </w:pPr>
          </w:p>
        </w:tc>
        <w:tc>
          <w:tcPr>
            <w:tcW w:w="567" w:type="pct"/>
            <w:tcBorders>
              <w:top w:val="single" w:sz="4" w:space="0" w:color="auto"/>
              <w:left w:val="single" w:sz="4" w:space="0" w:color="auto"/>
              <w:bottom w:val="single" w:sz="4" w:space="0" w:color="auto"/>
              <w:right w:val="single" w:sz="4" w:space="0" w:color="auto"/>
            </w:tcBorders>
            <w:noWrap/>
            <w:vAlign w:val="bottom"/>
            <w:hideMark/>
          </w:tcPr>
          <w:p w:rsidR="009E35BE" w:rsidRPr="003636CA" w:rsidRDefault="009E35BE" w:rsidP="00832031">
            <w:pPr>
              <w:spacing w:after="0"/>
              <w:rPr>
                <w:sz w:val="20"/>
                <w:szCs w:val="20"/>
              </w:rPr>
            </w:pPr>
          </w:p>
        </w:tc>
        <w:tc>
          <w:tcPr>
            <w:tcW w:w="567" w:type="pct"/>
            <w:tcBorders>
              <w:top w:val="single" w:sz="4" w:space="0" w:color="auto"/>
              <w:left w:val="single" w:sz="4" w:space="0" w:color="auto"/>
              <w:bottom w:val="single" w:sz="4" w:space="0" w:color="auto"/>
              <w:right w:val="single" w:sz="4" w:space="0" w:color="auto"/>
            </w:tcBorders>
            <w:noWrap/>
            <w:vAlign w:val="bottom"/>
            <w:hideMark/>
          </w:tcPr>
          <w:p w:rsidR="009E35BE" w:rsidRPr="003636CA" w:rsidRDefault="009E35BE" w:rsidP="00832031">
            <w:pPr>
              <w:spacing w:after="0"/>
              <w:jc w:val="right"/>
              <w:rPr>
                <w:rFonts w:ascii="Calibri" w:hAnsi="Calibri" w:cs="Calibri"/>
                <w:color w:val="000000"/>
                <w:sz w:val="20"/>
                <w:szCs w:val="20"/>
              </w:rPr>
            </w:pPr>
            <w:r w:rsidRPr="003636CA">
              <w:rPr>
                <w:rFonts w:ascii="Calibri" w:hAnsi="Calibri" w:cs="Calibri"/>
                <w:color w:val="000000"/>
                <w:sz w:val="20"/>
                <w:szCs w:val="20"/>
              </w:rPr>
              <w:t>4</w:t>
            </w:r>
          </w:p>
        </w:tc>
        <w:tc>
          <w:tcPr>
            <w:tcW w:w="567" w:type="pct"/>
            <w:tcBorders>
              <w:top w:val="single" w:sz="4" w:space="0" w:color="auto"/>
              <w:left w:val="single" w:sz="4" w:space="0" w:color="auto"/>
              <w:bottom w:val="single" w:sz="4" w:space="0" w:color="auto"/>
              <w:right w:val="single" w:sz="4" w:space="0" w:color="auto"/>
            </w:tcBorders>
            <w:noWrap/>
            <w:vAlign w:val="bottom"/>
            <w:hideMark/>
          </w:tcPr>
          <w:p w:rsidR="009E35BE" w:rsidRPr="003636CA" w:rsidRDefault="009E35BE" w:rsidP="00832031">
            <w:pPr>
              <w:spacing w:after="0"/>
              <w:jc w:val="right"/>
              <w:rPr>
                <w:rFonts w:ascii="Calibri" w:hAnsi="Calibri" w:cs="Calibri"/>
                <w:color w:val="000000"/>
                <w:sz w:val="20"/>
                <w:szCs w:val="20"/>
              </w:rPr>
            </w:pPr>
            <w:r w:rsidRPr="003636CA">
              <w:rPr>
                <w:rFonts w:ascii="Calibri" w:hAnsi="Calibri" w:cs="Calibri"/>
                <w:color w:val="000000"/>
                <w:sz w:val="20"/>
                <w:szCs w:val="20"/>
              </w:rPr>
              <w:t>3</w:t>
            </w:r>
          </w:p>
        </w:tc>
        <w:tc>
          <w:tcPr>
            <w:tcW w:w="567" w:type="pct"/>
            <w:tcBorders>
              <w:top w:val="single" w:sz="4" w:space="0" w:color="auto"/>
              <w:left w:val="single" w:sz="4" w:space="0" w:color="auto"/>
              <w:bottom w:val="single" w:sz="4" w:space="0" w:color="auto"/>
              <w:right w:val="single" w:sz="4" w:space="0" w:color="auto"/>
            </w:tcBorders>
            <w:noWrap/>
            <w:vAlign w:val="bottom"/>
            <w:hideMark/>
          </w:tcPr>
          <w:p w:rsidR="009E35BE" w:rsidRPr="003636CA" w:rsidRDefault="009E35BE" w:rsidP="00832031">
            <w:pPr>
              <w:spacing w:after="0"/>
              <w:jc w:val="right"/>
              <w:rPr>
                <w:rFonts w:ascii="Calibri" w:hAnsi="Calibri" w:cs="Calibri"/>
                <w:color w:val="000000"/>
                <w:sz w:val="20"/>
                <w:szCs w:val="20"/>
              </w:rPr>
            </w:pPr>
            <w:r w:rsidRPr="003636CA">
              <w:rPr>
                <w:rFonts w:ascii="Calibri" w:hAnsi="Calibri" w:cs="Calibri"/>
                <w:color w:val="000000"/>
                <w:sz w:val="20"/>
                <w:szCs w:val="20"/>
              </w:rPr>
              <w:t>1</w:t>
            </w:r>
          </w:p>
        </w:tc>
        <w:tc>
          <w:tcPr>
            <w:tcW w:w="565" w:type="pct"/>
            <w:tcBorders>
              <w:top w:val="single" w:sz="4" w:space="0" w:color="auto"/>
              <w:left w:val="single" w:sz="4" w:space="0" w:color="auto"/>
              <w:bottom w:val="single" w:sz="4" w:space="0" w:color="auto"/>
              <w:right w:val="single" w:sz="4" w:space="0" w:color="auto"/>
            </w:tcBorders>
            <w:noWrap/>
            <w:vAlign w:val="bottom"/>
            <w:hideMark/>
          </w:tcPr>
          <w:p w:rsidR="009E35BE" w:rsidRPr="003636CA" w:rsidRDefault="009E35BE" w:rsidP="00832031">
            <w:pPr>
              <w:spacing w:after="0"/>
              <w:jc w:val="right"/>
              <w:rPr>
                <w:rFonts w:ascii="Calibri" w:hAnsi="Calibri" w:cs="Calibri"/>
                <w:color w:val="000000"/>
                <w:sz w:val="20"/>
                <w:szCs w:val="20"/>
              </w:rPr>
            </w:pPr>
            <w:r w:rsidRPr="003636CA">
              <w:rPr>
                <w:rFonts w:ascii="Calibri" w:hAnsi="Calibri" w:cs="Calibri"/>
                <w:color w:val="000000"/>
                <w:sz w:val="20"/>
                <w:szCs w:val="20"/>
              </w:rPr>
              <w:t>8</w:t>
            </w:r>
          </w:p>
        </w:tc>
      </w:tr>
      <w:tr w:rsidR="009E35BE" w:rsidRPr="00636F17" w:rsidTr="00832031">
        <w:trPr>
          <w:trHeight w:val="300"/>
        </w:trPr>
        <w:tc>
          <w:tcPr>
            <w:tcW w:w="1600" w:type="pct"/>
            <w:tcBorders>
              <w:top w:val="single" w:sz="4" w:space="0" w:color="auto"/>
              <w:left w:val="single" w:sz="4" w:space="0" w:color="auto"/>
              <w:bottom w:val="single" w:sz="4" w:space="0" w:color="auto"/>
              <w:right w:val="single" w:sz="4" w:space="0" w:color="auto"/>
            </w:tcBorders>
            <w:noWrap/>
            <w:vAlign w:val="bottom"/>
            <w:hideMark/>
          </w:tcPr>
          <w:p w:rsidR="009E35BE" w:rsidRPr="003636CA" w:rsidRDefault="009E35BE" w:rsidP="00832031">
            <w:pPr>
              <w:spacing w:after="0"/>
              <w:rPr>
                <w:rFonts w:ascii="Calibri" w:hAnsi="Calibri" w:cs="Calibri"/>
                <w:color w:val="000000"/>
                <w:sz w:val="20"/>
                <w:szCs w:val="20"/>
              </w:rPr>
            </w:pPr>
            <w:r w:rsidRPr="003636CA">
              <w:rPr>
                <w:rFonts w:ascii="Calibri" w:hAnsi="Calibri" w:cs="Calibri"/>
                <w:color w:val="000000"/>
                <w:sz w:val="20"/>
                <w:szCs w:val="20"/>
              </w:rPr>
              <w:t>LAVORO OCCASIONALE</w:t>
            </w:r>
          </w:p>
        </w:tc>
        <w:tc>
          <w:tcPr>
            <w:tcW w:w="567" w:type="pct"/>
            <w:tcBorders>
              <w:top w:val="single" w:sz="4" w:space="0" w:color="auto"/>
              <w:left w:val="single" w:sz="4" w:space="0" w:color="auto"/>
              <w:bottom w:val="single" w:sz="4" w:space="0" w:color="auto"/>
              <w:right w:val="single" w:sz="4" w:space="0" w:color="auto"/>
            </w:tcBorders>
            <w:noWrap/>
            <w:vAlign w:val="bottom"/>
            <w:hideMark/>
          </w:tcPr>
          <w:p w:rsidR="009E35BE" w:rsidRPr="003636CA" w:rsidRDefault="009E35BE" w:rsidP="00832031">
            <w:pPr>
              <w:spacing w:after="0"/>
              <w:rPr>
                <w:rFonts w:ascii="Calibri" w:hAnsi="Calibri" w:cs="Calibri"/>
                <w:color w:val="000000"/>
                <w:sz w:val="20"/>
                <w:szCs w:val="20"/>
              </w:rPr>
            </w:pPr>
          </w:p>
        </w:tc>
        <w:tc>
          <w:tcPr>
            <w:tcW w:w="567" w:type="pct"/>
            <w:tcBorders>
              <w:top w:val="single" w:sz="4" w:space="0" w:color="auto"/>
              <w:left w:val="single" w:sz="4" w:space="0" w:color="auto"/>
              <w:bottom w:val="single" w:sz="4" w:space="0" w:color="auto"/>
              <w:right w:val="single" w:sz="4" w:space="0" w:color="auto"/>
            </w:tcBorders>
            <w:noWrap/>
            <w:vAlign w:val="bottom"/>
            <w:hideMark/>
          </w:tcPr>
          <w:p w:rsidR="009E35BE" w:rsidRPr="003636CA" w:rsidRDefault="009E35BE" w:rsidP="00832031">
            <w:pPr>
              <w:spacing w:after="0"/>
              <w:rPr>
                <w:sz w:val="20"/>
                <w:szCs w:val="20"/>
              </w:rPr>
            </w:pPr>
          </w:p>
        </w:tc>
        <w:tc>
          <w:tcPr>
            <w:tcW w:w="567" w:type="pct"/>
            <w:tcBorders>
              <w:top w:val="single" w:sz="4" w:space="0" w:color="auto"/>
              <w:left w:val="single" w:sz="4" w:space="0" w:color="auto"/>
              <w:bottom w:val="single" w:sz="4" w:space="0" w:color="auto"/>
              <w:right w:val="single" w:sz="4" w:space="0" w:color="auto"/>
            </w:tcBorders>
            <w:noWrap/>
            <w:vAlign w:val="bottom"/>
            <w:hideMark/>
          </w:tcPr>
          <w:p w:rsidR="009E35BE" w:rsidRPr="003636CA" w:rsidRDefault="009E35BE" w:rsidP="00832031">
            <w:pPr>
              <w:spacing w:after="0"/>
              <w:rPr>
                <w:sz w:val="20"/>
                <w:szCs w:val="20"/>
              </w:rPr>
            </w:pPr>
          </w:p>
        </w:tc>
        <w:tc>
          <w:tcPr>
            <w:tcW w:w="567" w:type="pct"/>
            <w:tcBorders>
              <w:top w:val="single" w:sz="4" w:space="0" w:color="auto"/>
              <w:left w:val="single" w:sz="4" w:space="0" w:color="auto"/>
              <w:bottom w:val="single" w:sz="4" w:space="0" w:color="auto"/>
              <w:right w:val="single" w:sz="4" w:space="0" w:color="auto"/>
            </w:tcBorders>
            <w:noWrap/>
            <w:vAlign w:val="bottom"/>
            <w:hideMark/>
          </w:tcPr>
          <w:p w:rsidR="009E35BE" w:rsidRPr="003636CA" w:rsidRDefault="009E35BE" w:rsidP="00832031">
            <w:pPr>
              <w:spacing w:after="0"/>
              <w:jc w:val="right"/>
              <w:rPr>
                <w:rFonts w:ascii="Calibri" w:hAnsi="Calibri" w:cs="Calibri"/>
                <w:color w:val="000000"/>
                <w:sz w:val="20"/>
                <w:szCs w:val="20"/>
              </w:rPr>
            </w:pPr>
            <w:r w:rsidRPr="003636CA">
              <w:rPr>
                <w:rFonts w:ascii="Calibri" w:hAnsi="Calibri" w:cs="Calibri"/>
                <w:color w:val="000000"/>
                <w:sz w:val="20"/>
                <w:szCs w:val="20"/>
              </w:rPr>
              <w:t>3</w:t>
            </w:r>
          </w:p>
        </w:tc>
        <w:tc>
          <w:tcPr>
            <w:tcW w:w="567" w:type="pct"/>
            <w:tcBorders>
              <w:top w:val="single" w:sz="4" w:space="0" w:color="auto"/>
              <w:left w:val="single" w:sz="4" w:space="0" w:color="auto"/>
              <w:bottom w:val="single" w:sz="4" w:space="0" w:color="auto"/>
              <w:right w:val="single" w:sz="4" w:space="0" w:color="auto"/>
            </w:tcBorders>
            <w:noWrap/>
            <w:vAlign w:val="bottom"/>
            <w:hideMark/>
          </w:tcPr>
          <w:p w:rsidR="009E35BE" w:rsidRPr="003636CA" w:rsidRDefault="009E35BE" w:rsidP="00832031">
            <w:pPr>
              <w:spacing w:after="0"/>
              <w:jc w:val="right"/>
              <w:rPr>
                <w:rFonts w:ascii="Calibri" w:hAnsi="Calibri" w:cs="Calibri"/>
                <w:color w:val="000000"/>
                <w:sz w:val="20"/>
                <w:szCs w:val="20"/>
              </w:rPr>
            </w:pPr>
          </w:p>
        </w:tc>
        <w:tc>
          <w:tcPr>
            <w:tcW w:w="565" w:type="pct"/>
            <w:tcBorders>
              <w:top w:val="single" w:sz="4" w:space="0" w:color="auto"/>
              <w:left w:val="single" w:sz="4" w:space="0" w:color="auto"/>
              <w:bottom w:val="single" w:sz="4" w:space="0" w:color="auto"/>
              <w:right w:val="single" w:sz="4" w:space="0" w:color="auto"/>
            </w:tcBorders>
            <w:noWrap/>
            <w:vAlign w:val="bottom"/>
            <w:hideMark/>
          </w:tcPr>
          <w:p w:rsidR="009E35BE" w:rsidRPr="003636CA" w:rsidRDefault="009E35BE" w:rsidP="00832031">
            <w:pPr>
              <w:spacing w:after="0"/>
              <w:jc w:val="right"/>
              <w:rPr>
                <w:rFonts w:ascii="Calibri" w:hAnsi="Calibri" w:cs="Calibri"/>
                <w:color w:val="000000"/>
                <w:sz w:val="20"/>
                <w:szCs w:val="20"/>
              </w:rPr>
            </w:pPr>
            <w:r w:rsidRPr="003636CA">
              <w:rPr>
                <w:rFonts w:ascii="Calibri" w:hAnsi="Calibri" w:cs="Calibri"/>
                <w:color w:val="000000"/>
                <w:sz w:val="20"/>
                <w:szCs w:val="20"/>
              </w:rPr>
              <w:t>3</w:t>
            </w:r>
          </w:p>
        </w:tc>
      </w:tr>
      <w:tr w:rsidR="009E35BE" w:rsidRPr="00636F17" w:rsidTr="00832031">
        <w:trPr>
          <w:trHeight w:val="300"/>
        </w:trPr>
        <w:tc>
          <w:tcPr>
            <w:tcW w:w="1600" w:type="pct"/>
            <w:tcBorders>
              <w:top w:val="single" w:sz="4" w:space="0" w:color="auto"/>
              <w:left w:val="single" w:sz="4" w:space="0" w:color="auto"/>
              <w:bottom w:val="single" w:sz="4" w:space="0" w:color="auto"/>
              <w:right w:val="single" w:sz="4" w:space="0" w:color="auto"/>
            </w:tcBorders>
            <w:noWrap/>
            <w:vAlign w:val="bottom"/>
            <w:hideMark/>
          </w:tcPr>
          <w:p w:rsidR="009E35BE" w:rsidRPr="003636CA" w:rsidRDefault="009E35BE" w:rsidP="00832031">
            <w:pPr>
              <w:spacing w:after="0"/>
              <w:rPr>
                <w:rFonts w:ascii="Calibri" w:hAnsi="Calibri" w:cs="Calibri"/>
                <w:color w:val="000000"/>
                <w:sz w:val="20"/>
                <w:szCs w:val="20"/>
              </w:rPr>
            </w:pPr>
            <w:r w:rsidRPr="003636CA">
              <w:rPr>
                <w:rFonts w:ascii="Calibri" w:hAnsi="Calibri" w:cs="Calibri"/>
                <w:color w:val="000000"/>
                <w:sz w:val="20"/>
                <w:szCs w:val="20"/>
              </w:rPr>
              <w:t>LAVORO INTERMITTENTE</w:t>
            </w:r>
          </w:p>
        </w:tc>
        <w:tc>
          <w:tcPr>
            <w:tcW w:w="567" w:type="pct"/>
            <w:tcBorders>
              <w:top w:val="single" w:sz="4" w:space="0" w:color="auto"/>
              <w:left w:val="single" w:sz="4" w:space="0" w:color="auto"/>
              <w:bottom w:val="single" w:sz="4" w:space="0" w:color="auto"/>
              <w:right w:val="single" w:sz="4" w:space="0" w:color="auto"/>
            </w:tcBorders>
            <w:noWrap/>
            <w:vAlign w:val="bottom"/>
            <w:hideMark/>
          </w:tcPr>
          <w:p w:rsidR="009E35BE" w:rsidRPr="003636CA" w:rsidRDefault="009E35BE" w:rsidP="00832031">
            <w:pPr>
              <w:spacing w:after="0"/>
              <w:rPr>
                <w:rFonts w:ascii="Calibri" w:hAnsi="Calibri" w:cs="Calibri"/>
                <w:color w:val="000000"/>
                <w:sz w:val="20"/>
                <w:szCs w:val="20"/>
              </w:rPr>
            </w:pPr>
          </w:p>
        </w:tc>
        <w:tc>
          <w:tcPr>
            <w:tcW w:w="567" w:type="pct"/>
            <w:tcBorders>
              <w:top w:val="single" w:sz="4" w:space="0" w:color="auto"/>
              <w:left w:val="single" w:sz="4" w:space="0" w:color="auto"/>
              <w:bottom w:val="single" w:sz="4" w:space="0" w:color="auto"/>
              <w:right w:val="single" w:sz="4" w:space="0" w:color="auto"/>
            </w:tcBorders>
            <w:noWrap/>
            <w:vAlign w:val="bottom"/>
            <w:hideMark/>
          </w:tcPr>
          <w:p w:rsidR="009E35BE" w:rsidRPr="003636CA" w:rsidRDefault="009E35BE" w:rsidP="00832031">
            <w:pPr>
              <w:spacing w:after="0"/>
              <w:jc w:val="right"/>
              <w:rPr>
                <w:rFonts w:ascii="Calibri" w:hAnsi="Calibri" w:cs="Calibri"/>
                <w:color w:val="000000"/>
                <w:sz w:val="20"/>
                <w:szCs w:val="20"/>
              </w:rPr>
            </w:pPr>
            <w:r w:rsidRPr="003636CA">
              <w:rPr>
                <w:rFonts w:ascii="Calibri" w:hAnsi="Calibri" w:cs="Calibri"/>
                <w:color w:val="000000"/>
                <w:sz w:val="20"/>
                <w:szCs w:val="20"/>
              </w:rPr>
              <w:t>1</w:t>
            </w:r>
          </w:p>
        </w:tc>
        <w:tc>
          <w:tcPr>
            <w:tcW w:w="567" w:type="pct"/>
            <w:tcBorders>
              <w:top w:val="single" w:sz="4" w:space="0" w:color="auto"/>
              <w:left w:val="single" w:sz="4" w:space="0" w:color="auto"/>
              <w:bottom w:val="single" w:sz="4" w:space="0" w:color="auto"/>
              <w:right w:val="single" w:sz="4" w:space="0" w:color="auto"/>
            </w:tcBorders>
            <w:noWrap/>
            <w:vAlign w:val="bottom"/>
            <w:hideMark/>
          </w:tcPr>
          <w:p w:rsidR="009E35BE" w:rsidRPr="003636CA" w:rsidRDefault="009E35BE" w:rsidP="00832031">
            <w:pPr>
              <w:spacing w:after="0"/>
              <w:jc w:val="right"/>
              <w:rPr>
                <w:rFonts w:ascii="Calibri" w:hAnsi="Calibri" w:cs="Calibri"/>
                <w:color w:val="000000"/>
                <w:sz w:val="20"/>
                <w:szCs w:val="20"/>
              </w:rPr>
            </w:pPr>
          </w:p>
        </w:tc>
        <w:tc>
          <w:tcPr>
            <w:tcW w:w="567" w:type="pct"/>
            <w:tcBorders>
              <w:top w:val="single" w:sz="4" w:space="0" w:color="auto"/>
              <w:left w:val="single" w:sz="4" w:space="0" w:color="auto"/>
              <w:bottom w:val="single" w:sz="4" w:space="0" w:color="auto"/>
              <w:right w:val="single" w:sz="4" w:space="0" w:color="auto"/>
            </w:tcBorders>
            <w:noWrap/>
            <w:vAlign w:val="bottom"/>
            <w:hideMark/>
          </w:tcPr>
          <w:p w:rsidR="009E35BE" w:rsidRPr="003636CA" w:rsidRDefault="009E35BE" w:rsidP="00832031">
            <w:pPr>
              <w:spacing w:after="0"/>
              <w:rPr>
                <w:sz w:val="20"/>
                <w:szCs w:val="20"/>
              </w:rPr>
            </w:pPr>
          </w:p>
        </w:tc>
        <w:tc>
          <w:tcPr>
            <w:tcW w:w="567" w:type="pct"/>
            <w:tcBorders>
              <w:top w:val="single" w:sz="4" w:space="0" w:color="auto"/>
              <w:left w:val="single" w:sz="4" w:space="0" w:color="auto"/>
              <w:bottom w:val="single" w:sz="4" w:space="0" w:color="auto"/>
              <w:right w:val="single" w:sz="4" w:space="0" w:color="auto"/>
            </w:tcBorders>
            <w:noWrap/>
            <w:vAlign w:val="bottom"/>
            <w:hideMark/>
          </w:tcPr>
          <w:p w:rsidR="009E35BE" w:rsidRPr="003636CA" w:rsidRDefault="009E35BE" w:rsidP="00832031">
            <w:pPr>
              <w:spacing w:after="0"/>
              <w:rPr>
                <w:sz w:val="20"/>
                <w:szCs w:val="20"/>
              </w:rPr>
            </w:pPr>
          </w:p>
        </w:tc>
        <w:tc>
          <w:tcPr>
            <w:tcW w:w="565" w:type="pct"/>
            <w:tcBorders>
              <w:top w:val="single" w:sz="4" w:space="0" w:color="auto"/>
              <w:left w:val="single" w:sz="4" w:space="0" w:color="auto"/>
              <w:bottom w:val="single" w:sz="4" w:space="0" w:color="auto"/>
              <w:right w:val="single" w:sz="4" w:space="0" w:color="auto"/>
            </w:tcBorders>
            <w:noWrap/>
            <w:vAlign w:val="bottom"/>
            <w:hideMark/>
          </w:tcPr>
          <w:p w:rsidR="009E35BE" w:rsidRPr="003636CA" w:rsidRDefault="009E35BE" w:rsidP="00832031">
            <w:pPr>
              <w:spacing w:after="0"/>
              <w:jc w:val="right"/>
              <w:rPr>
                <w:rFonts w:ascii="Calibri" w:hAnsi="Calibri" w:cs="Calibri"/>
                <w:color w:val="000000"/>
                <w:sz w:val="20"/>
                <w:szCs w:val="20"/>
              </w:rPr>
            </w:pPr>
            <w:r w:rsidRPr="003636CA">
              <w:rPr>
                <w:rFonts w:ascii="Calibri" w:hAnsi="Calibri" w:cs="Calibri"/>
                <w:color w:val="000000"/>
                <w:sz w:val="20"/>
                <w:szCs w:val="20"/>
              </w:rPr>
              <w:t>1</w:t>
            </w:r>
          </w:p>
        </w:tc>
      </w:tr>
      <w:tr w:rsidR="009E35BE" w:rsidRPr="00636F17" w:rsidTr="00832031">
        <w:trPr>
          <w:trHeight w:val="300"/>
        </w:trPr>
        <w:tc>
          <w:tcPr>
            <w:tcW w:w="1600" w:type="pct"/>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9E35BE" w:rsidRPr="003636CA" w:rsidRDefault="009E35BE" w:rsidP="00832031">
            <w:pPr>
              <w:spacing w:after="0"/>
              <w:rPr>
                <w:rFonts w:ascii="Calibri" w:hAnsi="Calibri" w:cs="Calibri"/>
                <w:b/>
                <w:bCs/>
                <w:color w:val="000000"/>
                <w:sz w:val="20"/>
                <w:szCs w:val="20"/>
              </w:rPr>
            </w:pPr>
            <w:r w:rsidRPr="003636CA">
              <w:rPr>
                <w:rFonts w:ascii="Calibri" w:hAnsi="Calibri" w:cs="Calibri"/>
                <w:b/>
                <w:bCs/>
                <w:color w:val="000000"/>
                <w:sz w:val="20"/>
                <w:szCs w:val="20"/>
              </w:rPr>
              <w:t>Totale complessivo</w:t>
            </w:r>
          </w:p>
        </w:tc>
        <w:tc>
          <w:tcPr>
            <w:tcW w:w="567" w:type="pct"/>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9E35BE" w:rsidRPr="003636CA" w:rsidRDefault="009E35BE" w:rsidP="00832031">
            <w:pPr>
              <w:spacing w:after="0"/>
              <w:jc w:val="right"/>
              <w:rPr>
                <w:rFonts w:ascii="Calibri" w:hAnsi="Calibri" w:cs="Calibri"/>
                <w:b/>
                <w:bCs/>
                <w:color w:val="000000"/>
                <w:sz w:val="20"/>
                <w:szCs w:val="20"/>
              </w:rPr>
            </w:pPr>
            <w:r w:rsidRPr="003636CA">
              <w:rPr>
                <w:rFonts w:ascii="Calibri" w:hAnsi="Calibri" w:cs="Calibri"/>
                <w:b/>
                <w:bCs/>
                <w:color w:val="000000"/>
                <w:sz w:val="20"/>
                <w:szCs w:val="20"/>
              </w:rPr>
              <w:t>60</w:t>
            </w:r>
          </w:p>
        </w:tc>
        <w:tc>
          <w:tcPr>
            <w:tcW w:w="567" w:type="pct"/>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9E35BE" w:rsidRPr="003636CA" w:rsidRDefault="009E35BE" w:rsidP="00832031">
            <w:pPr>
              <w:spacing w:after="0"/>
              <w:jc w:val="right"/>
              <w:rPr>
                <w:rFonts w:ascii="Calibri" w:hAnsi="Calibri" w:cs="Calibri"/>
                <w:b/>
                <w:bCs/>
                <w:color w:val="000000"/>
                <w:sz w:val="20"/>
                <w:szCs w:val="20"/>
              </w:rPr>
            </w:pPr>
            <w:r w:rsidRPr="003636CA">
              <w:rPr>
                <w:rFonts w:ascii="Calibri" w:hAnsi="Calibri" w:cs="Calibri"/>
                <w:b/>
                <w:bCs/>
                <w:color w:val="000000"/>
                <w:sz w:val="20"/>
                <w:szCs w:val="20"/>
              </w:rPr>
              <w:t>69</w:t>
            </w:r>
          </w:p>
        </w:tc>
        <w:tc>
          <w:tcPr>
            <w:tcW w:w="567" w:type="pct"/>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9E35BE" w:rsidRPr="003636CA" w:rsidRDefault="009E35BE" w:rsidP="00832031">
            <w:pPr>
              <w:spacing w:after="0"/>
              <w:jc w:val="right"/>
              <w:rPr>
                <w:rFonts w:ascii="Calibri" w:hAnsi="Calibri" w:cs="Calibri"/>
                <w:b/>
                <w:bCs/>
                <w:color w:val="000000"/>
                <w:sz w:val="20"/>
                <w:szCs w:val="20"/>
              </w:rPr>
            </w:pPr>
            <w:r w:rsidRPr="003636CA">
              <w:rPr>
                <w:rFonts w:ascii="Calibri" w:hAnsi="Calibri" w:cs="Calibri"/>
                <w:b/>
                <w:bCs/>
                <w:color w:val="000000"/>
                <w:sz w:val="20"/>
                <w:szCs w:val="20"/>
              </w:rPr>
              <w:t>125</w:t>
            </w:r>
          </w:p>
        </w:tc>
        <w:tc>
          <w:tcPr>
            <w:tcW w:w="567" w:type="pct"/>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9E35BE" w:rsidRPr="003636CA" w:rsidRDefault="009E35BE" w:rsidP="00832031">
            <w:pPr>
              <w:spacing w:after="0"/>
              <w:jc w:val="right"/>
              <w:rPr>
                <w:rFonts w:ascii="Calibri" w:hAnsi="Calibri" w:cs="Calibri"/>
                <w:b/>
                <w:bCs/>
                <w:color w:val="000000"/>
                <w:sz w:val="20"/>
                <w:szCs w:val="20"/>
              </w:rPr>
            </w:pPr>
            <w:r w:rsidRPr="003636CA">
              <w:rPr>
                <w:rFonts w:ascii="Calibri" w:hAnsi="Calibri" w:cs="Calibri"/>
                <w:b/>
                <w:bCs/>
                <w:color w:val="000000"/>
                <w:sz w:val="20"/>
                <w:szCs w:val="20"/>
              </w:rPr>
              <w:t>151</w:t>
            </w:r>
          </w:p>
        </w:tc>
        <w:tc>
          <w:tcPr>
            <w:tcW w:w="567" w:type="pct"/>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9E35BE" w:rsidRPr="003636CA" w:rsidRDefault="009E35BE" w:rsidP="00832031">
            <w:pPr>
              <w:spacing w:after="0"/>
              <w:jc w:val="right"/>
              <w:rPr>
                <w:rFonts w:ascii="Calibri" w:hAnsi="Calibri" w:cs="Calibri"/>
                <w:b/>
                <w:bCs/>
                <w:color w:val="000000"/>
                <w:sz w:val="20"/>
                <w:szCs w:val="20"/>
              </w:rPr>
            </w:pPr>
            <w:r w:rsidRPr="003636CA">
              <w:rPr>
                <w:rFonts w:ascii="Calibri" w:hAnsi="Calibri" w:cs="Calibri"/>
                <w:b/>
                <w:bCs/>
                <w:color w:val="000000"/>
                <w:sz w:val="20"/>
                <w:szCs w:val="20"/>
              </w:rPr>
              <w:t>127</w:t>
            </w:r>
          </w:p>
        </w:tc>
        <w:tc>
          <w:tcPr>
            <w:tcW w:w="565" w:type="pct"/>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9E35BE" w:rsidRPr="003636CA" w:rsidRDefault="009E35BE" w:rsidP="00832031">
            <w:pPr>
              <w:spacing w:after="0"/>
              <w:jc w:val="right"/>
              <w:rPr>
                <w:rFonts w:ascii="Calibri" w:hAnsi="Calibri" w:cs="Calibri"/>
                <w:b/>
                <w:bCs/>
                <w:color w:val="000000"/>
                <w:sz w:val="20"/>
                <w:szCs w:val="20"/>
              </w:rPr>
            </w:pPr>
            <w:r w:rsidRPr="003636CA">
              <w:rPr>
                <w:rFonts w:ascii="Calibri" w:hAnsi="Calibri" w:cs="Calibri"/>
                <w:b/>
                <w:bCs/>
                <w:color w:val="000000"/>
                <w:sz w:val="20"/>
                <w:szCs w:val="20"/>
              </w:rPr>
              <w:t>532</w:t>
            </w:r>
          </w:p>
        </w:tc>
      </w:tr>
    </w:tbl>
    <w:p w:rsidR="009E35BE" w:rsidRDefault="009E35BE" w:rsidP="009E35BE">
      <w:pPr>
        <w:jc w:val="both"/>
        <w:rPr>
          <w:b/>
          <w:sz w:val="20"/>
          <w:szCs w:val="20"/>
        </w:rPr>
      </w:pPr>
    </w:p>
    <w:p w:rsidR="009E35BE" w:rsidRPr="00495D2B" w:rsidRDefault="009E35BE" w:rsidP="009E35BE">
      <w:pPr>
        <w:jc w:val="both"/>
      </w:pPr>
      <w:r w:rsidRPr="00495D2B">
        <w:t>Anche in questo caso può essere utile raffrontare tali dati con quelli dell’intero comparto in cui, nello stesso periodo, il</w:t>
      </w:r>
      <w:r>
        <w:t xml:space="preserve"> tempo determinato cresce del 71,9</w:t>
      </w:r>
      <w:r w:rsidRPr="00495D2B">
        <w:t>%, qu</w:t>
      </w:r>
      <w:r>
        <w:t>ello indeterminato aumenta del 172,9% e l’apprendistato di +106</w:t>
      </w:r>
      <w:r w:rsidRPr="00495D2B">
        <w:t xml:space="preserve">%. Il raffronto mostra, dunque, nel campione </w:t>
      </w:r>
      <w:proofErr w:type="spellStart"/>
      <w:r w:rsidRPr="00495D2B">
        <w:t>Ebret</w:t>
      </w:r>
      <w:proofErr w:type="spellEnd"/>
      <w:r w:rsidRPr="00495D2B">
        <w:t>, una maggiore concentrazione delle assunzioni verso forme contrattuali di migliore qualità (il tempo indeterminato, appunto) rispetto a quanto accade nell’intero comparto orafo</w:t>
      </w:r>
      <w:r>
        <w:t xml:space="preserve"> (la somma dei contratti a tempo indeterminato e di quelli di apprendistato fra il 2011 e il 2015 è, infatti, cresciuta di più nel campione </w:t>
      </w:r>
      <w:proofErr w:type="spellStart"/>
      <w:r>
        <w:t>Ebret</w:t>
      </w:r>
      <w:proofErr w:type="spellEnd"/>
      <w:r>
        <w:t xml:space="preserve"> che nell’intero settore orafo)</w:t>
      </w:r>
      <w:r w:rsidRPr="00495D2B">
        <w:t>.</w:t>
      </w:r>
    </w:p>
    <w:p w:rsidR="009E35BE" w:rsidRDefault="009E35BE" w:rsidP="009E35BE">
      <w:pPr>
        <w:jc w:val="both"/>
      </w:pPr>
      <w:r w:rsidRPr="00495D2B">
        <w:t>Un approfondimento della qualità contrattuale è offerto dalle due tabelle seguenti</w:t>
      </w:r>
      <w:r>
        <w:t>,</w:t>
      </w:r>
      <w:r w:rsidRPr="00495D2B">
        <w:t xml:space="preserve"> in cui gli avviati nel 2015 del campione </w:t>
      </w:r>
      <w:proofErr w:type="spellStart"/>
      <w:r w:rsidRPr="00495D2B">
        <w:t>Ebret</w:t>
      </w:r>
      <w:proofErr w:type="spellEnd"/>
      <w:r w:rsidRPr="00495D2B">
        <w:t xml:space="preserve"> sono stati disaggregati per età e genere. Come si è già fatto con l’universo degli avviati del settore orafo (vedi Graf.1 e 2), alle diverse tipologie contrattuali sopra riportate è stato attribuito un punteggio che riflette la durata contrattuale e il livello di tutele sindacali e previdenziali</w:t>
      </w:r>
      <w:r>
        <w:t xml:space="preserve"> (1 = qualità bassa; 2 = qualità media; 3 = qualità alta).</w:t>
      </w:r>
    </w:p>
    <w:p w:rsidR="009E35BE" w:rsidRDefault="009E35BE" w:rsidP="009E35BE">
      <w:pPr>
        <w:jc w:val="both"/>
        <w:rPr>
          <w:b/>
          <w:sz w:val="20"/>
          <w:szCs w:val="20"/>
        </w:rPr>
      </w:pPr>
      <w:proofErr w:type="spellStart"/>
      <w:r w:rsidRPr="00495D2B">
        <w:rPr>
          <w:b/>
          <w:sz w:val="20"/>
          <w:szCs w:val="20"/>
        </w:rPr>
        <w:t>Tab</w:t>
      </w:r>
      <w:proofErr w:type="spellEnd"/>
      <w:r w:rsidRPr="00495D2B">
        <w:rPr>
          <w:b/>
          <w:sz w:val="20"/>
          <w:szCs w:val="20"/>
        </w:rPr>
        <w:t xml:space="preserve">. </w:t>
      </w:r>
      <w:r w:rsidR="0029619D">
        <w:rPr>
          <w:b/>
          <w:sz w:val="20"/>
          <w:szCs w:val="20"/>
        </w:rPr>
        <w:t>3.16</w:t>
      </w:r>
      <w:r w:rsidRPr="00495D2B">
        <w:rPr>
          <w:b/>
          <w:sz w:val="20"/>
          <w:szCs w:val="20"/>
        </w:rPr>
        <w:t xml:space="preserve"> - </w:t>
      </w:r>
      <w:r w:rsidRPr="005B5746">
        <w:rPr>
          <w:b/>
          <w:sz w:val="20"/>
          <w:szCs w:val="20"/>
        </w:rPr>
        <w:t>Dist</w:t>
      </w:r>
      <w:r>
        <w:rPr>
          <w:b/>
          <w:sz w:val="20"/>
          <w:szCs w:val="20"/>
        </w:rPr>
        <w:t>ribuzione degli avviamenti (2015</w:t>
      </w:r>
      <w:r w:rsidRPr="005B5746">
        <w:rPr>
          <w:b/>
          <w:sz w:val="20"/>
          <w:szCs w:val="20"/>
        </w:rPr>
        <w:t>) per classi d’età e ranking contrattuale</w:t>
      </w:r>
      <w:r>
        <w:rPr>
          <w:b/>
          <w:sz w:val="20"/>
          <w:szCs w:val="20"/>
        </w:rPr>
        <w:t xml:space="preserve"> </w:t>
      </w:r>
      <w:r w:rsidRPr="00ED714C">
        <w:rPr>
          <w:b/>
          <w:sz w:val="20"/>
          <w:szCs w:val="20"/>
        </w:rPr>
        <w:t xml:space="preserve">– aziende campione </w:t>
      </w:r>
      <w:proofErr w:type="spellStart"/>
      <w:r w:rsidRPr="00ED714C">
        <w:rPr>
          <w:b/>
          <w:sz w:val="20"/>
          <w:szCs w:val="20"/>
        </w:rPr>
        <w:t>Ebret</w:t>
      </w:r>
      <w:proofErr w:type="spellEnd"/>
      <w:r>
        <w:rPr>
          <w:b/>
          <w:sz w:val="20"/>
          <w:szCs w:val="20"/>
        </w:rPr>
        <w:t xml:space="preserve"> e Universo.</w:t>
      </w:r>
    </w:p>
    <w:tbl>
      <w:tblPr>
        <w:tblW w:w="5000" w:type="pct"/>
        <w:tblCellMar>
          <w:top w:w="15" w:type="dxa"/>
          <w:left w:w="70" w:type="dxa"/>
          <w:bottom w:w="15" w:type="dxa"/>
          <w:right w:w="70" w:type="dxa"/>
        </w:tblCellMar>
        <w:tblLook w:val="04A0" w:firstRow="1" w:lastRow="0" w:firstColumn="1" w:lastColumn="0" w:noHBand="0" w:noVBand="1"/>
      </w:tblPr>
      <w:tblGrid>
        <w:gridCol w:w="1179"/>
        <w:gridCol w:w="1093"/>
        <w:gridCol w:w="1022"/>
        <w:gridCol w:w="1103"/>
        <w:gridCol w:w="1011"/>
        <w:gridCol w:w="1115"/>
        <w:gridCol w:w="999"/>
        <w:gridCol w:w="1126"/>
        <w:gridCol w:w="980"/>
      </w:tblGrid>
      <w:tr w:rsidR="009E35BE" w:rsidRPr="00433496" w:rsidTr="00832031">
        <w:trPr>
          <w:trHeight w:val="300"/>
        </w:trPr>
        <w:tc>
          <w:tcPr>
            <w:tcW w:w="612" w:type="pct"/>
            <w:vMerge w:val="restart"/>
            <w:tcBorders>
              <w:top w:val="single" w:sz="4" w:space="0" w:color="auto"/>
              <w:left w:val="single" w:sz="4" w:space="0" w:color="auto"/>
              <w:bottom w:val="single" w:sz="4" w:space="0" w:color="auto"/>
              <w:right w:val="single" w:sz="4" w:space="0" w:color="auto"/>
            </w:tcBorders>
            <w:shd w:val="clear" w:color="000000" w:fill="D9E1F2"/>
            <w:vAlign w:val="bottom"/>
            <w:hideMark/>
          </w:tcPr>
          <w:p w:rsidR="009E35BE" w:rsidRPr="00433496" w:rsidRDefault="009E35BE" w:rsidP="00832031">
            <w:pPr>
              <w:spacing w:after="0" w:line="240" w:lineRule="auto"/>
              <w:jc w:val="center"/>
              <w:rPr>
                <w:rFonts w:ascii="Calibri" w:eastAsia="Times New Roman" w:hAnsi="Calibri" w:cs="Calibri"/>
                <w:b/>
                <w:bCs/>
                <w:color w:val="000000"/>
                <w:sz w:val="20"/>
                <w:szCs w:val="20"/>
                <w:lang w:eastAsia="it-IT"/>
              </w:rPr>
            </w:pPr>
            <w:r w:rsidRPr="00433496">
              <w:rPr>
                <w:rFonts w:ascii="Calibri" w:eastAsia="Times New Roman" w:hAnsi="Calibri" w:cs="Calibri"/>
                <w:b/>
                <w:bCs/>
                <w:color w:val="000000"/>
                <w:sz w:val="20"/>
                <w:szCs w:val="20"/>
                <w:lang w:eastAsia="it-IT"/>
              </w:rPr>
              <w:t>Qualità contrattuale</w:t>
            </w:r>
          </w:p>
        </w:tc>
        <w:tc>
          <w:tcPr>
            <w:tcW w:w="1097" w:type="pct"/>
            <w:gridSpan w:val="2"/>
            <w:tcBorders>
              <w:top w:val="single" w:sz="4" w:space="0" w:color="auto"/>
              <w:left w:val="single" w:sz="4" w:space="0" w:color="auto"/>
              <w:bottom w:val="single" w:sz="4" w:space="0" w:color="auto"/>
              <w:right w:val="nil"/>
            </w:tcBorders>
            <w:shd w:val="clear" w:color="000000" w:fill="D9E1F2"/>
            <w:vAlign w:val="bottom"/>
            <w:hideMark/>
          </w:tcPr>
          <w:p w:rsidR="009E35BE" w:rsidRPr="00433496" w:rsidRDefault="009E35BE" w:rsidP="00832031">
            <w:pPr>
              <w:spacing w:after="0" w:line="240" w:lineRule="auto"/>
              <w:jc w:val="center"/>
              <w:rPr>
                <w:rFonts w:ascii="Calibri" w:eastAsia="Times New Roman" w:hAnsi="Calibri" w:cs="Calibri"/>
                <w:b/>
                <w:bCs/>
                <w:color w:val="000000"/>
                <w:sz w:val="20"/>
                <w:szCs w:val="20"/>
                <w:lang w:eastAsia="it-IT"/>
              </w:rPr>
            </w:pPr>
            <w:r w:rsidRPr="00433496">
              <w:rPr>
                <w:rFonts w:ascii="Calibri" w:eastAsia="Times New Roman" w:hAnsi="Calibri" w:cs="Calibri"/>
                <w:b/>
                <w:bCs/>
                <w:color w:val="000000"/>
                <w:sz w:val="20"/>
                <w:szCs w:val="20"/>
                <w:lang w:eastAsia="it-IT"/>
              </w:rPr>
              <w:t>-29</w:t>
            </w:r>
          </w:p>
        </w:tc>
        <w:tc>
          <w:tcPr>
            <w:tcW w:w="1098" w:type="pct"/>
            <w:gridSpan w:val="2"/>
            <w:tcBorders>
              <w:top w:val="single" w:sz="4" w:space="0" w:color="auto"/>
              <w:left w:val="single" w:sz="4" w:space="0" w:color="auto"/>
              <w:bottom w:val="single" w:sz="4" w:space="0" w:color="auto"/>
              <w:right w:val="nil"/>
            </w:tcBorders>
            <w:shd w:val="clear" w:color="000000" w:fill="D9E1F2"/>
            <w:vAlign w:val="bottom"/>
            <w:hideMark/>
          </w:tcPr>
          <w:p w:rsidR="009E35BE" w:rsidRPr="00433496" w:rsidRDefault="009E35BE" w:rsidP="00832031">
            <w:pPr>
              <w:spacing w:after="0" w:line="240" w:lineRule="auto"/>
              <w:jc w:val="center"/>
              <w:rPr>
                <w:rFonts w:ascii="Calibri" w:eastAsia="Times New Roman" w:hAnsi="Calibri" w:cs="Calibri"/>
                <w:b/>
                <w:bCs/>
                <w:color w:val="000000"/>
                <w:sz w:val="20"/>
                <w:szCs w:val="20"/>
                <w:lang w:eastAsia="it-IT"/>
              </w:rPr>
            </w:pPr>
            <w:r w:rsidRPr="00433496">
              <w:rPr>
                <w:rFonts w:ascii="Calibri" w:eastAsia="Times New Roman" w:hAnsi="Calibri" w:cs="Calibri"/>
                <w:b/>
                <w:bCs/>
                <w:color w:val="000000"/>
                <w:sz w:val="20"/>
                <w:szCs w:val="20"/>
                <w:lang w:eastAsia="it-IT"/>
              </w:rPr>
              <w:t>30-49</w:t>
            </w:r>
          </w:p>
        </w:tc>
        <w:tc>
          <w:tcPr>
            <w:tcW w:w="1098" w:type="pct"/>
            <w:gridSpan w:val="2"/>
            <w:tcBorders>
              <w:top w:val="single" w:sz="4" w:space="0" w:color="auto"/>
              <w:left w:val="single" w:sz="4" w:space="0" w:color="auto"/>
              <w:bottom w:val="single" w:sz="4" w:space="0" w:color="auto"/>
              <w:right w:val="nil"/>
            </w:tcBorders>
            <w:shd w:val="clear" w:color="000000" w:fill="D9E1F2"/>
            <w:vAlign w:val="bottom"/>
            <w:hideMark/>
          </w:tcPr>
          <w:p w:rsidR="009E35BE" w:rsidRPr="00433496" w:rsidRDefault="009E35BE" w:rsidP="00832031">
            <w:pPr>
              <w:spacing w:after="0" w:line="240" w:lineRule="auto"/>
              <w:jc w:val="center"/>
              <w:rPr>
                <w:rFonts w:ascii="Calibri" w:eastAsia="Times New Roman" w:hAnsi="Calibri" w:cs="Calibri"/>
                <w:b/>
                <w:bCs/>
                <w:color w:val="000000"/>
                <w:sz w:val="20"/>
                <w:szCs w:val="20"/>
                <w:lang w:eastAsia="it-IT"/>
              </w:rPr>
            </w:pPr>
            <w:r w:rsidRPr="00433496">
              <w:rPr>
                <w:rFonts w:ascii="Calibri" w:eastAsia="Times New Roman" w:hAnsi="Calibri" w:cs="Calibri"/>
                <w:b/>
                <w:bCs/>
                <w:color w:val="000000"/>
                <w:sz w:val="20"/>
                <w:szCs w:val="20"/>
                <w:lang w:eastAsia="it-IT"/>
              </w:rPr>
              <w:t>50-</w:t>
            </w:r>
          </w:p>
        </w:tc>
        <w:tc>
          <w:tcPr>
            <w:tcW w:w="1095" w:type="pct"/>
            <w:gridSpan w:val="2"/>
            <w:tcBorders>
              <w:top w:val="single" w:sz="4" w:space="0" w:color="auto"/>
              <w:left w:val="single" w:sz="4" w:space="0" w:color="auto"/>
              <w:bottom w:val="single" w:sz="4" w:space="0" w:color="auto"/>
              <w:right w:val="single" w:sz="4" w:space="0" w:color="auto"/>
            </w:tcBorders>
            <w:shd w:val="clear" w:color="000000" w:fill="D9E1F2"/>
            <w:vAlign w:val="bottom"/>
            <w:hideMark/>
          </w:tcPr>
          <w:p w:rsidR="009E35BE" w:rsidRPr="00433496" w:rsidRDefault="009E35BE" w:rsidP="00832031">
            <w:pPr>
              <w:spacing w:after="0" w:line="240" w:lineRule="auto"/>
              <w:jc w:val="center"/>
              <w:rPr>
                <w:rFonts w:ascii="Calibri" w:eastAsia="Times New Roman" w:hAnsi="Calibri" w:cs="Calibri"/>
                <w:b/>
                <w:bCs/>
                <w:color w:val="000000"/>
                <w:sz w:val="20"/>
                <w:szCs w:val="20"/>
                <w:lang w:eastAsia="it-IT"/>
              </w:rPr>
            </w:pPr>
            <w:r w:rsidRPr="00433496">
              <w:rPr>
                <w:rFonts w:ascii="Calibri" w:eastAsia="Times New Roman" w:hAnsi="Calibri" w:cs="Calibri"/>
                <w:b/>
                <w:bCs/>
                <w:color w:val="000000"/>
                <w:sz w:val="20"/>
                <w:szCs w:val="20"/>
                <w:lang w:eastAsia="it-IT"/>
              </w:rPr>
              <w:t>Totale</w:t>
            </w:r>
          </w:p>
        </w:tc>
      </w:tr>
      <w:tr w:rsidR="009E35BE" w:rsidRPr="00433496" w:rsidTr="00832031">
        <w:trPr>
          <w:trHeight w:val="525"/>
        </w:trPr>
        <w:tc>
          <w:tcPr>
            <w:tcW w:w="612" w:type="pct"/>
            <w:vMerge/>
            <w:tcBorders>
              <w:top w:val="single" w:sz="4" w:space="0" w:color="auto"/>
              <w:left w:val="single" w:sz="4" w:space="0" w:color="auto"/>
              <w:bottom w:val="single" w:sz="4" w:space="0" w:color="auto"/>
              <w:right w:val="single" w:sz="4" w:space="0" w:color="auto"/>
            </w:tcBorders>
            <w:vAlign w:val="center"/>
            <w:hideMark/>
          </w:tcPr>
          <w:p w:rsidR="009E35BE" w:rsidRPr="00433496" w:rsidRDefault="009E35BE" w:rsidP="00832031">
            <w:pPr>
              <w:spacing w:after="0" w:line="240" w:lineRule="auto"/>
              <w:jc w:val="center"/>
              <w:rPr>
                <w:rFonts w:ascii="Calibri" w:eastAsia="Times New Roman" w:hAnsi="Calibri" w:cs="Calibri"/>
                <w:b/>
                <w:bCs/>
                <w:color w:val="000000"/>
                <w:sz w:val="20"/>
                <w:szCs w:val="20"/>
                <w:lang w:eastAsia="it-IT"/>
              </w:rPr>
            </w:pPr>
          </w:p>
        </w:tc>
        <w:tc>
          <w:tcPr>
            <w:tcW w:w="567" w:type="pct"/>
            <w:tcBorders>
              <w:top w:val="single" w:sz="4" w:space="0" w:color="auto"/>
              <w:left w:val="single" w:sz="4" w:space="0" w:color="auto"/>
              <w:bottom w:val="single" w:sz="4" w:space="0" w:color="auto"/>
              <w:right w:val="single" w:sz="4" w:space="0" w:color="auto"/>
            </w:tcBorders>
            <w:shd w:val="clear" w:color="000000" w:fill="D9E1F2"/>
            <w:vAlign w:val="bottom"/>
            <w:hideMark/>
          </w:tcPr>
          <w:p w:rsidR="009E35BE" w:rsidRPr="00433496" w:rsidRDefault="009E35BE" w:rsidP="00832031">
            <w:pPr>
              <w:spacing w:after="0" w:line="240" w:lineRule="auto"/>
              <w:jc w:val="center"/>
              <w:rPr>
                <w:rFonts w:ascii="Calibri" w:eastAsia="Times New Roman" w:hAnsi="Calibri" w:cs="Calibri"/>
                <w:b/>
                <w:bCs/>
                <w:color w:val="000000"/>
                <w:sz w:val="20"/>
                <w:szCs w:val="20"/>
                <w:lang w:eastAsia="it-IT"/>
              </w:rPr>
            </w:pPr>
            <w:r w:rsidRPr="00433496">
              <w:rPr>
                <w:rFonts w:ascii="Calibri" w:eastAsia="Times New Roman" w:hAnsi="Calibri" w:cs="Calibri"/>
                <w:b/>
                <w:bCs/>
                <w:color w:val="000000"/>
                <w:sz w:val="20"/>
                <w:szCs w:val="20"/>
                <w:lang w:eastAsia="it-IT"/>
              </w:rPr>
              <w:t xml:space="preserve">Campione </w:t>
            </w:r>
            <w:proofErr w:type="spellStart"/>
            <w:r w:rsidRPr="00433496">
              <w:rPr>
                <w:rFonts w:ascii="Calibri" w:eastAsia="Times New Roman" w:hAnsi="Calibri" w:cs="Calibri"/>
                <w:b/>
                <w:bCs/>
                <w:color w:val="000000"/>
                <w:sz w:val="20"/>
                <w:szCs w:val="20"/>
                <w:lang w:eastAsia="it-IT"/>
              </w:rPr>
              <w:t>Ebret</w:t>
            </w:r>
            <w:proofErr w:type="spellEnd"/>
          </w:p>
        </w:tc>
        <w:tc>
          <w:tcPr>
            <w:tcW w:w="531" w:type="pct"/>
            <w:tcBorders>
              <w:top w:val="single" w:sz="4" w:space="0" w:color="auto"/>
              <w:left w:val="single" w:sz="4" w:space="0" w:color="auto"/>
              <w:bottom w:val="single" w:sz="4" w:space="0" w:color="auto"/>
              <w:right w:val="single" w:sz="4" w:space="0" w:color="auto"/>
            </w:tcBorders>
            <w:shd w:val="clear" w:color="000000" w:fill="D9E1F2"/>
            <w:vAlign w:val="bottom"/>
            <w:hideMark/>
          </w:tcPr>
          <w:p w:rsidR="009E35BE" w:rsidRPr="00433496" w:rsidRDefault="009E35BE" w:rsidP="00832031">
            <w:pPr>
              <w:spacing w:after="0" w:line="240" w:lineRule="auto"/>
              <w:jc w:val="center"/>
              <w:rPr>
                <w:rFonts w:ascii="Calibri" w:eastAsia="Times New Roman" w:hAnsi="Calibri" w:cs="Calibri"/>
                <w:b/>
                <w:bCs/>
                <w:color w:val="000000"/>
                <w:sz w:val="20"/>
                <w:szCs w:val="20"/>
                <w:lang w:eastAsia="it-IT"/>
              </w:rPr>
            </w:pPr>
            <w:r w:rsidRPr="00433496">
              <w:rPr>
                <w:rFonts w:ascii="Calibri" w:eastAsia="Times New Roman" w:hAnsi="Calibri" w:cs="Calibri"/>
                <w:b/>
                <w:bCs/>
                <w:color w:val="000000"/>
                <w:sz w:val="20"/>
                <w:szCs w:val="20"/>
                <w:lang w:eastAsia="it-IT"/>
              </w:rPr>
              <w:t>Universo</w:t>
            </w:r>
          </w:p>
        </w:tc>
        <w:tc>
          <w:tcPr>
            <w:tcW w:w="573" w:type="pct"/>
            <w:tcBorders>
              <w:top w:val="single" w:sz="4" w:space="0" w:color="auto"/>
              <w:left w:val="single" w:sz="4" w:space="0" w:color="auto"/>
              <w:bottom w:val="single" w:sz="4" w:space="0" w:color="auto"/>
              <w:right w:val="single" w:sz="4" w:space="0" w:color="auto"/>
            </w:tcBorders>
            <w:shd w:val="clear" w:color="000000" w:fill="D9E1F2"/>
            <w:vAlign w:val="bottom"/>
            <w:hideMark/>
          </w:tcPr>
          <w:p w:rsidR="009E35BE" w:rsidRPr="00433496" w:rsidRDefault="009E35BE" w:rsidP="00832031">
            <w:pPr>
              <w:spacing w:after="0" w:line="240" w:lineRule="auto"/>
              <w:jc w:val="center"/>
              <w:rPr>
                <w:rFonts w:ascii="Calibri" w:eastAsia="Times New Roman" w:hAnsi="Calibri" w:cs="Calibri"/>
                <w:b/>
                <w:bCs/>
                <w:color w:val="000000"/>
                <w:sz w:val="20"/>
                <w:szCs w:val="20"/>
                <w:lang w:eastAsia="it-IT"/>
              </w:rPr>
            </w:pPr>
            <w:r w:rsidRPr="00433496">
              <w:rPr>
                <w:rFonts w:ascii="Calibri" w:eastAsia="Times New Roman" w:hAnsi="Calibri" w:cs="Calibri"/>
                <w:b/>
                <w:bCs/>
                <w:color w:val="000000"/>
                <w:sz w:val="20"/>
                <w:szCs w:val="20"/>
                <w:lang w:eastAsia="it-IT"/>
              </w:rPr>
              <w:t xml:space="preserve">Campione </w:t>
            </w:r>
            <w:proofErr w:type="spellStart"/>
            <w:r w:rsidRPr="00433496">
              <w:rPr>
                <w:rFonts w:ascii="Calibri" w:eastAsia="Times New Roman" w:hAnsi="Calibri" w:cs="Calibri"/>
                <w:b/>
                <w:bCs/>
                <w:color w:val="000000"/>
                <w:sz w:val="20"/>
                <w:szCs w:val="20"/>
                <w:lang w:eastAsia="it-IT"/>
              </w:rPr>
              <w:t>Ebret</w:t>
            </w:r>
            <w:proofErr w:type="spellEnd"/>
          </w:p>
        </w:tc>
        <w:tc>
          <w:tcPr>
            <w:tcW w:w="525" w:type="pct"/>
            <w:tcBorders>
              <w:top w:val="single" w:sz="4" w:space="0" w:color="auto"/>
              <w:left w:val="single" w:sz="4" w:space="0" w:color="auto"/>
              <w:bottom w:val="single" w:sz="4" w:space="0" w:color="auto"/>
              <w:right w:val="single" w:sz="4" w:space="0" w:color="auto"/>
            </w:tcBorders>
            <w:shd w:val="clear" w:color="000000" w:fill="D9E1F2"/>
            <w:vAlign w:val="bottom"/>
            <w:hideMark/>
          </w:tcPr>
          <w:p w:rsidR="009E35BE" w:rsidRPr="00433496" w:rsidRDefault="009E35BE" w:rsidP="00832031">
            <w:pPr>
              <w:spacing w:after="0" w:line="240" w:lineRule="auto"/>
              <w:jc w:val="center"/>
              <w:rPr>
                <w:rFonts w:ascii="Calibri" w:eastAsia="Times New Roman" w:hAnsi="Calibri" w:cs="Calibri"/>
                <w:b/>
                <w:bCs/>
                <w:color w:val="000000"/>
                <w:sz w:val="20"/>
                <w:szCs w:val="20"/>
                <w:lang w:eastAsia="it-IT"/>
              </w:rPr>
            </w:pPr>
            <w:r w:rsidRPr="00433496">
              <w:rPr>
                <w:rFonts w:ascii="Calibri" w:eastAsia="Times New Roman" w:hAnsi="Calibri" w:cs="Calibri"/>
                <w:b/>
                <w:bCs/>
                <w:color w:val="000000"/>
                <w:sz w:val="20"/>
                <w:szCs w:val="20"/>
                <w:lang w:eastAsia="it-IT"/>
              </w:rPr>
              <w:t>Universo</w:t>
            </w:r>
          </w:p>
        </w:tc>
        <w:tc>
          <w:tcPr>
            <w:tcW w:w="579" w:type="pct"/>
            <w:tcBorders>
              <w:top w:val="single" w:sz="4" w:space="0" w:color="auto"/>
              <w:left w:val="single" w:sz="4" w:space="0" w:color="auto"/>
              <w:bottom w:val="single" w:sz="4" w:space="0" w:color="auto"/>
              <w:right w:val="single" w:sz="4" w:space="0" w:color="auto"/>
            </w:tcBorders>
            <w:shd w:val="clear" w:color="000000" w:fill="D9E1F2"/>
            <w:vAlign w:val="bottom"/>
            <w:hideMark/>
          </w:tcPr>
          <w:p w:rsidR="009E35BE" w:rsidRPr="00433496" w:rsidRDefault="009E35BE" w:rsidP="00832031">
            <w:pPr>
              <w:spacing w:after="0" w:line="240" w:lineRule="auto"/>
              <w:jc w:val="center"/>
              <w:rPr>
                <w:rFonts w:ascii="Calibri" w:eastAsia="Times New Roman" w:hAnsi="Calibri" w:cs="Calibri"/>
                <w:b/>
                <w:bCs/>
                <w:color w:val="000000"/>
                <w:sz w:val="20"/>
                <w:szCs w:val="20"/>
                <w:lang w:eastAsia="it-IT"/>
              </w:rPr>
            </w:pPr>
            <w:r w:rsidRPr="00433496">
              <w:rPr>
                <w:rFonts w:ascii="Calibri" w:eastAsia="Times New Roman" w:hAnsi="Calibri" w:cs="Calibri"/>
                <w:b/>
                <w:bCs/>
                <w:color w:val="000000"/>
                <w:sz w:val="20"/>
                <w:szCs w:val="20"/>
                <w:lang w:eastAsia="it-IT"/>
              </w:rPr>
              <w:t xml:space="preserve">Campione </w:t>
            </w:r>
            <w:proofErr w:type="spellStart"/>
            <w:r w:rsidRPr="00433496">
              <w:rPr>
                <w:rFonts w:ascii="Calibri" w:eastAsia="Times New Roman" w:hAnsi="Calibri" w:cs="Calibri"/>
                <w:b/>
                <w:bCs/>
                <w:color w:val="000000"/>
                <w:sz w:val="20"/>
                <w:szCs w:val="20"/>
                <w:lang w:eastAsia="it-IT"/>
              </w:rPr>
              <w:t>Ebret</w:t>
            </w:r>
            <w:proofErr w:type="spellEnd"/>
          </w:p>
        </w:tc>
        <w:tc>
          <w:tcPr>
            <w:tcW w:w="519" w:type="pct"/>
            <w:tcBorders>
              <w:top w:val="single" w:sz="4" w:space="0" w:color="auto"/>
              <w:left w:val="single" w:sz="4" w:space="0" w:color="auto"/>
              <w:bottom w:val="single" w:sz="4" w:space="0" w:color="auto"/>
              <w:right w:val="single" w:sz="4" w:space="0" w:color="auto"/>
            </w:tcBorders>
            <w:shd w:val="clear" w:color="000000" w:fill="D9E1F2"/>
            <w:vAlign w:val="bottom"/>
            <w:hideMark/>
          </w:tcPr>
          <w:p w:rsidR="009E35BE" w:rsidRPr="00433496" w:rsidRDefault="009E35BE" w:rsidP="00832031">
            <w:pPr>
              <w:spacing w:after="0" w:line="240" w:lineRule="auto"/>
              <w:jc w:val="center"/>
              <w:rPr>
                <w:rFonts w:ascii="Calibri" w:eastAsia="Times New Roman" w:hAnsi="Calibri" w:cs="Calibri"/>
                <w:b/>
                <w:bCs/>
                <w:color w:val="000000"/>
                <w:sz w:val="20"/>
                <w:szCs w:val="20"/>
                <w:lang w:eastAsia="it-IT"/>
              </w:rPr>
            </w:pPr>
            <w:r w:rsidRPr="00433496">
              <w:rPr>
                <w:rFonts w:ascii="Calibri" w:eastAsia="Times New Roman" w:hAnsi="Calibri" w:cs="Calibri"/>
                <w:b/>
                <w:bCs/>
                <w:color w:val="000000"/>
                <w:sz w:val="20"/>
                <w:szCs w:val="20"/>
                <w:lang w:eastAsia="it-IT"/>
              </w:rPr>
              <w:t>Universo</w:t>
            </w:r>
          </w:p>
        </w:tc>
        <w:tc>
          <w:tcPr>
            <w:tcW w:w="585" w:type="pct"/>
            <w:tcBorders>
              <w:top w:val="single" w:sz="4" w:space="0" w:color="auto"/>
              <w:left w:val="single" w:sz="4" w:space="0" w:color="auto"/>
              <w:bottom w:val="single" w:sz="4" w:space="0" w:color="auto"/>
              <w:right w:val="single" w:sz="4" w:space="0" w:color="auto"/>
            </w:tcBorders>
            <w:shd w:val="clear" w:color="000000" w:fill="D9E1F2"/>
            <w:vAlign w:val="bottom"/>
            <w:hideMark/>
          </w:tcPr>
          <w:p w:rsidR="009E35BE" w:rsidRPr="00433496" w:rsidRDefault="009E35BE" w:rsidP="00832031">
            <w:pPr>
              <w:spacing w:after="0" w:line="240" w:lineRule="auto"/>
              <w:jc w:val="center"/>
              <w:rPr>
                <w:rFonts w:ascii="Calibri" w:eastAsia="Times New Roman" w:hAnsi="Calibri" w:cs="Calibri"/>
                <w:b/>
                <w:bCs/>
                <w:color w:val="000000"/>
                <w:sz w:val="20"/>
                <w:szCs w:val="20"/>
                <w:lang w:eastAsia="it-IT"/>
              </w:rPr>
            </w:pPr>
            <w:r w:rsidRPr="00433496">
              <w:rPr>
                <w:rFonts w:ascii="Calibri" w:eastAsia="Times New Roman" w:hAnsi="Calibri" w:cs="Calibri"/>
                <w:b/>
                <w:bCs/>
                <w:color w:val="000000"/>
                <w:sz w:val="20"/>
                <w:szCs w:val="20"/>
                <w:lang w:eastAsia="it-IT"/>
              </w:rPr>
              <w:t xml:space="preserve">Campione </w:t>
            </w:r>
            <w:proofErr w:type="spellStart"/>
            <w:r w:rsidRPr="00433496">
              <w:rPr>
                <w:rFonts w:ascii="Calibri" w:eastAsia="Times New Roman" w:hAnsi="Calibri" w:cs="Calibri"/>
                <w:b/>
                <w:bCs/>
                <w:color w:val="000000"/>
                <w:sz w:val="20"/>
                <w:szCs w:val="20"/>
                <w:lang w:eastAsia="it-IT"/>
              </w:rPr>
              <w:t>Ebret</w:t>
            </w:r>
            <w:proofErr w:type="spellEnd"/>
          </w:p>
        </w:tc>
        <w:tc>
          <w:tcPr>
            <w:tcW w:w="510" w:type="pct"/>
            <w:tcBorders>
              <w:top w:val="single" w:sz="4" w:space="0" w:color="auto"/>
              <w:left w:val="single" w:sz="4" w:space="0" w:color="auto"/>
              <w:bottom w:val="single" w:sz="4" w:space="0" w:color="auto"/>
              <w:right w:val="single" w:sz="4" w:space="0" w:color="auto"/>
            </w:tcBorders>
            <w:shd w:val="clear" w:color="000000" w:fill="D9E1F2"/>
            <w:vAlign w:val="bottom"/>
            <w:hideMark/>
          </w:tcPr>
          <w:p w:rsidR="009E35BE" w:rsidRPr="00433496" w:rsidRDefault="009E35BE" w:rsidP="00832031">
            <w:pPr>
              <w:spacing w:after="0" w:line="240" w:lineRule="auto"/>
              <w:jc w:val="center"/>
              <w:rPr>
                <w:rFonts w:ascii="Calibri" w:eastAsia="Times New Roman" w:hAnsi="Calibri" w:cs="Calibri"/>
                <w:b/>
                <w:bCs/>
                <w:color w:val="000000"/>
                <w:sz w:val="20"/>
                <w:szCs w:val="20"/>
                <w:lang w:eastAsia="it-IT"/>
              </w:rPr>
            </w:pPr>
            <w:r w:rsidRPr="00433496">
              <w:rPr>
                <w:rFonts w:ascii="Calibri" w:eastAsia="Times New Roman" w:hAnsi="Calibri" w:cs="Calibri"/>
                <w:b/>
                <w:bCs/>
                <w:color w:val="000000"/>
                <w:sz w:val="20"/>
                <w:szCs w:val="20"/>
                <w:lang w:eastAsia="it-IT"/>
              </w:rPr>
              <w:t>Universo</w:t>
            </w:r>
          </w:p>
        </w:tc>
      </w:tr>
      <w:tr w:rsidR="009E35BE" w:rsidRPr="00433496" w:rsidTr="00832031">
        <w:trPr>
          <w:trHeight w:val="300"/>
        </w:trPr>
        <w:tc>
          <w:tcPr>
            <w:tcW w:w="612" w:type="pct"/>
            <w:tcBorders>
              <w:top w:val="single" w:sz="4" w:space="0" w:color="auto"/>
              <w:left w:val="single" w:sz="4" w:space="0" w:color="auto"/>
              <w:bottom w:val="single" w:sz="4" w:space="0" w:color="auto"/>
              <w:right w:val="single" w:sz="4" w:space="0" w:color="auto"/>
            </w:tcBorders>
            <w:vAlign w:val="bottom"/>
            <w:hideMark/>
          </w:tcPr>
          <w:p w:rsidR="009E35BE" w:rsidRPr="00433496" w:rsidRDefault="009E35BE" w:rsidP="00832031">
            <w:pPr>
              <w:spacing w:after="0" w:line="240" w:lineRule="auto"/>
              <w:rPr>
                <w:rFonts w:ascii="Calibri" w:eastAsia="Times New Roman" w:hAnsi="Calibri" w:cs="Calibri"/>
                <w:color w:val="000000"/>
                <w:sz w:val="20"/>
                <w:szCs w:val="20"/>
                <w:lang w:eastAsia="it-IT"/>
              </w:rPr>
            </w:pPr>
            <w:r w:rsidRPr="00433496">
              <w:rPr>
                <w:rFonts w:ascii="Calibri" w:eastAsia="Times New Roman" w:hAnsi="Calibri" w:cs="Calibri"/>
                <w:color w:val="000000"/>
                <w:sz w:val="20"/>
                <w:szCs w:val="20"/>
                <w:lang w:eastAsia="it-IT"/>
              </w:rPr>
              <w:t>Q. Bassa</w:t>
            </w:r>
          </w:p>
        </w:tc>
        <w:tc>
          <w:tcPr>
            <w:tcW w:w="567" w:type="pct"/>
            <w:tcBorders>
              <w:top w:val="single" w:sz="4" w:space="0" w:color="auto"/>
              <w:left w:val="single" w:sz="4" w:space="0" w:color="auto"/>
              <w:bottom w:val="single" w:sz="4" w:space="0" w:color="auto"/>
              <w:right w:val="single" w:sz="4" w:space="0" w:color="auto"/>
            </w:tcBorders>
            <w:vAlign w:val="bottom"/>
          </w:tcPr>
          <w:p w:rsidR="009E35BE" w:rsidRPr="00EA696B" w:rsidRDefault="009E35BE" w:rsidP="00832031">
            <w:pPr>
              <w:spacing w:after="0"/>
              <w:jc w:val="right"/>
              <w:rPr>
                <w:rFonts w:ascii="Calibri" w:hAnsi="Calibri" w:cs="Calibri"/>
                <w:color w:val="000000"/>
                <w:sz w:val="20"/>
                <w:szCs w:val="20"/>
              </w:rPr>
            </w:pPr>
            <w:r>
              <w:rPr>
                <w:rFonts w:ascii="Calibri" w:hAnsi="Calibri" w:cs="Calibri"/>
                <w:color w:val="000000"/>
                <w:sz w:val="20"/>
                <w:szCs w:val="20"/>
              </w:rPr>
              <w:t>0</w:t>
            </w:r>
            <w:r w:rsidRPr="00EA696B">
              <w:rPr>
                <w:rFonts w:ascii="Calibri" w:hAnsi="Calibri" w:cs="Calibri"/>
                <w:color w:val="000000"/>
                <w:sz w:val="20"/>
                <w:szCs w:val="20"/>
              </w:rPr>
              <w:t>%</w:t>
            </w:r>
          </w:p>
        </w:tc>
        <w:tc>
          <w:tcPr>
            <w:tcW w:w="531" w:type="pct"/>
            <w:tcBorders>
              <w:top w:val="single" w:sz="4" w:space="0" w:color="auto"/>
              <w:left w:val="single" w:sz="4" w:space="0" w:color="auto"/>
              <w:bottom w:val="single" w:sz="4" w:space="0" w:color="auto"/>
              <w:right w:val="single" w:sz="4" w:space="0" w:color="auto"/>
            </w:tcBorders>
            <w:shd w:val="clear" w:color="000000" w:fill="FFFFFF"/>
            <w:vAlign w:val="bottom"/>
          </w:tcPr>
          <w:p w:rsidR="009E35BE" w:rsidRPr="00EA696B" w:rsidRDefault="009E35BE" w:rsidP="00832031">
            <w:pPr>
              <w:spacing w:after="0"/>
              <w:jc w:val="right"/>
              <w:rPr>
                <w:rFonts w:ascii="Calibri" w:hAnsi="Calibri" w:cs="Calibri"/>
                <w:color w:val="000000"/>
                <w:sz w:val="20"/>
                <w:szCs w:val="20"/>
              </w:rPr>
            </w:pPr>
            <w:r>
              <w:rPr>
                <w:rFonts w:ascii="Calibri" w:hAnsi="Calibri" w:cs="Calibri"/>
                <w:color w:val="000000"/>
                <w:sz w:val="20"/>
                <w:szCs w:val="20"/>
              </w:rPr>
              <w:t>0</w:t>
            </w:r>
            <w:r w:rsidRPr="00EA696B">
              <w:rPr>
                <w:rFonts w:ascii="Calibri" w:hAnsi="Calibri" w:cs="Calibri"/>
                <w:color w:val="000000"/>
                <w:sz w:val="20"/>
                <w:szCs w:val="20"/>
              </w:rPr>
              <w:t>%</w:t>
            </w:r>
          </w:p>
        </w:tc>
        <w:tc>
          <w:tcPr>
            <w:tcW w:w="573" w:type="pct"/>
            <w:tcBorders>
              <w:top w:val="single" w:sz="4" w:space="0" w:color="auto"/>
              <w:left w:val="single" w:sz="4" w:space="0" w:color="auto"/>
              <w:bottom w:val="single" w:sz="4" w:space="0" w:color="auto"/>
              <w:right w:val="single" w:sz="4" w:space="0" w:color="auto"/>
            </w:tcBorders>
            <w:vAlign w:val="bottom"/>
          </w:tcPr>
          <w:p w:rsidR="009E35BE" w:rsidRPr="00EA696B" w:rsidRDefault="009E35BE" w:rsidP="00832031">
            <w:pPr>
              <w:spacing w:after="0"/>
              <w:jc w:val="right"/>
              <w:rPr>
                <w:rFonts w:ascii="Calibri" w:hAnsi="Calibri" w:cs="Calibri"/>
                <w:color w:val="000000"/>
                <w:sz w:val="20"/>
                <w:szCs w:val="20"/>
              </w:rPr>
            </w:pPr>
            <w:r w:rsidRPr="00EA696B">
              <w:rPr>
                <w:rFonts w:ascii="Calibri" w:hAnsi="Calibri" w:cs="Calibri"/>
                <w:color w:val="000000"/>
                <w:sz w:val="20"/>
                <w:szCs w:val="20"/>
              </w:rPr>
              <w:t>0%</w:t>
            </w:r>
          </w:p>
        </w:tc>
        <w:tc>
          <w:tcPr>
            <w:tcW w:w="525" w:type="pct"/>
            <w:tcBorders>
              <w:top w:val="single" w:sz="4" w:space="0" w:color="auto"/>
              <w:left w:val="single" w:sz="4" w:space="0" w:color="auto"/>
              <w:bottom w:val="single" w:sz="4" w:space="0" w:color="auto"/>
              <w:right w:val="single" w:sz="4" w:space="0" w:color="auto"/>
            </w:tcBorders>
            <w:shd w:val="clear" w:color="000000" w:fill="FFFFFF"/>
            <w:vAlign w:val="bottom"/>
          </w:tcPr>
          <w:p w:rsidR="009E35BE" w:rsidRPr="00EA696B" w:rsidRDefault="009E35BE" w:rsidP="00832031">
            <w:pPr>
              <w:spacing w:after="0"/>
              <w:jc w:val="right"/>
              <w:rPr>
                <w:rFonts w:ascii="Calibri" w:hAnsi="Calibri" w:cs="Calibri"/>
                <w:color w:val="000000"/>
                <w:sz w:val="20"/>
                <w:szCs w:val="20"/>
              </w:rPr>
            </w:pPr>
            <w:r w:rsidRPr="00EA696B">
              <w:rPr>
                <w:rFonts w:ascii="Calibri" w:hAnsi="Calibri" w:cs="Calibri"/>
                <w:color w:val="000000"/>
                <w:sz w:val="20"/>
                <w:szCs w:val="20"/>
              </w:rPr>
              <w:t>0,24%</w:t>
            </w:r>
          </w:p>
        </w:tc>
        <w:tc>
          <w:tcPr>
            <w:tcW w:w="579" w:type="pct"/>
            <w:tcBorders>
              <w:top w:val="single" w:sz="4" w:space="0" w:color="auto"/>
              <w:left w:val="single" w:sz="4" w:space="0" w:color="auto"/>
              <w:bottom w:val="single" w:sz="4" w:space="0" w:color="auto"/>
              <w:right w:val="single" w:sz="4" w:space="0" w:color="auto"/>
            </w:tcBorders>
            <w:vAlign w:val="bottom"/>
          </w:tcPr>
          <w:p w:rsidR="009E35BE" w:rsidRPr="00EA696B" w:rsidRDefault="009E35BE" w:rsidP="00832031">
            <w:pPr>
              <w:spacing w:after="0"/>
              <w:jc w:val="right"/>
              <w:rPr>
                <w:rFonts w:ascii="Calibri" w:hAnsi="Calibri" w:cs="Calibri"/>
                <w:color w:val="000000"/>
                <w:sz w:val="20"/>
                <w:szCs w:val="20"/>
              </w:rPr>
            </w:pPr>
            <w:r w:rsidRPr="00EA696B">
              <w:rPr>
                <w:rFonts w:ascii="Calibri" w:hAnsi="Calibri" w:cs="Calibri"/>
                <w:color w:val="000000"/>
                <w:sz w:val="20"/>
                <w:szCs w:val="20"/>
              </w:rPr>
              <w:t>0%</w:t>
            </w:r>
          </w:p>
        </w:tc>
        <w:tc>
          <w:tcPr>
            <w:tcW w:w="519" w:type="pct"/>
            <w:tcBorders>
              <w:top w:val="single" w:sz="4" w:space="0" w:color="auto"/>
              <w:left w:val="single" w:sz="4" w:space="0" w:color="auto"/>
              <w:bottom w:val="single" w:sz="4" w:space="0" w:color="auto"/>
              <w:right w:val="single" w:sz="4" w:space="0" w:color="auto"/>
            </w:tcBorders>
            <w:shd w:val="clear" w:color="000000" w:fill="FFFFFF"/>
            <w:vAlign w:val="bottom"/>
          </w:tcPr>
          <w:p w:rsidR="009E35BE" w:rsidRPr="00EA696B" w:rsidRDefault="009E35BE" w:rsidP="00832031">
            <w:pPr>
              <w:spacing w:after="0"/>
              <w:jc w:val="right"/>
              <w:rPr>
                <w:rFonts w:ascii="Calibri" w:hAnsi="Calibri" w:cs="Calibri"/>
                <w:color w:val="000000"/>
                <w:sz w:val="20"/>
                <w:szCs w:val="20"/>
              </w:rPr>
            </w:pPr>
            <w:r w:rsidRPr="00EA696B">
              <w:rPr>
                <w:rFonts w:ascii="Calibri" w:hAnsi="Calibri" w:cs="Calibri"/>
                <w:color w:val="000000"/>
                <w:sz w:val="20"/>
                <w:szCs w:val="20"/>
              </w:rPr>
              <w:t>6,5%</w:t>
            </w:r>
          </w:p>
        </w:tc>
        <w:tc>
          <w:tcPr>
            <w:tcW w:w="585" w:type="pct"/>
            <w:tcBorders>
              <w:top w:val="single" w:sz="4" w:space="0" w:color="auto"/>
              <w:left w:val="single" w:sz="4" w:space="0" w:color="auto"/>
              <w:bottom w:val="single" w:sz="4" w:space="0" w:color="auto"/>
              <w:right w:val="single" w:sz="4" w:space="0" w:color="auto"/>
            </w:tcBorders>
            <w:vAlign w:val="bottom"/>
          </w:tcPr>
          <w:p w:rsidR="009E35BE" w:rsidRPr="00EA696B" w:rsidRDefault="009E35BE" w:rsidP="00832031">
            <w:pPr>
              <w:spacing w:after="0"/>
              <w:jc w:val="right"/>
              <w:rPr>
                <w:rFonts w:ascii="Calibri" w:hAnsi="Calibri" w:cs="Calibri"/>
                <w:color w:val="000000"/>
                <w:sz w:val="20"/>
                <w:szCs w:val="20"/>
              </w:rPr>
            </w:pPr>
            <w:r w:rsidRPr="00EA696B">
              <w:rPr>
                <w:rFonts w:ascii="Calibri" w:hAnsi="Calibri" w:cs="Calibri"/>
                <w:color w:val="000000"/>
                <w:sz w:val="20"/>
                <w:szCs w:val="20"/>
              </w:rPr>
              <w:t>0</w:t>
            </w:r>
          </w:p>
        </w:tc>
        <w:tc>
          <w:tcPr>
            <w:tcW w:w="510" w:type="pct"/>
            <w:tcBorders>
              <w:top w:val="single" w:sz="4" w:space="0" w:color="auto"/>
              <w:left w:val="single" w:sz="4" w:space="0" w:color="auto"/>
              <w:bottom w:val="single" w:sz="4" w:space="0" w:color="auto"/>
              <w:right w:val="single" w:sz="4" w:space="0" w:color="auto"/>
            </w:tcBorders>
            <w:vAlign w:val="bottom"/>
          </w:tcPr>
          <w:p w:rsidR="009E35BE" w:rsidRPr="00EA696B" w:rsidRDefault="009E35BE" w:rsidP="00832031">
            <w:pPr>
              <w:spacing w:after="0"/>
              <w:jc w:val="right"/>
              <w:rPr>
                <w:rFonts w:ascii="Calibri" w:hAnsi="Calibri" w:cs="Calibri"/>
                <w:color w:val="000000"/>
                <w:sz w:val="20"/>
                <w:szCs w:val="20"/>
              </w:rPr>
            </w:pPr>
            <w:r w:rsidRPr="00EA696B">
              <w:rPr>
                <w:rFonts w:ascii="Calibri" w:hAnsi="Calibri" w:cs="Calibri"/>
                <w:color w:val="000000"/>
                <w:sz w:val="20"/>
                <w:szCs w:val="20"/>
              </w:rPr>
              <w:t>14</w:t>
            </w:r>
          </w:p>
        </w:tc>
      </w:tr>
      <w:tr w:rsidR="009E35BE" w:rsidRPr="00433496" w:rsidTr="00832031">
        <w:trPr>
          <w:trHeight w:val="300"/>
        </w:trPr>
        <w:tc>
          <w:tcPr>
            <w:tcW w:w="612" w:type="pct"/>
            <w:tcBorders>
              <w:top w:val="single" w:sz="4" w:space="0" w:color="auto"/>
              <w:left w:val="single" w:sz="4" w:space="0" w:color="auto"/>
              <w:bottom w:val="single" w:sz="4" w:space="0" w:color="auto"/>
              <w:right w:val="single" w:sz="4" w:space="0" w:color="auto"/>
            </w:tcBorders>
            <w:vAlign w:val="bottom"/>
            <w:hideMark/>
          </w:tcPr>
          <w:p w:rsidR="009E35BE" w:rsidRPr="00433496" w:rsidRDefault="009E35BE" w:rsidP="00832031">
            <w:pPr>
              <w:spacing w:after="0" w:line="240" w:lineRule="auto"/>
              <w:rPr>
                <w:rFonts w:ascii="Calibri" w:eastAsia="Times New Roman" w:hAnsi="Calibri" w:cs="Calibri"/>
                <w:color w:val="000000"/>
                <w:sz w:val="20"/>
                <w:szCs w:val="20"/>
                <w:lang w:eastAsia="it-IT"/>
              </w:rPr>
            </w:pPr>
            <w:r w:rsidRPr="00433496">
              <w:rPr>
                <w:rFonts w:ascii="Calibri" w:eastAsia="Times New Roman" w:hAnsi="Calibri" w:cs="Calibri"/>
                <w:color w:val="000000"/>
                <w:sz w:val="20"/>
                <w:szCs w:val="20"/>
                <w:lang w:eastAsia="it-IT"/>
              </w:rPr>
              <w:t>Q. Media</w:t>
            </w:r>
          </w:p>
        </w:tc>
        <w:tc>
          <w:tcPr>
            <w:tcW w:w="567" w:type="pct"/>
            <w:tcBorders>
              <w:top w:val="single" w:sz="4" w:space="0" w:color="auto"/>
              <w:left w:val="single" w:sz="4" w:space="0" w:color="auto"/>
              <w:bottom w:val="single" w:sz="4" w:space="0" w:color="auto"/>
              <w:right w:val="single" w:sz="4" w:space="0" w:color="auto"/>
            </w:tcBorders>
            <w:noWrap/>
            <w:vAlign w:val="bottom"/>
          </w:tcPr>
          <w:p w:rsidR="009E35BE" w:rsidRPr="00EA696B" w:rsidRDefault="009E35BE" w:rsidP="00832031">
            <w:pPr>
              <w:spacing w:after="0"/>
              <w:jc w:val="right"/>
              <w:rPr>
                <w:rFonts w:ascii="Calibri" w:hAnsi="Calibri" w:cs="Calibri"/>
                <w:color w:val="000000"/>
                <w:sz w:val="20"/>
                <w:szCs w:val="20"/>
              </w:rPr>
            </w:pPr>
            <w:r w:rsidRPr="00EA696B">
              <w:rPr>
                <w:rFonts w:ascii="Calibri" w:hAnsi="Calibri" w:cs="Calibri"/>
                <w:color w:val="000000"/>
                <w:sz w:val="20"/>
                <w:szCs w:val="20"/>
              </w:rPr>
              <w:t>60,0%</w:t>
            </w:r>
          </w:p>
        </w:tc>
        <w:tc>
          <w:tcPr>
            <w:tcW w:w="531" w:type="pct"/>
            <w:tcBorders>
              <w:top w:val="single" w:sz="4" w:space="0" w:color="auto"/>
              <w:left w:val="single" w:sz="4" w:space="0" w:color="auto"/>
              <w:bottom w:val="single" w:sz="4" w:space="0" w:color="auto"/>
              <w:right w:val="single" w:sz="4" w:space="0" w:color="auto"/>
            </w:tcBorders>
            <w:shd w:val="clear" w:color="000000" w:fill="FFFFFF"/>
            <w:vAlign w:val="bottom"/>
          </w:tcPr>
          <w:p w:rsidR="009E35BE" w:rsidRPr="00EA696B" w:rsidRDefault="009E35BE" w:rsidP="00832031">
            <w:pPr>
              <w:spacing w:after="0"/>
              <w:jc w:val="right"/>
              <w:rPr>
                <w:rFonts w:ascii="Calibri" w:hAnsi="Calibri" w:cs="Calibri"/>
                <w:color w:val="000000"/>
                <w:sz w:val="20"/>
                <w:szCs w:val="20"/>
              </w:rPr>
            </w:pPr>
            <w:r w:rsidRPr="00EA696B">
              <w:rPr>
                <w:rFonts w:ascii="Calibri" w:hAnsi="Calibri" w:cs="Calibri"/>
                <w:color w:val="000000"/>
                <w:sz w:val="20"/>
                <w:szCs w:val="20"/>
              </w:rPr>
              <w:t>72,59%</w:t>
            </w:r>
          </w:p>
        </w:tc>
        <w:tc>
          <w:tcPr>
            <w:tcW w:w="573" w:type="pct"/>
            <w:tcBorders>
              <w:top w:val="single" w:sz="4" w:space="0" w:color="auto"/>
              <w:left w:val="single" w:sz="4" w:space="0" w:color="auto"/>
              <w:bottom w:val="single" w:sz="4" w:space="0" w:color="auto"/>
              <w:right w:val="single" w:sz="4" w:space="0" w:color="auto"/>
            </w:tcBorders>
            <w:vAlign w:val="bottom"/>
          </w:tcPr>
          <w:p w:rsidR="009E35BE" w:rsidRPr="00EA696B" w:rsidRDefault="009E35BE" w:rsidP="00832031">
            <w:pPr>
              <w:spacing w:after="0"/>
              <w:jc w:val="right"/>
              <w:rPr>
                <w:rFonts w:ascii="Calibri" w:hAnsi="Calibri" w:cs="Calibri"/>
                <w:color w:val="000000"/>
                <w:sz w:val="20"/>
                <w:szCs w:val="20"/>
              </w:rPr>
            </w:pPr>
            <w:r w:rsidRPr="00EA696B">
              <w:rPr>
                <w:rFonts w:ascii="Calibri" w:hAnsi="Calibri" w:cs="Calibri"/>
                <w:color w:val="000000"/>
                <w:sz w:val="20"/>
                <w:szCs w:val="20"/>
              </w:rPr>
              <w:t>40%</w:t>
            </w:r>
          </w:p>
        </w:tc>
        <w:tc>
          <w:tcPr>
            <w:tcW w:w="525" w:type="pct"/>
            <w:tcBorders>
              <w:top w:val="single" w:sz="4" w:space="0" w:color="auto"/>
              <w:left w:val="single" w:sz="4" w:space="0" w:color="auto"/>
              <w:bottom w:val="single" w:sz="4" w:space="0" w:color="auto"/>
              <w:right w:val="single" w:sz="4" w:space="0" w:color="auto"/>
            </w:tcBorders>
            <w:shd w:val="clear" w:color="000000" w:fill="FFFFFF"/>
            <w:vAlign w:val="bottom"/>
          </w:tcPr>
          <w:p w:rsidR="009E35BE" w:rsidRPr="00EA696B" w:rsidRDefault="009E35BE" w:rsidP="00832031">
            <w:pPr>
              <w:spacing w:after="0"/>
              <w:jc w:val="right"/>
              <w:rPr>
                <w:rFonts w:ascii="Calibri" w:hAnsi="Calibri" w:cs="Calibri"/>
                <w:color w:val="000000"/>
                <w:sz w:val="20"/>
                <w:szCs w:val="20"/>
              </w:rPr>
            </w:pPr>
            <w:r w:rsidRPr="00EA696B">
              <w:rPr>
                <w:rFonts w:ascii="Calibri" w:hAnsi="Calibri" w:cs="Calibri"/>
                <w:color w:val="000000"/>
                <w:sz w:val="20"/>
                <w:szCs w:val="20"/>
              </w:rPr>
              <w:t>52,49%</w:t>
            </w:r>
          </w:p>
        </w:tc>
        <w:tc>
          <w:tcPr>
            <w:tcW w:w="579" w:type="pct"/>
            <w:tcBorders>
              <w:top w:val="single" w:sz="4" w:space="0" w:color="auto"/>
              <w:left w:val="single" w:sz="4" w:space="0" w:color="auto"/>
              <w:bottom w:val="single" w:sz="4" w:space="0" w:color="auto"/>
              <w:right w:val="single" w:sz="4" w:space="0" w:color="auto"/>
            </w:tcBorders>
            <w:vAlign w:val="bottom"/>
          </w:tcPr>
          <w:p w:rsidR="009E35BE" w:rsidRPr="00EA696B" w:rsidRDefault="009E35BE" w:rsidP="00832031">
            <w:pPr>
              <w:spacing w:after="0"/>
              <w:jc w:val="right"/>
              <w:rPr>
                <w:rFonts w:ascii="Calibri" w:hAnsi="Calibri" w:cs="Calibri"/>
                <w:color w:val="000000"/>
                <w:sz w:val="20"/>
                <w:szCs w:val="20"/>
              </w:rPr>
            </w:pPr>
            <w:r w:rsidRPr="00EA696B">
              <w:rPr>
                <w:rFonts w:ascii="Calibri" w:hAnsi="Calibri" w:cs="Calibri"/>
                <w:color w:val="000000"/>
                <w:sz w:val="20"/>
                <w:szCs w:val="20"/>
              </w:rPr>
              <w:t>44%</w:t>
            </w:r>
          </w:p>
        </w:tc>
        <w:tc>
          <w:tcPr>
            <w:tcW w:w="519" w:type="pct"/>
            <w:tcBorders>
              <w:top w:val="single" w:sz="4" w:space="0" w:color="auto"/>
              <w:left w:val="single" w:sz="4" w:space="0" w:color="auto"/>
              <w:bottom w:val="single" w:sz="4" w:space="0" w:color="auto"/>
              <w:right w:val="single" w:sz="4" w:space="0" w:color="auto"/>
            </w:tcBorders>
            <w:shd w:val="clear" w:color="000000" w:fill="FFFFFF"/>
            <w:vAlign w:val="bottom"/>
          </w:tcPr>
          <w:p w:rsidR="009E35BE" w:rsidRPr="00EA696B" w:rsidRDefault="009E35BE" w:rsidP="00832031">
            <w:pPr>
              <w:spacing w:after="0"/>
              <w:jc w:val="right"/>
              <w:rPr>
                <w:rFonts w:ascii="Calibri" w:hAnsi="Calibri" w:cs="Calibri"/>
                <w:color w:val="000000"/>
                <w:sz w:val="20"/>
                <w:szCs w:val="20"/>
              </w:rPr>
            </w:pPr>
            <w:r w:rsidRPr="00EA696B">
              <w:rPr>
                <w:rFonts w:ascii="Calibri" w:hAnsi="Calibri" w:cs="Calibri"/>
                <w:color w:val="000000"/>
                <w:sz w:val="20"/>
                <w:szCs w:val="20"/>
              </w:rPr>
              <w:t>48,4%</w:t>
            </w:r>
          </w:p>
        </w:tc>
        <w:tc>
          <w:tcPr>
            <w:tcW w:w="585" w:type="pct"/>
            <w:tcBorders>
              <w:top w:val="single" w:sz="4" w:space="0" w:color="auto"/>
              <w:left w:val="single" w:sz="4" w:space="0" w:color="auto"/>
              <w:bottom w:val="single" w:sz="4" w:space="0" w:color="auto"/>
              <w:right w:val="single" w:sz="4" w:space="0" w:color="auto"/>
            </w:tcBorders>
            <w:noWrap/>
            <w:vAlign w:val="bottom"/>
          </w:tcPr>
          <w:p w:rsidR="009E35BE" w:rsidRPr="00EA696B" w:rsidRDefault="009E35BE" w:rsidP="00832031">
            <w:pPr>
              <w:spacing w:after="0"/>
              <w:jc w:val="right"/>
              <w:rPr>
                <w:rFonts w:ascii="Calibri" w:hAnsi="Calibri" w:cs="Calibri"/>
                <w:color w:val="000000"/>
                <w:sz w:val="20"/>
                <w:szCs w:val="20"/>
              </w:rPr>
            </w:pPr>
            <w:r w:rsidRPr="00EA696B">
              <w:rPr>
                <w:rFonts w:ascii="Calibri" w:hAnsi="Calibri" w:cs="Calibri"/>
                <w:color w:val="000000"/>
                <w:sz w:val="20"/>
                <w:szCs w:val="20"/>
              </w:rPr>
              <w:t>61</w:t>
            </w:r>
          </w:p>
        </w:tc>
        <w:tc>
          <w:tcPr>
            <w:tcW w:w="510" w:type="pct"/>
            <w:tcBorders>
              <w:top w:val="single" w:sz="4" w:space="0" w:color="auto"/>
              <w:left w:val="single" w:sz="4" w:space="0" w:color="auto"/>
              <w:bottom w:val="single" w:sz="4" w:space="0" w:color="auto"/>
              <w:right w:val="single" w:sz="4" w:space="0" w:color="auto"/>
            </w:tcBorders>
            <w:vAlign w:val="bottom"/>
          </w:tcPr>
          <w:p w:rsidR="009E35BE" w:rsidRPr="00EA696B" w:rsidRDefault="009E35BE" w:rsidP="00832031">
            <w:pPr>
              <w:spacing w:after="0"/>
              <w:jc w:val="right"/>
              <w:rPr>
                <w:rFonts w:ascii="Calibri" w:hAnsi="Calibri" w:cs="Calibri"/>
                <w:color w:val="000000"/>
                <w:sz w:val="20"/>
                <w:szCs w:val="20"/>
              </w:rPr>
            </w:pPr>
            <w:r w:rsidRPr="00EA696B">
              <w:rPr>
                <w:rFonts w:ascii="Calibri" w:hAnsi="Calibri" w:cs="Calibri"/>
                <w:color w:val="000000"/>
                <w:sz w:val="20"/>
                <w:szCs w:val="20"/>
              </w:rPr>
              <w:t>961</w:t>
            </w:r>
          </w:p>
        </w:tc>
      </w:tr>
      <w:tr w:rsidR="009E35BE" w:rsidRPr="00433496" w:rsidTr="00832031">
        <w:trPr>
          <w:trHeight w:val="300"/>
        </w:trPr>
        <w:tc>
          <w:tcPr>
            <w:tcW w:w="612" w:type="pct"/>
            <w:tcBorders>
              <w:top w:val="single" w:sz="4" w:space="0" w:color="auto"/>
              <w:left w:val="single" w:sz="4" w:space="0" w:color="auto"/>
              <w:bottom w:val="single" w:sz="4" w:space="0" w:color="auto"/>
              <w:right w:val="single" w:sz="4" w:space="0" w:color="auto"/>
            </w:tcBorders>
            <w:vAlign w:val="bottom"/>
            <w:hideMark/>
          </w:tcPr>
          <w:p w:rsidR="009E35BE" w:rsidRPr="00433496" w:rsidRDefault="009E35BE" w:rsidP="00832031">
            <w:pPr>
              <w:spacing w:after="0" w:line="240" w:lineRule="auto"/>
              <w:rPr>
                <w:rFonts w:ascii="Calibri" w:eastAsia="Times New Roman" w:hAnsi="Calibri" w:cs="Calibri"/>
                <w:color w:val="000000"/>
                <w:sz w:val="20"/>
                <w:szCs w:val="20"/>
                <w:lang w:eastAsia="it-IT"/>
              </w:rPr>
            </w:pPr>
            <w:r w:rsidRPr="00433496">
              <w:rPr>
                <w:rFonts w:ascii="Calibri" w:eastAsia="Times New Roman" w:hAnsi="Calibri" w:cs="Calibri"/>
                <w:color w:val="000000"/>
                <w:sz w:val="20"/>
                <w:szCs w:val="20"/>
                <w:lang w:eastAsia="it-IT"/>
              </w:rPr>
              <w:t>Q. Alta</w:t>
            </w:r>
          </w:p>
        </w:tc>
        <w:tc>
          <w:tcPr>
            <w:tcW w:w="567" w:type="pct"/>
            <w:tcBorders>
              <w:top w:val="single" w:sz="4" w:space="0" w:color="auto"/>
              <w:left w:val="single" w:sz="4" w:space="0" w:color="auto"/>
              <w:bottom w:val="single" w:sz="4" w:space="0" w:color="auto"/>
              <w:right w:val="single" w:sz="4" w:space="0" w:color="auto"/>
            </w:tcBorders>
            <w:noWrap/>
            <w:vAlign w:val="bottom"/>
          </w:tcPr>
          <w:p w:rsidR="009E35BE" w:rsidRPr="00EA696B" w:rsidRDefault="009E35BE" w:rsidP="00832031">
            <w:pPr>
              <w:spacing w:after="0"/>
              <w:jc w:val="right"/>
              <w:rPr>
                <w:rFonts w:ascii="Calibri" w:hAnsi="Calibri" w:cs="Calibri"/>
                <w:color w:val="000000"/>
                <w:sz w:val="20"/>
                <w:szCs w:val="20"/>
              </w:rPr>
            </w:pPr>
            <w:r w:rsidRPr="00EA696B">
              <w:rPr>
                <w:rFonts w:ascii="Calibri" w:hAnsi="Calibri" w:cs="Calibri"/>
                <w:color w:val="000000"/>
                <w:sz w:val="20"/>
                <w:szCs w:val="20"/>
              </w:rPr>
              <w:t>40,0%</w:t>
            </w:r>
          </w:p>
        </w:tc>
        <w:tc>
          <w:tcPr>
            <w:tcW w:w="531" w:type="pct"/>
            <w:tcBorders>
              <w:top w:val="single" w:sz="4" w:space="0" w:color="auto"/>
              <w:left w:val="single" w:sz="4" w:space="0" w:color="auto"/>
              <w:bottom w:val="single" w:sz="4" w:space="0" w:color="auto"/>
              <w:right w:val="single" w:sz="4" w:space="0" w:color="auto"/>
            </w:tcBorders>
            <w:shd w:val="clear" w:color="000000" w:fill="FFFFFF"/>
            <w:vAlign w:val="bottom"/>
          </w:tcPr>
          <w:p w:rsidR="009E35BE" w:rsidRPr="00EA696B" w:rsidRDefault="009E35BE" w:rsidP="00832031">
            <w:pPr>
              <w:spacing w:after="0"/>
              <w:jc w:val="right"/>
              <w:rPr>
                <w:rFonts w:ascii="Calibri" w:hAnsi="Calibri" w:cs="Calibri"/>
                <w:color w:val="000000"/>
                <w:sz w:val="20"/>
                <w:szCs w:val="20"/>
              </w:rPr>
            </w:pPr>
            <w:r w:rsidRPr="00EA696B">
              <w:rPr>
                <w:rFonts w:ascii="Calibri" w:hAnsi="Calibri" w:cs="Calibri"/>
                <w:color w:val="000000"/>
                <w:sz w:val="20"/>
                <w:szCs w:val="20"/>
              </w:rPr>
              <w:t>27,41%</w:t>
            </w:r>
          </w:p>
        </w:tc>
        <w:tc>
          <w:tcPr>
            <w:tcW w:w="573" w:type="pct"/>
            <w:tcBorders>
              <w:top w:val="single" w:sz="4" w:space="0" w:color="auto"/>
              <w:left w:val="single" w:sz="4" w:space="0" w:color="auto"/>
              <w:bottom w:val="single" w:sz="4" w:space="0" w:color="auto"/>
              <w:right w:val="single" w:sz="4" w:space="0" w:color="auto"/>
            </w:tcBorders>
            <w:vAlign w:val="bottom"/>
          </w:tcPr>
          <w:p w:rsidR="009E35BE" w:rsidRPr="00EA696B" w:rsidRDefault="009E35BE" w:rsidP="00832031">
            <w:pPr>
              <w:spacing w:after="0"/>
              <w:jc w:val="right"/>
              <w:rPr>
                <w:rFonts w:ascii="Calibri" w:hAnsi="Calibri" w:cs="Calibri"/>
                <w:color w:val="000000"/>
                <w:sz w:val="20"/>
                <w:szCs w:val="20"/>
              </w:rPr>
            </w:pPr>
            <w:r w:rsidRPr="00EA696B">
              <w:rPr>
                <w:rFonts w:ascii="Calibri" w:hAnsi="Calibri" w:cs="Calibri"/>
                <w:color w:val="000000"/>
                <w:sz w:val="20"/>
                <w:szCs w:val="20"/>
              </w:rPr>
              <w:t>60%</w:t>
            </w:r>
          </w:p>
        </w:tc>
        <w:tc>
          <w:tcPr>
            <w:tcW w:w="525" w:type="pct"/>
            <w:tcBorders>
              <w:top w:val="single" w:sz="4" w:space="0" w:color="auto"/>
              <w:left w:val="single" w:sz="4" w:space="0" w:color="auto"/>
              <w:bottom w:val="single" w:sz="4" w:space="0" w:color="auto"/>
              <w:right w:val="single" w:sz="4" w:space="0" w:color="auto"/>
            </w:tcBorders>
            <w:shd w:val="clear" w:color="000000" w:fill="FFFFFF"/>
            <w:vAlign w:val="bottom"/>
          </w:tcPr>
          <w:p w:rsidR="009E35BE" w:rsidRPr="00EA696B" w:rsidRDefault="009E35BE" w:rsidP="00832031">
            <w:pPr>
              <w:spacing w:after="0"/>
              <w:jc w:val="right"/>
              <w:rPr>
                <w:rFonts w:ascii="Calibri" w:hAnsi="Calibri" w:cs="Calibri"/>
                <w:color w:val="000000"/>
                <w:sz w:val="20"/>
                <w:szCs w:val="20"/>
              </w:rPr>
            </w:pPr>
            <w:r w:rsidRPr="00EA696B">
              <w:rPr>
                <w:rFonts w:ascii="Calibri" w:hAnsi="Calibri" w:cs="Calibri"/>
                <w:color w:val="000000"/>
                <w:sz w:val="20"/>
                <w:szCs w:val="20"/>
              </w:rPr>
              <w:t>47,27%</w:t>
            </w:r>
          </w:p>
        </w:tc>
        <w:tc>
          <w:tcPr>
            <w:tcW w:w="579" w:type="pct"/>
            <w:tcBorders>
              <w:top w:val="single" w:sz="4" w:space="0" w:color="auto"/>
              <w:left w:val="single" w:sz="4" w:space="0" w:color="auto"/>
              <w:bottom w:val="single" w:sz="4" w:space="0" w:color="auto"/>
              <w:right w:val="single" w:sz="4" w:space="0" w:color="auto"/>
            </w:tcBorders>
            <w:vAlign w:val="bottom"/>
          </w:tcPr>
          <w:p w:rsidR="009E35BE" w:rsidRPr="00EA696B" w:rsidRDefault="009E35BE" w:rsidP="00832031">
            <w:pPr>
              <w:spacing w:after="0"/>
              <w:jc w:val="right"/>
              <w:rPr>
                <w:rFonts w:ascii="Calibri" w:hAnsi="Calibri" w:cs="Calibri"/>
                <w:color w:val="000000"/>
                <w:sz w:val="20"/>
                <w:szCs w:val="20"/>
              </w:rPr>
            </w:pPr>
            <w:r w:rsidRPr="00EA696B">
              <w:rPr>
                <w:rFonts w:ascii="Calibri" w:hAnsi="Calibri" w:cs="Calibri"/>
                <w:color w:val="000000"/>
                <w:sz w:val="20"/>
                <w:szCs w:val="20"/>
              </w:rPr>
              <w:t>56%</w:t>
            </w:r>
          </w:p>
        </w:tc>
        <w:tc>
          <w:tcPr>
            <w:tcW w:w="519" w:type="pct"/>
            <w:tcBorders>
              <w:top w:val="single" w:sz="4" w:space="0" w:color="auto"/>
              <w:left w:val="single" w:sz="4" w:space="0" w:color="auto"/>
              <w:bottom w:val="single" w:sz="4" w:space="0" w:color="auto"/>
              <w:right w:val="single" w:sz="4" w:space="0" w:color="auto"/>
            </w:tcBorders>
            <w:shd w:val="clear" w:color="000000" w:fill="FFFFFF"/>
            <w:vAlign w:val="bottom"/>
          </w:tcPr>
          <w:p w:rsidR="009E35BE" w:rsidRPr="00EA696B" w:rsidRDefault="009E35BE" w:rsidP="00832031">
            <w:pPr>
              <w:spacing w:after="0"/>
              <w:jc w:val="right"/>
              <w:rPr>
                <w:rFonts w:ascii="Calibri" w:hAnsi="Calibri" w:cs="Calibri"/>
                <w:color w:val="000000"/>
                <w:sz w:val="20"/>
                <w:szCs w:val="20"/>
              </w:rPr>
            </w:pPr>
            <w:r w:rsidRPr="00EA696B">
              <w:rPr>
                <w:rFonts w:ascii="Calibri" w:hAnsi="Calibri" w:cs="Calibri"/>
                <w:color w:val="000000"/>
                <w:sz w:val="20"/>
                <w:szCs w:val="20"/>
              </w:rPr>
              <w:t>45,2%</w:t>
            </w:r>
          </w:p>
        </w:tc>
        <w:tc>
          <w:tcPr>
            <w:tcW w:w="585" w:type="pct"/>
            <w:tcBorders>
              <w:top w:val="single" w:sz="4" w:space="0" w:color="auto"/>
              <w:left w:val="single" w:sz="4" w:space="0" w:color="auto"/>
              <w:bottom w:val="single" w:sz="4" w:space="0" w:color="auto"/>
              <w:right w:val="single" w:sz="4" w:space="0" w:color="auto"/>
            </w:tcBorders>
            <w:noWrap/>
            <w:vAlign w:val="bottom"/>
          </w:tcPr>
          <w:p w:rsidR="009E35BE" w:rsidRPr="00EA696B" w:rsidRDefault="009E35BE" w:rsidP="00832031">
            <w:pPr>
              <w:spacing w:after="0"/>
              <w:jc w:val="right"/>
              <w:rPr>
                <w:rFonts w:ascii="Calibri" w:hAnsi="Calibri" w:cs="Calibri"/>
                <w:color w:val="000000"/>
                <w:sz w:val="20"/>
                <w:szCs w:val="20"/>
              </w:rPr>
            </w:pPr>
            <w:r w:rsidRPr="00EA696B">
              <w:rPr>
                <w:rFonts w:ascii="Calibri" w:hAnsi="Calibri" w:cs="Calibri"/>
                <w:color w:val="000000"/>
                <w:sz w:val="20"/>
                <w:szCs w:val="20"/>
              </w:rPr>
              <w:t>66</w:t>
            </w:r>
          </w:p>
        </w:tc>
        <w:tc>
          <w:tcPr>
            <w:tcW w:w="510" w:type="pct"/>
            <w:tcBorders>
              <w:top w:val="single" w:sz="4" w:space="0" w:color="auto"/>
              <w:left w:val="single" w:sz="4" w:space="0" w:color="auto"/>
              <w:bottom w:val="single" w:sz="4" w:space="0" w:color="auto"/>
              <w:right w:val="single" w:sz="4" w:space="0" w:color="auto"/>
            </w:tcBorders>
            <w:vAlign w:val="bottom"/>
          </w:tcPr>
          <w:p w:rsidR="009E35BE" w:rsidRPr="00EA696B" w:rsidRDefault="009E35BE" w:rsidP="00832031">
            <w:pPr>
              <w:spacing w:after="0"/>
              <w:jc w:val="right"/>
              <w:rPr>
                <w:rFonts w:ascii="Calibri" w:hAnsi="Calibri" w:cs="Calibri"/>
                <w:color w:val="000000"/>
                <w:sz w:val="20"/>
                <w:szCs w:val="20"/>
              </w:rPr>
            </w:pPr>
            <w:r w:rsidRPr="00EA696B">
              <w:rPr>
                <w:rFonts w:ascii="Calibri" w:hAnsi="Calibri" w:cs="Calibri"/>
                <w:color w:val="000000"/>
                <w:sz w:val="20"/>
                <w:szCs w:val="20"/>
              </w:rPr>
              <w:t>644</w:t>
            </w:r>
          </w:p>
        </w:tc>
      </w:tr>
      <w:tr w:rsidR="009E35BE" w:rsidRPr="00433496" w:rsidTr="00832031">
        <w:trPr>
          <w:trHeight w:val="300"/>
        </w:trPr>
        <w:tc>
          <w:tcPr>
            <w:tcW w:w="612" w:type="pct"/>
            <w:tcBorders>
              <w:top w:val="single" w:sz="4" w:space="0" w:color="auto"/>
              <w:left w:val="single" w:sz="4" w:space="0" w:color="auto"/>
              <w:bottom w:val="single" w:sz="4" w:space="0" w:color="auto"/>
              <w:right w:val="single" w:sz="4" w:space="0" w:color="auto"/>
            </w:tcBorders>
            <w:shd w:val="clear" w:color="000000" w:fill="D9E1F2"/>
            <w:vAlign w:val="bottom"/>
            <w:hideMark/>
          </w:tcPr>
          <w:p w:rsidR="009E35BE" w:rsidRPr="00433496" w:rsidRDefault="009E35BE" w:rsidP="00832031">
            <w:pPr>
              <w:spacing w:after="0" w:line="240" w:lineRule="auto"/>
              <w:rPr>
                <w:rFonts w:ascii="Calibri" w:eastAsia="Times New Roman" w:hAnsi="Calibri" w:cs="Calibri"/>
                <w:b/>
                <w:bCs/>
                <w:color w:val="000000"/>
                <w:sz w:val="20"/>
                <w:szCs w:val="20"/>
                <w:lang w:eastAsia="it-IT"/>
              </w:rPr>
            </w:pPr>
            <w:r w:rsidRPr="00433496">
              <w:rPr>
                <w:rFonts w:ascii="Calibri" w:eastAsia="Times New Roman" w:hAnsi="Calibri" w:cs="Calibri"/>
                <w:b/>
                <w:bCs/>
                <w:color w:val="000000"/>
                <w:sz w:val="20"/>
                <w:szCs w:val="20"/>
                <w:lang w:eastAsia="it-IT"/>
              </w:rPr>
              <w:t>Totale</w:t>
            </w:r>
          </w:p>
        </w:tc>
        <w:tc>
          <w:tcPr>
            <w:tcW w:w="567" w:type="pct"/>
            <w:tcBorders>
              <w:top w:val="single" w:sz="4" w:space="0" w:color="auto"/>
              <w:left w:val="single" w:sz="4" w:space="0" w:color="auto"/>
              <w:bottom w:val="single" w:sz="4" w:space="0" w:color="auto"/>
              <w:right w:val="single" w:sz="4" w:space="0" w:color="auto"/>
            </w:tcBorders>
            <w:shd w:val="clear" w:color="D9E1F2" w:fill="D9E1F2"/>
            <w:noWrap/>
            <w:vAlign w:val="bottom"/>
          </w:tcPr>
          <w:p w:rsidR="009E35BE" w:rsidRPr="00EA696B" w:rsidRDefault="009E35BE" w:rsidP="00832031">
            <w:pPr>
              <w:spacing w:after="0"/>
              <w:jc w:val="right"/>
              <w:rPr>
                <w:rFonts w:ascii="Calibri" w:hAnsi="Calibri" w:cs="Calibri"/>
                <w:b/>
                <w:bCs/>
                <w:color w:val="000000"/>
                <w:sz w:val="20"/>
                <w:szCs w:val="20"/>
              </w:rPr>
            </w:pPr>
            <w:r w:rsidRPr="00EA696B">
              <w:rPr>
                <w:rFonts w:ascii="Calibri" w:hAnsi="Calibri" w:cs="Calibri"/>
                <w:b/>
                <w:bCs/>
                <w:color w:val="000000"/>
                <w:sz w:val="20"/>
                <w:szCs w:val="20"/>
              </w:rPr>
              <w:t>100%</w:t>
            </w:r>
          </w:p>
        </w:tc>
        <w:tc>
          <w:tcPr>
            <w:tcW w:w="531" w:type="pct"/>
            <w:tcBorders>
              <w:top w:val="single" w:sz="4" w:space="0" w:color="auto"/>
              <w:left w:val="single" w:sz="4" w:space="0" w:color="auto"/>
              <w:bottom w:val="single" w:sz="4" w:space="0" w:color="auto"/>
              <w:right w:val="single" w:sz="4" w:space="0" w:color="auto"/>
            </w:tcBorders>
            <w:shd w:val="clear" w:color="D9E1F2" w:fill="D9E1F2"/>
            <w:noWrap/>
            <w:vAlign w:val="bottom"/>
          </w:tcPr>
          <w:p w:rsidR="009E35BE" w:rsidRPr="00EA696B" w:rsidRDefault="009E35BE" w:rsidP="00832031">
            <w:pPr>
              <w:spacing w:after="0"/>
              <w:jc w:val="right"/>
              <w:rPr>
                <w:rFonts w:ascii="Calibri" w:hAnsi="Calibri" w:cs="Calibri"/>
                <w:b/>
                <w:bCs/>
                <w:color w:val="000000"/>
                <w:sz w:val="20"/>
                <w:szCs w:val="20"/>
              </w:rPr>
            </w:pPr>
            <w:r w:rsidRPr="00EA696B">
              <w:rPr>
                <w:rFonts w:ascii="Calibri" w:hAnsi="Calibri" w:cs="Calibri"/>
                <w:b/>
                <w:bCs/>
                <w:color w:val="000000"/>
                <w:sz w:val="20"/>
                <w:szCs w:val="20"/>
              </w:rPr>
              <w:t>100%</w:t>
            </w:r>
          </w:p>
        </w:tc>
        <w:tc>
          <w:tcPr>
            <w:tcW w:w="573" w:type="pct"/>
            <w:tcBorders>
              <w:top w:val="single" w:sz="4" w:space="0" w:color="auto"/>
              <w:left w:val="single" w:sz="4" w:space="0" w:color="auto"/>
              <w:bottom w:val="single" w:sz="4" w:space="0" w:color="auto"/>
              <w:right w:val="single" w:sz="4" w:space="0" w:color="auto"/>
            </w:tcBorders>
            <w:shd w:val="clear" w:color="D9E1F2" w:fill="D9E1F2"/>
            <w:noWrap/>
            <w:vAlign w:val="bottom"/>
          </w:tcPr>
          <w:p w:rsidR="009E35BE" w:rsidRPr="00EA696B" w:rsidRDefault="009E35BE" w:rsidP="00832031">
            <w:pPr>
              <w:spacing w:after="0"/>
              <w:jc w:val="right"/>
              <w:rPr>
                <w:rFonts w:ascii="Calibri" w:hAnsi="Calibri" w:cs="Calibri"/>
                <w:b/>
                <w:bCs/>
                <w:color w:val="000000"/>
                <w:sz w:val="20"/>
                <w:szCs w:val="20"/>
              </w:rPr>
            </w:pPr>
            <w:r w:rsidRPr="00EA696B">
              <w:rPr>
                <w:rFonts w:ascii="Calibri" w:hAnsi="Calibri" w:cs="Calibri"/>
                <w:b/>
                <w:bCs/>
                <w:color w:val="000000"/>
                <w:sz w:val="20"/>
                <w:szCs w:val="20"/>
              </w:rPr>
              <w:t>100%</w:t>
            </w:r>
          </w:p>
        </w:tc>
        <w:tc>
          <w:tcPr>
            <w:tcW w:w="525" w:type="pct"/>
            <w:tcBorders>
              <w:top w:val="single" w:sz="4" w:space="0" w:color="auto"/>
              <w:left w:val="single" w:sz="4" w:space="0" w:color="auto"/>
              <w:bottom w:val="single" w:sz="4" w:space="0" w:color="auto"/>
              <w:right w:val="single" w:sz="4" w:space="0" w:color="auto"/>
            </w:tcBorders>
            <w:shd w:val="clear" w:color="D9E1F2" w:fill="D9E1F2"/>
            <w:noWrap/>
            <w:vAlign w:val="bottom"/>
          </w:tcPr>
          <w:p w:rsidR="009E35BE" w:rsidRPr="00EA696B" w:rsidRDefault="009E35BE" w:rsidP="00832031">
            <w:pPr>
              <w:spacing w:after="0"/>
              <w:jc w:val="right"/>
              <w:rPr>
                <w:rFonts w:ascii="Calibri" w:hAnsi="Calibri" w:cs="Calibri"/>
                <w:b/>
                <w:bCs/>
                <w:color w:val="000000"/>
                <w:sz w:val="20"/>
                <w:szCs w:val="20"/>
              </w:rPr>
            </w:pPr>
            <w:r w:rsidRPr="00EA696B">
              <w:rPr>
                <w:rFonts w:ascii="Calibri" w:hAnsi="Calibri" w:cs="Calibri"/>
                <w:b/>
                <w:bCs/>
                <w:color w:val="000000"/>
                <w:sz w:val="20"/>
                <w:szCs w:val="20"/>
              </w:rPr>
              <w:t>100%</w:t>
            </w:r>
          </w:p>
        </w:tc>
        <w:tc>
          <w:tcPr>
            <w:tcW w:w="579" w:type="pct"/>
            <w:tcBorders>
              <w:top w:val="single" w:sz="4" w:space="0" w:color="auto"/>
              <w:left w:val="single" w:sz="4" w:space="0" w:color="auto"/>
              <w:bottom w:val="single" w:sz="4" w:space="0" w:color="auto"/>
              <w:right w:val="single" w:sz="4" w:space="0" w:color="auto"/>
            </w:tcBorders>
            <w:shd w:val="clear" w:color="D9E1F2" w:fill="D9E1F2"/>
            <w:noWrap/>
            <w:vAlign w:val="bottom"/>
          </w:tcPr>
          <w:p w:rsidR="009E35BE" w:rsidRPr="00EA696B" w:rsidRDefault="009E35BE" w:rsidP="00832031">
            <w:pPr>
              <w:spacing w:after="0"/>
              <w:jc w:val="right"/>
              <w:rPr>
                <w:rFonts w:ascii="Calibri" w:hAnsi="Calibri" w:cs="Calibri"/>
                <w:b/>
                <w:bCs/>
                <w:color w:val="000000"/>
                <w:sz w:val="20"/>
                <w:szCs w:val="20"/>
              </w:rPr>
            </w:pPr>
            <w:r w:rsidRPr="00EA696B">
              <w:rPr>
                <w:rFonts w:ascii="Calibri" w:hAnsi="Calibri" w:cs="Calibri"/>
                <w:b/>
                <w:bCs/>
                <w:color w:val="000000"/>
                <w:sz w:val="20"/>
                <w:szCs w:val="20"/>
              </w:rPr>
              <w:t>100%</w:t>
            </w:r>
          </w:p>
        </w:tc>
        <w:tc>
          <w:tcPr>
            <w:tcW w:w="519" w:type="pct"/>
            <w:tcBorders>
              <w:top w:val="single" w:sz="4" w:space="0" w:color="auto"/>
              <w:left w:val="single" w:sz="4" w:space="0" w:color="auto"/>
              <w:bottom w:val="single" w:sz="4" w:space="0" w:color="auto"/>
              <w:right w:val="single" w:sz="4" w:space="0" w:color="auto"/>
            </w:tcBorders>
            <w:shd w:val="clear" w:color="D9E1F2" w:fill="D9E1F2"/>
            <w:noWrap/>
            <w:vAlign w:val="bottom"/>
          </w:tcPr>
          <w:p w:rsidR="009E35BE" w:rsidRPr="00EA696B" w:rsidRDefault="009E35BE" w:rsidP="00832031">
            <w:pPr>
              <w:spacing w:after="0"/>
              <w:jc w:val="right"/>
              <w:rPr>
                <w:rFonts w:ascii="Calibri" w:hAnsi="Calibri" w:cs="Calibri"/>
                <w:b/>
                <w:bCs/>
                <w:color w:val="000000"/>
                <w:sz w:val="20"/>
                <w:szCs w:val="20"/>
              </w:rPr>
            </w:pPr>
            <w:r w:rsidRPr="00EA696B">
              <w:rPr>
                <w:rFonts w:ascii="Calibri" w:hAnsi="Calibri" w:cs="Calibri"/>
                <w:b/>
                <w:bCs/>
                <w:color w:val="000000"/>
                <w:sz w:val="20"/>
                <w:szCs w:val="20"/>
              </w:rPr>
              <w:t>100%</w:t>
            </w:r>
          </w:p>
        </w:tc>
        <w:tc>
          <w:tcPr>
            <w:tcW w:w="585" w:type="pct"/>
            <w:tcBorders>
              <w:top w:val="single" w:sz="4" w:space="0" w:color="auto"/>
              <w:left w:val="single" w:sz="4" w:space="0" w:color="auto"/>
              <w:bottom w:val="single" w:sz="4" w:space="0" w:color="auto"/>
              <w:right w:val="single" w:sz="4" w:space="0" w:color="auto"/>
            </w:tcBorders>
            <w:shd w:val="clear" w:color="D9E1F2" w:fill="D9E1F2"/>
            <w:noWrap/>
            <w:vAlign w:val="bottom"/>
          </w:tcPr>
          <w:p w:rsidR="009E35BE" w:rsidRPr="00EA696B" w:rsidRDefault="009E35BE" w:rsidP="00832031">
            <w:pPr>
              <w:spacing w:after="0"/>
              <w:jc w:val="right"/>
              <w:rPr>
                <w:rFonts w:ascii="Calibri" w:hAnsi="Calibri" w:cs="Calibri"/>
                <w:b/>
                <w:bCs/>
                <w:color w:val="000000"/>
                <w:sz w:val="20"/>
                <w:szCs w:val="20"/>
              </w:rPr>
            </w:pPr>
            <w:r w:rsidRPr="00EA696B">
              <w:rPr>
                <w:rFonts w:ascii="Calibri" w:hAnsi="Calibri" w:cs="Calibri"/>
                <w:b/>
                <w:bCs/>
                <w:color w:val="000000"/>
                <w:sz w:val="20"/>
                <w:szCs w:val="20"/>
              </w:rPr>
              <w:t>127</w:t>
            </w:r>
          </w:p>
        </w:tc>
        <w:tc>
          <w:tcPr>
            <w:tcW w:w="510" w:type="pct"/>
            <w:tcBorders>
              <w:top w:val="single" w:sz="4" w:space="0" w:color="auto"/>
              <w:left w:val="single" w:sz="4" w:space="0" w:color="auto"/>
              <w:bottom w:val="single" w:sz="4" w:space="0" w:color="auto"/>
              <w:right w:val="single" w:sz="4" w:space="0" w:color="auto"/>
            </w:tcBorders>
            <w:shd w:val="clear" w:color="DDEBF7" w:fill="DDEBF7"/>
            <w:vAlign w:val="bottom"/>
          </w:tcPr>
          <w:p w:rsidR="009E35BE" w:rsidRPr="00EA696B" w:rsidRDefault="009E35BE" w:rsidP="00832031">
            <w:pPr>
              <w:spacing w:after="0"/>
              <w:jc w:val="right"/>
              <w:rPr>
                <w:rFonts w:ascii="Calibri" w:hAnsi="Calibri" w:cs="Calibri"/>
                <w:b/>
                <w:bCs/>
                <w:color w:val="000000"/>
                <w:sz w:val="20"/>
                <w:szCs w:val="20"/>
              </w:rPr>
            </w:pPr>
            <w:r w:rsidRPr="00EA696B">
              <w:rPr>
                <w:rFonts w:ascii="Calibri" w:hAnsi="Calibri" w:cs="Calibri"/>
                <w:b/>
                <w:bCs/>
                <w:color w:val="000000"/>
                <w:sz w:val="20"/>
                <w:szCs w:val="20"/>
              </w:rPr>
              <w:t>1</w:t>
            </w:r>
            <w:r>
              <w:rPr>
                <w:rFonts w:ascii="Calibri" w:hAnsi="Calibri" w:cs="Calibri"/>
                <w:b/>
                <w:bCs/>
                <w:color w:val="000000"/>
                <w:sz w:val="20"/>
                <w:szCs w:val="20"/>
              </w:rPr>
              <w:t>.</w:t>
            </w:r>
            <w:r w:rsidRPr="00EA696B">
              <w:rPr>
                <w:rFonts w:ascii="Calibri" w:hAnsi="Calibri" w:cs="Calibri"/>
                <w:b/>
                <w:bCs/>
                <w:color w:val="000000"/>
                <w:sz w:val="20"/>
                <w:szCs w:val="20"/>
              </w:rPr>
              <w:t>619</w:t>
            </w:r>
          </w:p>
        </w:tc>
      </w:tr>
    </w:tbl>
    <w:p w:rsidR="009E35BE" w:rsidRDefault="009E35BE" w:rsidP="009E35BE">
      <w:pPr>
        <w:jc w:val="both"/>
      </w:pPr>
    </w:p>
    <w:p w:rsidR="009E35BE" w:rsidRDefault="009E35BE" w:rsidP="009E35BE">
      <w:pPr>
        <w:jc w:val="both"/>
      </w:pPr>
      <w:r>
        <w:t>Il primo dato di rilievo della tabella sopra riportata è che nessun avviamento del 2015 presenta una qualità contrattuale bassa (fatto che invece caratterizza – seppur marginalmente, solo 14 avviamenti nel 2015 – l’intero universo degli avviamenti nel settore orafo). La prevalenza di contratti di qualità media caratterizza la classe degli under 29 delle aziende artigiane, mentre nelle altre due classi (soggetti fra 30 e 49 anni e over 50), i contratti prevalenti risultano di alta qualità.</w:t>
      </w:r>
    </w:p>
    <w:p w:rsidR="009E35BE" w:rsidRDefault="009E35BE" w:rsidP="009E35BE">
      <w:pPr>
        <w:jc w:val="both"/>
      </w:pPr>
      <w:r>
        <w:t xml:space="preserve">Per quanto concerne il confronto con l’intero comparto orafo si nota una differenza notevole nelle percentuali associate ai contratti di qualità media e alta: nel campione </w:t>
      </w:r>
      <w:proofErr w:type="spellStart"/>
      <w:r>
        <w:t>Ebret</w:t>
      </w:r>
      <w:proofErr w:type="spellEnd"/>
      <w:r>
        <w:t xml:space="preserve">, rispetto all’universo, i contratti di qualità alta sono percentualmente maggiori di quelli riferibili all’universo in tutte le classi d’età. Al contrario, i contratti di qualità media sono più frequenti – in tutte le fasce di età – nell’universo rispetto al campione </w:t>
      </w:r>
      <w:proofErr w:type="spellStart"/>
      <w:r>
        <w:t>Ebret</w:t>
      </w:r>
      <w:proofErr w:type="spellEnd"/>
      <w:r>
        <w:t xml:space="preserve">. Come abbiamo detto, l’assenza dei contratti di qualità bassa del campione </w:t>
      </w:r>
      <w:proofErr w:type="spellStart"/>
      <w:r>
        <w:t>Ebret</w:t>
      </w:r>
      <w:proofErr w:type="spellEnd"/>
      <w:r>
        <w:t xml:space="preserve"> non trova corrispondenza nell’Universo, dove, comunque, sono presenti in via marginale.</w:t>
      </w:r>
    </w:p>
    <w:p w:rsidR="009E35BE" w:rsidRDefault="009E35BE" w:rsidP="009E35BE">
      <w:pPr>
        <w:jc w:val="both"/>
      </w:pPr>
      <w:r>
        <w:t>Può essere interessante comparare anche i dati disaggregati per genere.</w:t>
      </w:r>
    </w:p>
    <w:p w:rsidR="009E35BE" w:rsidRDefault="009E35BE" w:rsidP="009E35BE">
      <w:pPr>
        <w:jc w:val="both"/>
      </w:pPr>
      <w:r>
        <w:t xml:space="preserve">Nella tabella seguente i dati mostrano una minor distanza di genere della qualità contrattuale. Infatti, non solo – come abbiamo già detto – nel campione </w:t>
      </w:r>
      <w:proofErr w:type="spellStart"/>
      <w:r>
        <w:t>Ebret</w:t>
      </w:r>
      <w:proofErr w:type="spellEnd"/>
      <w:r>
        <w:t xml:space="preserve"> non ci sono contratti di bassa qualità (ciò vale, naturalmente, sia per gli uomini che per le donne), ma la distanza delle percentuali fra uomini e donne nei contratti di qualità alta è molto inferiore nel campione </w:t>
      </w:r>
      <w:proofErr w:type="spellStart"/>
      <w:r>
        <w:t>Ebret</w:t>
      </w:r>
      <w:proofErr w:type="spellEnd"/>
      <w:r>
        <w:t xml:space="preserve"> rispetto all’intero comparto orafo.</w:t>
      </w:r>
    </w:p>
    <w:p w:rsidR="009E35BE" w:rsidRDefault="009E35BE" w:rsidP="009E35BE">
      <w:pPr>
        <w:jc w:val="both"/>
        <w:rPr>
          <w:b/>
          <w:sz w:val="20"/>
          <w:szCs w:val="20"/>
        </w:rPr>
      </w:pPr>
      <w:r>
        <w:rPr>
          <w:b/>
          <w:sz w:val="20"/>
          <w:szCs w:val="20"/>
        </w:rPr>
        <w:t>Tab.</w:t>
      </w:r>
      <w:r w:rsidR="0029619D">
        <w:rPr>
          <w:b/>
          <w:sz w:val="20"/>
          <w:szCs w:val="20"/>
        </w:rPr>
        <w:t>3.17</w:t>
      </w:r>
      <w:r w:rsidRPr="00495D2B">
        <w:rPr>
          <w:b/>
          <w:sz w:val="20"/>
          <w:szCs w:val="20"/>
        </w:rPr>
        <w:t xml:space="preserve"> - </w:t>
      </w:r>
      <w:r w:rsidRPr="005B5746">
        <w:rPr>
          <w:b/>
          <w:sz w:val="20"/>
          <w:szCs w:val="20"/>
        </w:rPr>
        <w:t>Dist</w:t>
      </w:r>
      <w:r>
        <w:rPr>
          <w:b/>
          <w:sz w:val="20"/>
          <w:szCs w:val="20"/>
        </w:rPr>
        <w:t>ribuzione degli avviamenti (2015</w:t>
      </w:r>
      <w:r w:rsidRPr="005B5746">
        <w:rPr>
          <w:b/>
          <w:sz w:val="20"/>
          <w:szCs w:val="20"/>
        </w:rPr>
        <w:t xml:space="preserve">) per </w:t>
      </w:r>
      <w:r>
        <w:rPr>
          <w:b/>
          <w:sz w:val="20"/>
          <w:szCs w:val="20"/>
        </w:rPr>
        <w:t>genere</w:t>
      </w:r>
      <w:r w:rsidRPr="005B5746">
        <w:rPr>
          <w:b/>
          <w:sz w:val="20"/>
          <w:szCs w:val="20"/>
        </w:rPr>
        <w:t xml:space="preserve"> e ranking contrattuale</w:t>
      </w:r>
      <w:r>
        <w:rPr>
          <w:b/>
          <w:sz w:val="20"/>
          <w:szCs w:val="20"/>
        </w:rPr>
        <w:t xml:space="preserve"> </w:t>
      </w:r>
      <w:r w:rsidRPr="00ED714C">
        <w:rPr>
          <w:b/>
          <w:sz w:val="20"/>
          <w:szCs w:val="20"/>
        </w:rPr>
        <w:t xml:space="preserve">– aziende campione </w:t>
      </w:r>
      <w:proofErr w:type="spellStart"/>
      <w:r w:rsidRPr="00ED714C">
        <w:rPr>
          <w:b/>
          <w:sz w:val="20"/>
          <w:szCs w:val="20"/>
        </w:rPr>
        <w:t>Ebret</w:t>
      </w:r>
      <w:proofErr w:type="spellEnd"/>
      <w:r>
        <w:rPr>
          <w:b/>
          <w:sz w:val="20"/>
          <w:szCs w:val="20"/>
        </w:rPr>
        <w:t xml:space="preserve"> e Universo.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70" w:type="dxa"/>
          <w:bottom w:w="15" w:type="dxa"/>
          <w:right w:w="70" w:type="dxa"/>
        </w:tblCellMar>
        <w:tblLook w:val="04A0" w:firstRow="1" w:lastRow="0" w:firstColumn="1" w:lastColumn="0" w:noHBand="0" w:noVBand="1"/>
      </w:tblPr>
      <w:tblGrid>
        <w:gridCol w:w="1223"/>
        <w:gridCol w:w="1463"/>
        <w:gridCol w:w="1338"/>
        <w:gridCol w:w="1496"/>
        <w:gridCol w:w="1306"/>
        <w:gridCol w:w="1529"/>
        <w:gridCol w:w="1273"/>
      </w:tblGrid>
      <w:tr w:rsidR="009E35BE" w:rsidRPr="00A41549" w:rsidTr="00832031">
        <w:trPr>
          <w:trHeight w:val="300"/>
        </w:trPr>
        <w:tc>
          <w:tcPr>
            <w:tcW w:w="635" w:type="pct"/>
            <w:vMerge w:val="restart"/>
            <w:shd w:val="clear" w:color="000000" w:fill="D9E1F2"/>
            <w:vAlign w:val="bottom"/>
            <w:hideMark/>
          </w:tcPr>
          <w:p w:rsidR="009E35BE" w:rsidRPr="00A41549" w:rsidRDefault="009E35BE" w:rsidP="00832031">
            <w:pPr>
              <w:spacing w:after="0" w:line="240" w:lineRule="auto"/>
              <w:rPr>
                <w:rFonts w:ascii="Calibri" w:eastAsia="Times New Roman" w:hAnsi="Calibri" w:cs="Calibri"/>
                <w:b/>
                <w:bCs/>
                <w:color w:val="000000"/>
                <w:sz w:val="20"/>
                <w:szCs w:val="20"/>
                <w:lang w:eastAsia="it-IT"/>
              </w:rPr>
            </w:pPr>
            <w:r w:rsidRPr="00A41549">
              <w:rPr>
                <w:rFonts w:ascii="Calibri" w:eastAsia="Times New Roman" w:hAnsi="Calibri" w:cs="Calibri"/>
                <w:b/>
                <w:bCs/>
                <w:color w:val="000000"/>
                <w:sz w:val="20"/>
                <w:szCs w:val="20"/>
                <w:lang w:eastAsia="it-IT"/>
              </w:rPr>
              <w:t>Qualità contrattuale</w:t>
            </w:r>
          </w:p>
        </w:tc>
        <w:tc>
          <w:tcPr>
            <w:tcW w:w="1455" w:type="pct"/>
            <w:gridSpan w:val="2"/>
            <w:shd w:val="clear" w:color="000000" w:fill="D9E1F2"/>
            <w:vAlign w:val="bottom"/>
            <w:hideMark/>
          </w:tcPr>
          <w:p w:rsidR="009E35BE" w:rsidRPr="00A41549" w:rsidRDefault="009E35BE" w:rsidP="00832031">
            <w:pPr>
              <w:spacing w:after="0" w:line="240" w:lineRule="auto"/>
              <w:jc w:val="center"/>
              <w:rPr>
                <w:rFonts w:ascii="Calibri" w:eastAsia="Times New Roman" w:hAnsi="Calibri" w:cs="Calibri"/>
                <w:b/>
                <w:bCs/>
                <w:color w:val="000000"/>
                <w:sz w:val="20"/>
                <w:szCs w:val="20"/>
                <w:lang w:eastAsia="it-IT"/>
              </w:rPr>
            </w:pPr>
            <w:r w:rsidRPr="00A41549">
              <w:rPr>
                <w:rFonts w:ascii="Calibri" w:eastAsia="Times New Roman" w:hAnsi="Calibri" w:cs="Calibri"/>
                <w:b/>
                <w:bCs/>
                <w:color w:val="000000"/>
                <w:sz w:val="20"/>
                <w:szCs w:val="20"/>
                <w:lang w:eastAsia="it-IT"/>
              </w:rPr>
              <w:t>M</w:t>
            </w:r>
            <w:r>
              <w:rPr>
                <w:rFonts w:ascii="Calibri" w:eastAsia="Times New Roman" w:hAnsi="Calibri" w:cs="Calibri"/>
                <w:b/>
                <w:bCs/>
                <w:color w:val="000000"/>
                <w:sz w:val="20"/>
                <w:szCs w:val="20"/>
                <w:lang w:eastAsia="it-IT"/>
              </w:rPr>
              <w:t>aschi</w:t>
            </w:r>
          </w:p>
        </w:tc>
        <w:tc>
          <w:tcPr>
            <w:tcW w:w="1455" w:type="pct"/>
            <w:gridSpan w:val="2"/>
            <w:shd w:val="clear" w:color="000000" w:fill="D9E1F2"/>
            <w:vAlign w:val="bottom"/>
            <w:hideMark/>
          </w:tcPr>
          <w:p w:rsidR="009E35BE" w:rsidRPr="00A41549" w:rsidRDefault="009E35BE" w:rsidP="00832031">
            <w:pPr>
              <w:spacing w:after="0" w:line="240" w:lineRule="auto"/>
              <w:jc w:val="center"/>
              <w:rPr>
                <w:rFonts w:ascii="Calibri" w:eastAsia="Times New Roman" w:hAnsi="Calibri" w:cs="Calibri"/>
                <w:b/>
                <w:bCs/>
                <w:color w:val="000000"/>
                <w:sz w:val="20"/>
                <w:szCs w:val="20"/>
                <w:lang w:eastAsia="it-IT"/>
              </w:rPr>
            </w:pPr>
            <w:r w:rsidRPr="00A41549">
              <w:rPr>
                <w:rFonts w:ascii="Calibri" w:eastAsia="Times New Roman" w:hAnsi="Calibri" w:cs="Calibri"/>
                <w:b/>
                <w:bCs/>
                <w:color w:val="000000"/>
                <w:sz w:val="20"/>
                <w:szCs w:val="20"/>
                <w:lang w:eastAsia="it-IT"/>
              </w:rPr>
              <w:t>F</w:t>
            </w:r>
            <w:r>
              <w:rPr>
                <w:rFonts w:ascii="Calibri" w:eastAsia="Times New Roman" w:hAnsi="Calibri" w:cs="Calibri"/>
                <w:b/>
                <w:bCs/>
                <w:color w:val="000000"/>
                <w:sz w:val="20"/>
                <w:szCs w:val="20"/>
                <w:lang w:eastAsia="it-IT"/>
              </w:rPr>
              <w:t>emmine</w:t>
            </w:r>
          </w:p>
        </w:tc>
        <w:tc>
          <w:tcPr>
            <w:tcW w:w="1455" w:type="pct"/>
            <w:gridSpan w:val="2"/>
            <w:shd w:val="clear" w:color="000000" w:fill="D9E1F2"/>
            <w:vAlign w:val="bottom"/>
            <w:hideMark/>
          </w:tcPr>
          <w:p w:rsidR="009E35BE" w:rsidRPr="00A41549" w:rsidRDefault="009E35BE" w:rsidP="00832031">
            <w:pPr>
              <w:spacing w:after="0" w:line="240" w:lineRule="auto"/>
              <w:jc w:val="center"/>
              <w:rPr>
                <w:rFonts w:ascii="Calibri" w:eastAsia="Times New Roman" w:hAnsi="Calibri" w:cs="Calibri"/>
                <w:b/>
                <w:bCs/>
                <w:color w:val="000000"/>
                <w:sz w:val="20"/>
                <w:szCs w:val="20"/>
                <w:lang w:eastAsia="it-IT"/>
              </w:rPr>
            </w:pPr>
            <w:r w:rsidRPr="00A41549">
              <w:rPr>
                <w:rFonts w:ascii="Calibri" w:eastAsia="Times New Roman" w:hAnsi="Calibri" w:cs="Calibri"/>
                <w:b/>
                <w:bCs/>
                <w:color w:val="000000"/>
                <w:sz w:val="20"/>
                <w:szCs w:val="20"/>
                <w:lang w:eastAsia="it-IT"/>
              </w:rPr>
              <w:t>Totale VA</w:t>
            </w:r>
          </w:p>
        </w:tc>
      </w:tr>
      <w:tr w:rsidR="009E35BE" w:rsidRPr="00A41549" w:rsidTr="00832031">
        <w:trPr>
          <w:trHeight w:val="300"/>
        </w:trPr>
        <w:tc>
          <w:tcPr>
            <w:tcW w:w="635" w:type="pct"/>
            <w:vMerge/>
            <w:vAlign w:val="center"/>
            <w:hideMark/>
          </w:tcPr>
          <w:p w:rsidR="009E35BE" w:rsidRPr="00A41549" w:rsidRDefault="009E35BE" w:rsidP="00832031">
            <w:pPr>
              <w:spacing w:after="0" w:line="240" w:lineRule="auto"/>
              <w:rPr>
                <w:rFonts w:ascii="Calibri" w:eastAsia="Times New Roman" w:hAnsi="Calibri" w:cs="Calibri"/>
                <w:b/>
                <w:bCs/>
                <w:color w:val="000000"/>
                <w:sz w:val="20"/>
                <w:szCs w:val="20"/>
                <w:lang w:eastAsia="it-IT"/>
              </w:rPr>
            </w:pPr>
          </w:p>
        </w:tc>
        <w:tc>
          <w:tcPr>
            <w:tcW w:w="760" w:type="pct"/>
            <w:shd w:val="clear" w:color="000000" w:fill="D9E1F2"/>
            <w:vAlign w:val="bottom"/>
            <w:hideMark/>
          </w:tcPr>
          <w:p w:rsidR="009E35BE" w:rsidRPr="00A41549" w:rsidRDefault="009E35BE" w:rsidP="00832031">
            <w:pPr>
              <w:spacing w:after="0" w:line="240" w:lineRule="auto"/>
              <w:jc w:val="center"/>
              <w:rPr>
                <w:rFonts w:ascii="Calibri" w:eastAsia="Times New Roman" w:hAnsi="Calibri" w:cs="Calibri"/>
                <w:b/>
                <w:bCs/>
                <w:color w:val="000000"/>
                <w:sz w:val="20"/>
                <w:szCs w:val="20"/>
                <w:lang w:eastAsia="it-IT"/>
              </w:rPr>
            </w:pPr>
            <w:r w:rsidRPr="00A41549">
              <w:rPr>
                <w:rFonts w:ascii="Calibri" w:eastAsia="Times New Roman" w:hAnsi="Calibri" w:cs="Calibri"/>
                <w:b/>
                <w:bCs/>
                <w:color w:val="000000"/>
                <w:sz w:val="20"/>
                <w:szCs w:val="20"/>
                <w:lang w:eastAsia="it-IT"/>
              </w:rPr>
              <w:t xml:space="preserve">Campione </w:t>
            </w:r>
            <w:proofErr w:type="spellStart"/>
            <w:r w:rsidRPr="00A41549">
              <w:rPr>
                <w:rFonts w:ascii="Calibri" w:eastAsia="Times New Roman" w:hAnsi="Calibri" w:cs="Calibri"/>
                <w:b/>
                <w:bCs/>
                <w:color w:val="000000"/>
                <w:sz w:val="20"/>
                <w:szCs w:val="20"/>
                <w:lang w:eastAsia="it-IT"/>
              </w:rPr>
              <w:t>Ebret</w:t>
            </w:r>
            <w:proofErr w:type="spellEnd"/>
          </w:p>
        </w:tc>
        <w:tc>
          <w:tcPr>
            <w:tcW w:w="695" w:type="pct"/>
            <w:shd w:val="clear" w:color="000000" w:fill="D9E1F2"/>
            <w:vAlign w:val="bottom"/>
            <w:hideMark/>
          </w:tcPr>
          <w:p w:rsidR="009E35BE" w:rsidRPr="00A41549" w:rsidRDefault="009E35BE" w:rsidP="00832031">
            <w:pPr>
              <w:spacing w:after="0" w:line="240" w:lineRule="auto"/>
              <w:jc w:val="center"/>
              <w:rPr>
                <w:rFonts w:ascii="Calibri" w:eastAsia="Times New Roman" w:hAnsi="Calibri" w:cs="Calibri"/>
                <w:b/>
                <w:bCs/>
                <w:color w:val="000000"/>
                <w:sz w:val="20"/>
                <w:szCs w:val="20"/>
                <w:lang w:eastAsia="it-IT"/>
              </w:rPr>
            </w:pPr>
            <w:r w:rsidRPr="00A41549">
              <w:rPr>
                <w:rFonts w:ascii="Calibri" w:eastAsia="Times New Roman" w:hAnsi="Calibri" w:cs="Calibri"/>
                <w:b/>
                <w:bCs/>
                <w:color w:val="000000"/>
                <w:sz w:val="20"/>
                <w:szCs w:val="20"/>
                <w:lang w:eastAsia="it-IT"/>
              </w:rPr>
              <w:t>Universo</w:t>
            </w:r>
          </w:p>
        </w:tc>
        <w:tc>
          <w:tcPr>
            <w:tcW w:w="777" w:type="pct"/>
            <w:shd w:val="clear" w:color="000000" w:fill="D9E1F2"/>
            <w:vAlign w:val="bottom"/>
            <w:hideMark/>
          </w:tcPr>
          <w:p w:rsidR="009E35BE" w:rsidRPr="00A41549" w:rsidRDefault="009E35BE" w:rsidP="00832031">
            <w:pPr>
              <w:spacing w:after="0" w:line="240" w:lineRule="auto"/>
              <w:jc w:val="center"/>
              <w:rPr>
                <w:rFonts w:ascii="Calibri" w:eastAsia="Times New Roman" w:hAnsi="Calibri" w:cs="Calibri"/>
                <w:b/>
                <w:bCs/>
                <w:color w:val="000000"/>
                <w:sz w:val="20"/>
                <w:szCs w:val="20"/>
                <w:lang w:eastAsia="it-IT"/>
              </w:rPr>
            </w:pPr>
            <w:r w:rsidRPr="00A41549">
              <w:rPr>
                <w:rFonts w:ascii="Calibri" w:eastAsia="Times New Roman" w:hAnsi="Calibri" w:cs="Calibri"/>
                <w:b/>
                <w:bCs/>
                <w:color w:val="000000"/>
                <w:sz w:val="20"/>
                <w:szCs w:val="20"/>
                <w:lang w:eastAsia="it-IT"/>
              </w:rPr>
              <w:t xml:space="preserve">Campione </w:t>
            </w:r>
            <w:proofErr w:type="spellStart"/>
            <w:r w:rsidRPr="00A41549">
              <w:rPr>
                <w:rFonts w:ascii="Calibri" w:eastAsia="Times New Roman" w:hAnsi="Calibri" w:cs="Calibri"/>
                <w:b/>
                <w:bCs/>
                <w:color w:val="000000"/>
                <w:sz w:val="20"/>
                <w:szCs w:val="20"/>
                <w:lang w:eastAsia="it-IT"/>
              </w:rPr>
              <w:t>Ebret</w:t>
            </w:r>
            <w:proofErr w:type="spellEnd"/>
          </w:p>
        </w:tc>
        <w:tc>
          <w:tcPr>
            <w:tcW w:w="678" w:type="pct"/>
            <w:shd w:val="clear" w:color="000000" w:fill="D9E1F2"/>
            <w:vAlign w:val="bottom"/>
            <w:hideMark/>
          </w:tcPr>
          <w:p w:rsidR="009E35BE" w:rsidRPr="00A41549" w:rsidRDefault="009E35BE" w:rsidP="00832031">
            <w:pPr>
              <w:spacing w:after="0" w:line="240" w:lineRule="auto"/>
              <w:jc w:val="center"/>
              <w:rPr>
                <w:rFonts w:ascii="Calibri" w:eastAsia="Times New Roman" w:hAnsi="Calibri" w:cs="Calibri"/>
                <w:b/>
                <w:bCs/>
                <w:color w:val="000000"/>
                <w:sz w:val="20"/>
                <w:szCs w:val="20"/>
                <w:lang w:eastAsia="it-IT"/>
              </w:rPr>
            </w:pPr>
            <w:r w:rsidRPr="00A41549">
              <w:rPr>
                <w:rFonts w:ascii="Calibri" w:eastAsia="Times New Roman" w:hAnsi="Calibri" w:cs="Calibri"/>
                <w:b/>
                <w:bCs/>
                <w:color w:val="000000"/>
                <w:sz w:val="20"/>
                <w:szCs w:val="20"/>
                <w:lang w:eastAsia="it-IT"/>
              </w:rPr>
              <w:t>Universo</w:t>
            </w:r>
          </w:p>
        </w:tc>
        <w:tc>
          <w:tcPr>
            <w:tcW w:w="794" w:type="pct"/>
            <w:shd w:val="clear" w:color="000000" w:fill="D9E1F2"/>
            <w:vAlign w:val="bottom"/>
            <w:hideMark/>
          </w:tcPr>
          <w:p w:rsidR="009E35BE" w:rsidRPr="00A41549" w:rsidRDefault="009E35BE" w:rsidP="00832031">
            <w:pPr>
              <w:spacing w:after="0" w:line="240" w:lineRule="auto"/>
              <w:jc w:val="center"/>
              <w:rPr>
                <w:rFonts w:ascii="Calibri" w:eastAsia="Times New Roman" w:hAnsi="Calibri" w:cs="Calibri"/>
                <w:b/>
                <w:bCs/>
                <w:color w:val="000000"/>
                <w:sz w:val="20"/>
                <w:szCs w:val="20"/>
                <w:lang w:eastAsia="it-IT"/>
              </w:rPr>
            </w:pPr>
            <w:r w:rsidRPr="00A41549">
              <w:rPr>
                <w:rFonts w:ascii="Calibri" w:eastAsia="Times New Roman" w:hAnsi="Calibri" w:cs="Calibri"/>
                <w:b/>
                <w:bCs/>
                <w:color w:val="000000"/>
                <w:sz w:val="20"/>
                <w:szCs w:val="20"/>
                <w:lang w:eastAsia="it-IT"/>
              </w:rPr>
              <w:t xml:space="preserve">Campione </w:t>
            </w:r>
            <w:proofErr w:type="spellStart"/>
            <w:r w:rsidRPr="00A41549">
              <w:rPr>
                <w:rFonts w:ascii="Calibri" w:eastAsia="Times New Roman" w:hAnsi="Calibri" w:cs="Calibri"/>
                <w:b/>
                <w:bCs/>
                <w:color w:val="000000"/>
                <w:sz w:val="20"/>
                <w:szCs w:val="20"/>
                <w:lang w:eastAsia="it-IT"/>
              </w:rPr>
              <w:t>Ebret</w:t>
            </w:r>
            <w:proofErr w:type="spellEnd"/>
          </w:p>
        </w:tc>
        <w:tc>
          <w:tcPr>
            <w:tcW w:w="661" w:type="pct"/>
            <w:shd w:val="clear" w:color="000000" w:fill="D9E1F2"/>
            <w:vAlign w:val="bottom"/>
            <w:hideMark/>
          </w:tcPr>
          <w:p w:rsidR="009E35BE" w:rsidRPr="00A41549" w:rsidRDefault="009E35BE" w:rsidP="00832031">
            <w:pPr>
              <w:spacing w:after="0" w:line="240" w:lineRule="auto"/>
              <w:jc w:val="center"/>
              <w:rPr>
                <w:rFonts w:ascii="Calibri" w:eastAsia="Times New Roman" w:hAnsi="Calibri" w:cs="Calibri"/>
                <w:b/>
                <w:bCs/>
                <w:color w:val="000000"/>
                <w:sz w:val="20"/>
                <w:szCs w:val="20"/>
                <w:lang w:eastAsia="it-IT"/>
              </w:rPr>
            </w:pPr>
            <w:r w:rsidRPr="00A41549">
              <w:rPr>
                <w:rFonts w:ascii="Calibri" w:eastAsia="Times New Roman" w:hAnsi="Calibri" w:cs="Calibri"/>
                <w:b/>
                <w:bCs/>
                <w:color w:val="000000"/>
                <w:sz w:val="20"/>
                <w:szCs w:val="20"/>
                <w:lang w:eastAsia="it-IT"/>
              </w:rPr>
              <w:t>Universo</w:t>
            </w:r>
          </w:p>
        </w:tc>
      </w:tr>
      <w:tr w:rsidR="009E35BE" w:rsidRPr="00A41549" w:rsidTr="00832031">
        <w:trPr>
          <w:trHeight w:val="300"/>
        </w:trPr>
        <w:tc>
          <w:tcPr>
            <w:tcW w:w="635" w:type="pct"/>
            <w:vAlign w:val="bottom"/>
            <w:hideMark/>
          </w:tcPr>
          <w:p w:rsidR="009E35BE" w:rsidRPr="00A41549" w:rsidRDefault="009E35BE" w:rsidP="00832031">
            <w:pPr>
              <w:spacing w:after="0" w:line="240" w:lineRule="auto"/>
              <w:rPr>
                <w:rFonts w:ascii="Calibri" w:eastAsia="Times New Roman" w:hAnsi="Calibri" w:cs="Calibri"/>
                <w:color w:val="000000"/>
                <w:sz w:val="20"/>
                <w:szCs w:val="20"/>
                <w:lang w:eastAsia="it-IT"/>
              </w:rPr>
            </w:pPr>
            <w:r w:rsidRPr="00A41549">
              <w:rPr>
                <w:rFonts w:ascii="Calibri" w:eastAsia="Times New Roman" w:hAnsi="Calibri" w:cs="Calibri"/>
                <w:color w:val="000000"/>
                <w:sz w:val="20"/>
                <w:szCs w:val="20"/>
                <w:lang w:eastAsia="it-IT"/>
              </w:rPr>
              <w:t>Q. Bassa</w:t>
            </w:r>
          </w:p>
        </w:tc>
        <w:tc>
          <w:tcPr>
            <w:tcW w:w="760" w:type="pct"/>
            <w:vAlign w:val="bottom"/>
          </w:tcPr>
          <w:p w:rsidR="009E35BE" w:rsidRPr="00EA696B" w:rsidRDefault="009E35BE" w:rsidP="00832031">
            <w:pPr>
              <w:spacing w:after="0"/>
              <w:jc w:val="right"/>
              <w:rPr>
                <w:rFonts w:ascii="Calibri" w:hAnsi="Calibri" w:cs="Calibri"/>
                <w:color w:val="000000"/>
                <w:sz w:val="20"/>
                <w:szCs w:val="20"/>
              </w:rPr>
            </w:pPr>
            <w:r w:rsidRPr="00EA696B">
              <w:rPr>
                <w:rFonts w:ascii="Calibri" w:hAnsi="Calibri" w:cs="Calibri"/>
                <w:color w:val="000000"/>
                <w:sz w:val="20"/>
                <w:szCs w:val="20"/>
              </w:rPr>
              <w:t>0,00%</w:t>
            </w:r>
          </w:p>
        </w:tc>
        <w:tc>
          <w:tcPr>
            <w:tcW w:w="695" w:type="pct"/>
            <w:vAlign w:val="bottom"/>
          </w:tcPr>
          <w:p w:rsidR="009E35BE" w:rsidRPr="00EA696B" w:rsidRDefault="009E35BE" w:rsidP="00832031">
            <w:pPr>
              <w:spacing w:after="0"/>
              <w:jc w:val="right"/>
              <w:rPr>
                <w:rFonts w:ascii="Calibri" w:hAnsi="Calibri" w:cs="Calibri"/>
                <w:color w:val="000000"/>
                <w:sz w:val="20"/>
                <w:szCs w:val="20"/>
              </w:rPr>
            </w:pPr>
            <w:r w:rsidRPr="00EA696B">
              <w:rPr>
                <w:rFonts w:ascii="Calibri" w:hAnsi="Calibri" w:cs="Calibri"/>
                <w:color w:val="000000"/>
                <w:sz w:val="20"/>
                <w:szCs w:val="20"/>
              </w:rPr>
              <w:t>1,16%</w:t>
            </w:r>
          </w:p>
        </w:tc>
        <w:tc>
          <w:tcPr>
            <w:tcW w:w="777" w:type="pct"/>
            <w:vAlign w:val="bottom"/>
          </w:tcPr>
          <w:p w:rsidR="009E35BE" w:rsidRPr="00EA696B" w:rsidRDefault="009E35BE" w:rsidP="00832031">
            <w:pPr>
              <w:spacing w:after="0"/>
              <w:jc w:val="right"/>
              <w:rPr>
                <w:rFonts w:ascii="Calibri" w:hAnsi="Calibri" w:cs="Calibri"/>
                <w:color w:val="000000"/>
                <w:sz w:val="20"/>
                <w:szCs w:val="20"/>
              </w:rPr>
            </w:pPr>
            <w:r w:rsidRPr="00EA696B">
              <w:rPr>
                <w:rFonts w:ascii="Calibri" w:hAnsi="Calibri" w:cs="Calibri"/>
                <w:color w:val="000000"/>
                <w:sz w:val="20"/>
                <w:szCs w:val="20"/>
              </w:rPr>
              <w:t>0,00%</w:t>
            </w:r>
          </w:p>
        </w:tc>
        <w:tc>
          <w:tcPr>
            <w:tcW w:w="678" w:type="pct"/>
            <w:vAlign w:val="bottom"/>
          </w:tcPr>
          <w:p w:rsidR="009E35BE" w:rsidRPr="00EA696B" w:rsidRDefault="009E35BE" w:rsidP="00832031">
            <w:pPr>
              <w:spacing w:after="0"/>
              <w:jc w:val="right"/>
              <w:rPr>
                <w:rFonts w:ascii="Calibri" w:hAnsi="Calibri" w:cs="Calibri"/>
                <w:color w:val="000000"/>
                <w:sz w:val="20"/>
                <w:szCs w:val="20"/>
              </w:rPr>
            </w:pPr>
            <w:r w:rsidRPr="00EA696B">
              <w:rPr>
                <w:rFonts w:ascii="Calibri" w:hAnsi="Calibri" w:cs="Calibri"/>
                <w:color w:val="000000"/>
                <w:sz w:val="20"/>
                <w:szCs w:val="20"/>
              </w:rPr>
              <w:t>0,34%</w:t>
            </w:r>
          </w:p>
        </w:tc>
        <w:tc>
          <w:tcPr>
            <w:tcW w:w="794" w:type="pct"/>
            <w:vAlign w:val="bottom"/>
          </w:tcPr>
          <w:p w:rsidR="009E35BE" w:rsidRPr="00EA696B" w:rsidRDefault="009E35BE" w:rsidP="00832031">
            <w:pPr>
              <w:spacing w:after="0"/>
              <w:jc w:val="right"/>
              <w:rPr>
                <w:rFonts w:ascii="Calibri" w:hAnsi="Calibri" w:cs="Calibri"/>
                <w:color w:val="000000"/>
                <w:sz w:val="20"/>
                <w:szCs w:val="20"/>
              </w:rPr>
            </w:pPr>
            <w:r w:rsidRPr="00EA696B">
              <w:rPr>
                <w:rFonts w:ascii="Calibri" w:hAnsi="Calibri" w:cs="Calibri"/>
                <w:color w:val="000000"/>
                <w:sz w:val="20"/>
                <w:szCs w:val="20"/>
              </w:rPr>
              <w:t>0</w:t>
            </w:r>
          </w:p>
        </w:tc>
        <w:tc>
          <w:tcPr>
            <w:tcW w:w="661" w:type="pct"/>
            <w:vAlign w:val="bottom"/>
          </w:tcPr>
          <w:p w:rsidR="009E35BE" w:rsidRPr="00EA696B" w:rsidRDefault="009E35BE" w:rsidP="00832031">
            <w:pPr>
              <w:spacing w:after="0"/>
              <w:jc w:val="right"/>
              <w:rPr>
                <w:rFonts w:ascii="Calibri" w:hAnsi="Calibri" w:cs="Calibri"/>
                <w:color w:val="000000"/>
                <w:sz w:val="20"/>
                <w:szCs w:val="20"/>
              </w:rPr>
            </w:pPr>
            <w:r w:rsidRPr="00EA696B">
              <w:rPr>
                <w:rFonts w:ascii="Calibri" w:hAnsi="Calibri" w:cs="Calibri"/>
                <w:color w:val="000000"/>
                <w:sz w:val="20"/>
                <w:szCs w:val="20"/>
              </w:rPr>
              <w:t>14</w:t>
            </w:r>
          </w:p>
        </w:tc>
      </w:tr>
      <w:tr w:rsidR="009E35BE" w:rsidRPr="00A41549" w:rsidTr="00832031">
        <w:trPr>
          <w:trHeight w:val="300"/>
        </w:trPr>
        <w:tc>
          <w:tcPr>
            <w:tcW w:w="635" w:type="pct"/>
            <w:vAlign w:val="bottom"/>
            <w:hideMark/>
          </w:tcPr>
          <w:p w:rsidR="009E35BE" w:rsidRPr="00A41549" w:rsidRDefault="009E35BE" w:rsidP="00832031">
            <w:pPr>
              <w:spacing w:after="0" w:line="240" w:lineRule="auto"/>
              <w:rPr>
                <w:rFonts w:ascii="Calibri" w:eastAsia="Times New Roman" w:hAnsi="Calibri" w:cs="Calibri"/>
                <w:color w:val="000000"/>
                <w:sz w:val="20"/>
                <w:szCs w:val="20"/>
                <w:lang w:eastAsia="it-IT"/>
              </w:rPr>
            </w:pPr>
            <w:r w:rsidRPr="00A41549">
              <w:rPr>
                <w:rFonts w:ascii="Calibri" w:eastAsia="Times New Roman" w:hAnsi="Calibri" w:cs="Calibri"/>
                <w:color w:val="000000"/>
                <w:sz w:val="20"/>
                <w:szCs w:val="20"/>
                <w:lang w:eastAsia="it-IT"/>
              </w:rPr>
              <w:t>Q. Media</w:t>
            </w:r>
          </w:p>
        </w:tc>
        <w:tc>
          <w:tcPr>
            <w:tcW w:w="760" w:type="pct"/>
            <w:vAlign w:val="bottom"/>
          </w:tcPr>
          <w:p w:rsidR="009E35BE" w:rsidRPr="00EA696B" w:rsidRDefault="009E35BE" w:rsidP="00832031">
            <w:pPr>
              <w:spacing w:after="0"/>
              <w:jc w:val="right"/>
              <w:rPr>
                <w:rFonts w:ascii="Calibri" w:hAnsi="Calibri" w:cs="Calibri"/>
                <w:color w:val="000000"/>
                <w:sz w:val="20"/>
                <w:szCs w:val="20"/>
              </w:rPr>
            </w:pPr>
            <w:r w:rsidRPr="00EA696B">
              <w:rPr>
                <w:rFonts w:ascii="Calibri" w:hAnsi="Calibri" w:cs="Calibri"/>
                <w:color w:val="000000"/>
                <w:sz w:val="20"/>
                <w:szCs w:val="20"/>
              </w:rPr>
              <w:t>47,06%</w:t>
            </w:r>
          </w:p>
        </w:tc>
        <w:tc>
          <w:tcPr>
            <w:tcW w:w="695" w:type="pct"/>
            <w:vAlign w:val="bottom"/>
          </w:tcPr>
          <w:p w:rsidR="009E35BE" w:rsidRPr="00EA696B" w:rsidRDefault="009E35BE" w:rsidP="00832031">
            <w:pPr>
              <w:spacing w:after="0"/>
              <w:jc w:val="right"/>
              <w:rPr>
                <w:rFonts w:ascii="Calibri" w:hAnsi="Calibri" w:cs="Calibri"/>
                <w:color w:val="000000"/>
                <w:sz w:val="20"/>
                <w:szCs w:val="20"/>
              </w:rPr>
            </w:pPr>
            <w:r w:rsidRPr="00EA696B">
              <w:rPr>
                <w:rFonts w:ascii="Calibri" w:hAnsi="Calibri" w:cs="Calibri"/>
                <w:color w:val="000000"/>
                <w:sz w:val="20"/>
                <w:szCs w:val="20"/>
              </w:rPr>
              <w:t>54,73%</w:t>
            </w:r>
          </w:p>
        </w:tc>
        <w:tc>
          <w:tcPr>
            <w:tcW w:w="777" w:type="pct"/>
            <w:vAlign w:val="bottom"/>
          </w:tcPr>
          <w:p w:rsidR="009E35BE" w:rsidRPr="00EA696B" w:rsidRDefault="009E35BE" w:rsidP="00832031">
            <w:pPr>
              <w:spacing w:after="0"/>
              <w:jc w:val="right"/>
              <w:rPr>
                <w:rFonts w:ascii="Calibri" w:hAnsi="Calibri" w:cs="Calibri"/>
                <w:color w:val="000000"/>
                <w:sz w:val="20"/>
                <w:szCs w:val="20"/>
              </w:rPr>
            </w:pPr>
            <w:r w:rsidRPr="00EA696B">
              <w:rPr>
                <w:rFonts w:ascii="Calibri" w:hAnsi="Calibri" w:cs="Calibri"/>
                <w:color w:val="000000"/>
                <w:sz w:val="20"/>
                <w:szCs w:val="20"/>
              </w:rPr>
              <w:t>52,00%</w:t>
            </w:r>
          </w:p>
        </w:tc>
        <w:tc>
          <w:tcPr>
            <w:tcW w:w="678" w:type="pct"/>
            <w:vAlign w:val="bottom"/>
          </w:tcPr>
          <w:p w:rsidR="009E35BE" w:rsidRPr="00EA696B" w:rsidRDefault="009E35BE" w:rsidP="00832031">
            <w:pPr>
              <w:spacing w:after="0"/>
              <w:jc w:val="right"/>
              <w:rPr>
                <w:rFonts w:ascii="Calibri" w:hAnsi="Calibri" w:cs="Calibri"/>
                <w:color w:val="000000"/>
                <w:sz w:val="20"/>
                <w:szCs w:val="20"/>
              </w:rPr>
            </w:pPr>
            <w:r w:rsidRPr="00EA696B">
              <w:rPr>
                <w:rFonts w:ascii="Calibri" w:hAnsi="Calibri" w:cs="Calibri"/>
                <w:color w:val="000000"/>
                <w:sz w:val="20"/>
                <w:szCs w:val="20"/>
              </w:rPr>
              <w:t>67,58%</w:t>
            </w:r>
          </w:p>
        </w:tc>
        <w:tc>
          <w:tcPr>
            <w:tcW w:w="794" w:type="pct"/>
            <w:vAlign w:val="bottom"/>
          </w:tcPr>
          <w:p w:rsidR="009E35BE" w:rsidRPr="00EA696B" w:rsidRDefault="009E35BE" w:rsidP="00832031">
            <w:pPr>
              <w:spacing w:after="0"/>
              <w:jc w:val="right"/>
              <w:rPr>
                <w:rFonts w:ascii="Calibri" w:hAnsi="Calibri" w:cs="Calibri"/>
                <w:color w:val="000000"/>
                <w:sz w:val="20"/>
                <w:szCs w:val="20"/>
              </w:rPr>
            </w:pPr>
            <w:r w:rsidRPr="00EA696B">
              <w:rPr>
                <w:rFonts w:ascii="Calibri" w:hAnsi="Calibri" w:cs="Calibri"/>
                <w:color w:val="000000"/>
                <w:sz w:val="20"/>
                <w:szCs w:val="20"/>
              </w:rPr>
              <w:t>61</w:t>
            </w:r>
          </w:p>
        </w:tc>
        <w:tc>
          <w:tcPr>
            <w:tcW w:w="661" w:type="pct"/>
            <w:vAlign w:val="bottom"/>
          </w:tcPr>
          <w:p w:rsidR="009E35BE" w:rsidRPr="00EA696B" w:rsidRDefault="009E35BE" w:rsidP="00832031">
            <w:pPr>
              <w:spacing w:after="0"/>
              <w:jc w:val="right"/>
              <w:rPr>
                <w:rFonts w:ascii="Calibri" w:hAnsi="Calibri" w:cs="Calibri"/>
                <w:color w:val="000000"/>
                <w:sz w:val="20"/>
                <w:szCs w:val="20"/>
              </w:rPr>
            </w:pPr>
            <w:r w:rsidRPr="00EA696B">
              <w:rPr>
                <w:rFonts w:ascii="Calibri" w:hAnsi="Calibri" w:cs="Calibri"/>
                <w:color w:val="000000"/>
                <w:sz w:val="20"/>
                <w:szCs w:val="20"/>
              </w:rPr>
              <w:t>961</w:t>
            </w:r>
          </w:p>
        </w:tc>
      </w:tr>
      <w:tr w:rsidR="009E35BE" w:rsidRPr="00A41549" w:rsidTr="00832031">
        <w:trPr>
          <w:trHeight w:val="300"/>
        </w:trPr>
        <w:tc>
          <w:tcPr>
            <w:tcW w:w="635" w:type="pct"/>
            <w:vAlign w:val="bottom"/>
            <w:hideMark/>
          </w:tcPr>
          <w:p w:rsidR="009E35BE" w:rsidRPr="00A41549" w:rsidRDefault="009E35BE" w:rsidP="00832031">
            <w:pPr>
              <w:spacing w:after="0" w:line="240" w:lineRule="auto"/>
              <w:rPr>
                <w:rFonts w:ascii="Calibri" w:eastAsia="Times New Roman" w:hAnsi="Calibri" w:cs="Calibri"/>
                <w:color w:val="000000"/>
                <w:sz w:val="20"/>
                <w:szCs w:val="20"/>
                <w:lang w:eastAsia="it-IT"/>
              </w:rPr>
            </w:pPr>
            <w:r w:rsidRPr="00A41549">
              <w:rPr>
                <w:rFonts w:ascii="Calibri" w:eastAsia="Times New Roman" w:hAnsi="Calibri" w:cs="Calibri"/>
                <w:color w:val="000000"/>
                <w:sz w:val="20"/>
                <w:szCs w:val="20"/>
                <w:lang w:eastAsia="it-IT"/>
              </w:rPr>
              <w:t>Q. Alta</w:t>
            </w:r>
          </w:p>
        </w:tc>
        <w:tc>
          <w:tcPr>
            <w:tcW w:w="760" w:type="pct"/>
            <w:vAlign w:val="bottom"/>
          </w:tcPr>
          <w:p w:rsidR="009E35BE" w:rsidRPr="00EA696B" w:rsidRDefault="009E35BE" w:rsidP="00832031">
            <w:pPr>
              <w:spacing w:after="0"/>
              <w:jc w:val="right"/>
              <w:rPr>
                <w:rFonts w:ascii="Calibri" w:hAnsi="Calibri" w:cs="Calibri"/>
                <w:color w:val="000000"/>
                <w:sz w:val="20"/>
                <w:szCs w:val="20"/>
              </w:rPr>
            </w:pPr>
            <w:r w:rsidRPr="00EA696B">
              <w:rPr>
                <w:rFonts w:ascii="Calibri" w:hAnsi="Calibri" w:cs="Calibri"/>
                <w:color w:val="000000"/>
                <w:sz w:val="20"/>
                <w:szCs w:val="20"/>
              </w:rPr>
              <w:t>52,94%</w:t>
            </w:r>
          </w:p>
        </w:tc>
        <w:tc>
          <w:tcPr>
            <w:tcW w:w="695" w:type="pct"/>
            <w:vAlign w:val="bottom"/>
          </w:tcPr>
          <w:p w:rsidR="009E35BE" w:rsidRPr="00EA696B" w:rsidRDefault="009E35BE" w:rsidP="00832031">
            <w:pPr>
              <w:spacing w:after="0"/>
              <w:jc w:val="right"/>
              <w:rPr>
                <w:rFonts w:ascii="Calibri" w:hAnsi="Calibri" w:cs="Calibri"/>
                <w:color w:val="000000"/>
                <w:sz w:val="20"/>
                <w:szCs w:val="20"/>
              </w:rPr>
            </w:pPr>
            <w:r w:rsidRPr="00EA696B">
              <w:rPr>
                <w:rFonts w:ascii="Calibri" w:hAnsi="Calibri" w:cs="Calibri"/>
                <w:color w:val="000000"/>
                <w:sz w:val="20"/>
                <w:szCs w:val="20"/>
              </w:rPr>
              <w:t>44,11%</w:t>
            </w:r>
          </w:p>
        </w:tc>
        <w:tc>
          <w:tcPr>
            <w:tcW w:w="777" w:type="pct"/>
            <w:vAlign w:val="bottom"/>
          </w:tcPr>
          <w:p w:rsidR="009E35BE" w:rsidRPr="00EA696B" w:rsidRDefault="009E35BE" w:rsidP="00832031">
            <w:pPr>
              <w:spacing w:after="0"/>
              <w:jc w:val="right"/>
              <w:rPr>
                <w:rFonts w:ascii="Calibri" w:hAnsi="Calibri" w:cs="Calibri"/>
                <w:color w:val="000000"/>
                <w:sz w:val="20"/>
                <w:szCs w:val="20"/>
              </w:rPr>
            </w:pPr>
            <w:r w:rsidRPr="00EA696B">
              <w:rPr>
                <w:rFonts w:ascii="Calibri" w:hAnsi="Calibri" w:cs="Calibri"/>
                <w:color w:val="000000"/>
                <w:sz w:val="20"/>
                <w:szCs w:val="20"/>
              </w:rPr>
              <w:t>48,00%</w:t>
            </w:r>
          </w:p>
        </w:tc>
        <w:tc>
          <w:tcPr>
            <w:tcW w:w="678" w:type="pct"/>
            <w:vAlign w:val="bottom"/>
          </w:tcPr>
          <w:p w:rsidR="009E35BE" w:rsidRPr="00EA696B" w:rsidRDefault="009E35BE" w:rsidP="00832031">
            <w:pPr>
              <w:spacing w:after="0"/>
              <w:jc w:val="right"/>
              <w:rPr>
                <w:rFonts w:ascii="Calibri" w:hAnsi="Calibri" w:cs="Calibri"/>
                <w:color w:val="000000"/>
                <w:sz w:val="20"/>
                <w:szCs w:val="20"/>
              </w:rPr>
            </w:pPr>
            <w:r w:rsidRPr="00EA696B">
              <w:rPr>
                <w:rFonts w:ascii="Calibri" w:hAnsi="Calibri" w:cs="Calibri"/>
                <w:color w:val="000000"/>
                <w:sz w:val="20"/>
                <w:szCs w:val="20"/>
              </w:rPr>
              <w:t>32,08%</w:t>
            </w:r>
          </w:p>
        </w:tc>
        <w:tc>
          <w:tcPr>
            <w:tcW w:w="794" w:type="pct"/>
            <w:vAlign w:val="bottom"/>
          </w:tcPr>
          <w:p w:rsidR="009E35BE" w:rsidRPr="00EA696B" w:rsidRDefault="009E35BE" w:rsidP="00832031">
            <w:pPr>
              <w:spacing w:after="0"/>
              <w:jc w:val="right"/>
              <w:rPr>
                <w:rFonts w:ascii="Calibri" w:hAnsi="Calibri" w:cs="Calibri"/>
                <w:color w:val="000000"/>
                <w:sz w:val="20"/>
                <w:szCs w:val="20"/>
              </w:rPr>
            </w:pPr>
            <w:r w:rsidRPr="00EA696B">
              <w:rPr>
                <w:rFonts w:ascii="Calibri" w:hAnsi="Calibri" w:cs="Calibri"/>
                <w:color w:val="000000"/>
                <w:sz w:val="20"/>
                <w:szCs w:val="20"/>
              </w:rPr>
              <w:t>66</w:t>
            </w:r>
          </w:p>
        </w:tc>
        <w:tc>
          <w:tcPr>
            <w:tcW w:w="661" w:type="pct"/>
            <w:vAlign w:val="bottom"/>
          </w:tcPr>
          <w:p w:rsidR="009E35BE" w:rsidRPr="00EA696B" w:rsidRDefault="009E35BE" w:rsidP="00832031">
            <w:pPr>
              <w:spacing w:after="0"/>
              <w:jc w:val="right"/>
              <w:rPr>
                <w:rFonts w:ascii="Calibri" w:hAnsi="Calibri" w:cs="Calibri"/>
                <w:color w:val="000000"/>
                <w:sz w:val="20"/>
                <w:szCs w:val="20"/>
              </w:rPr>
            </w:pPr>
            <w:r w:rsidRPr="00EA696B">
              <w:rPr>
                <w:rFonts w:ascii="Calibri" w:hAnsi="Calibri" w:cs="Calibri"/>
                <w:color w:val="000000"/>
                <w:sz w:val="20"/>
                <w:szCs w:val="20"/>
              </w:rPr>
              <w:t>644</w:t>
            </w:r>
          </w:p>
        </w:tc>
      </w:tr>
      <w:tr w:rsidR="009E35BE" w:rsidRPr="00A41549" w:rsidTr="00832031">
        <w:trPr>
          <w:trHeight w:val="300"/>
        </w:trPr>
        <w:tc>
          <w:tcPr>
            <w:tcW w:w="635" w:type="pct"/>
            <w:shd w:val="clear" w:color="000000" w:fill="D9E1F2"/>
            <w:vAlign w:val="bottom"/>
            <w:hideMark/>
          </w:tcPr>
          <w:p w:rsidR="009E35BE" w:rsidRPr="00A41549" w:rsidRDefault="009E35BE" w:rsidP="00832031">
            <w:pPr>
              <w:spacing w:after="0" w:line="240" w:lineRule="auto"/>
              <w:rPr>
                <w:rFonts w:ascii="Calibri" w:eastAsia="Times New Roman" w:hAnsi="Calibri" w:cs="Calibri"/>
                <w:b/>
                <w:bCs/>
                <w:color w:val="000000"/>
                <w:sz w:val="20"/>
                <w:szCs w:val="20"/>
                <w:lang w:eastAsia="it-IT"/>
              </w:rPr>
            </w:pPr>
            <w:r w:rsidRPr="00A41549">
              <w:rPr>
                <w:rFonts w:ascii="Calibri" w:eastAsia="Times New Roman" w:hAnsi="Calibri" w:cs="Calibri"/>
                <w:b/>
                <w:bCs/>
                <w:color w:val="000000"/>
                <w:sz w:val="20"/>
                <w:szCs w:val="20"/>
                <w:lang w:eastAsia="it-IT"/>
              </w:rPr>
              <w:t>Totale</w:t>
            </w:r>
          </w:p>
        </w:tc>
        <w:tc>
          <w:tcPr>
            <w:tcW w:w="760" w:type="pct"/>
            <w:shd w:val="clear" w:color="D9E1F2" w:fill="D9E1F2"/>
            <w:vAlign w:val="bottom"/>
          </w:tcPr>
          <w:p w:rsidR="009E35BE" w:rsidRPr="00EA696B" w:rsidRDefault="009E35BE" w:rsidP="00832031">
            <w:pPr>
              <w:spacing w:after="0"/>
              <w:jc w:val="right"/>
              <w:rPr>
                <w:rFonts w:ascii="Calibri" w:hAnsi="Calibri" w:cs="Calibri"/>
                <w:b/>
                <w:bCs/>
                <w:color w:val="000000"/>
                <w:sz w:val="20"/>
                <w:szCs w:val="20"/>
              </w:rPr>
            </w:pPr>
            <w:r w:rsidRPr="00EA696B">
              <w:rPr>
                <w:rFonts w:ascii="Calibri" w:hAnsi="Calibri" w:cs="Calibri"/>
                <w:b/>
                <w:bCs/>
                <w:color w:val="000000"/>
                <w:sz w:val="20"/>
                <w:szCs w:val="20"/>
              </w:rPr>
              <w:t>100%</w:t>
            </w:r>
          </w:p>
        </w:tc>
        <w:tc>
          <w:tcPr>
            <w:tcW w:w="695" w:type="pct"/>
            <w:shd w:val="clear" w:color="000000" w:fill="D9E1F2"/>
            <w:vAlign w:val="bottom"/>
          </w:tcPr>
          <w:p w:rsidR="009E35BE" w:rsidRPr="00EA696B" w:rsidRDefault="009E35BE" w:rsidP="00832031">
            <w:pPr>
              <w:spacing w:after="0"/>
              <w:jc w:val="right"/>
              <w:rPr>
                <w:rFonts w:ascii="Calibri" w:hAnsi="Calibri" w:cs="Calibri"/>
                <w:b/>
                <w:bCs/>
                <w:color w:val="000000"/>
                <w:sz w:val="20"/>
                <w:szCs w:val="20"/>
              </w:rPr>
            </w:pPr>
            <w:r w:rsidRPr="00EA696B">
              <w:rPr>
                <w:rFonts w:ascii="Calibri" w:hAnsi="Calibri" w:cs="Calibri"/>
                <w:b/>
                <w:bCs/>
                <w:color w:val="000000"/>
                <w:sz w:val="20"/>
                <w:szCs w:val="20"/>
              </w:rPr>
              <w:t>100%</w:t>
            </w:r>
          </w:p>
        </w:tc>
        <w:tc>
          <w:tcPr>
            <w:tcW w:w="777" w:type="pct"/>
            <w:shd w:val="clear" w:color="D9E1F2" w:fill="D9E1F2"/>
            <w:vAlign w:val="bottom"/>
          </w:tcPr>
          <w:p w:rsidR="009E35BE" w:rsidRPr="00EA696B" w:rsidRDefault="009E35BE" w:rsidP="00832031">
            <w:pPr>
              <w:spacing w:after="0"/>
              <w:jc w:val="right"/>
              <w:rPr>
                <w:rFonts w:ascii="Calibri" w:hAnsi="Calibri" w:cs="Calibri"/>
                <w:b/>
                <w:bCs/>
                <w:color w:val="000000"/>
                <w:sz w:val="20"/>
                <w:szCs w:val="20"/>
              </w:rPr>
            </w:pPr>
            <w:r w:rsidRPr="00EA696B">
              <w:rPr>
                <w:rFonts w:ascii="Calibri" w:hAnsi="Calibri" w:cs="Calibri"/>
                <w:b/>
                <w:bCs/>
                <w:color w:val="000000"/>
                <w:sz w:val="20"/>
                <w:szCs w:val="20"/>
              </w:rPr>
              <w:t>100%</w:t>
            </w:r>
          </w:p>
        </w:tc>
        <w:tc>
          <w:tcPr>
            <w:tcW w:w="678" w:type="pct"/>
            <w:shd w:val="clear" w:color="D9E1F2" w:fill="D9E1F2"/>
            <w:vAlign w:val="bottom"/>
          </w:tcPr>
          <w:p w:rsidR="009E35BE" w:rsidRPr="00EA696B" w:rsidRDefault="009E35BE" w:rsidP="00832031">
            <w:pPr>
              <w:spacing w:after="0"/>
              <w:jc w:val="right"/>
              <w:rPr>
                <w:rFonts w:ascii="Calibri" w:hAnsi="Calibri" w:cs="Calibri"/>
                <w:b/>
                <w:bCs/>
                <w:color w:val="000000"/>
                <w:sz w:val="20"/>
                <w:szCs w:val="20"/>
              </w:rPr>
            </w:pPr>
            <w:r w:rsidRPr="00EA696B">
              <w:rPr>
                <w:rFonts w:ascii="Calibri" w:hAnsi="Calibri" w:cs="Calibri"/>
                <w:b/>
                <w:bCs/>
                <w:color w:val="000000"/>
                <w:sz w:val="20"/>
                <w:szCs w:val="20"/>
              </w:rPr>
              <w:t>100%</w:t>
            </w:r>
          </w:p>
        </w:tc>
        <w:tc>
          <w:tcPr>
            <w:tcW w:w="794" w:type="pct"/>
            <w:shd w:val="clear" w:color="000000" w:fill="D9E1F2"/>
            <w:vAlign w:val="bottom"/>
          </w:tcPr>
          <w:p w:rsidR="009E35BE" w:rsidRPr="00EA696B" w:rsidRDefault="009E35BE" w:rsidP="00832031">
            <w:pPr>
              <w:spacing w:after="0"/>
              <w:jc w:val="right"/>
              <w:rPr>
                <w:rFonts w:ascii="Calibri" w:hAnsi="Calibri" w:cs="Calibri"/>
                <w:b/>
                <w:bCs/>
                <w:color w:val="000000"/>
                <w:sz w:val="20"/>
                <w:szCs w:val="20"/>
              </w:rPr>
            </w:pPr>
            <w:r w:rsidRPr="00EA696B">
              <w:rPr>
                <w:rFonts w:ascii="Calibri" w:hAnsi="Calibri" w:cs="Calibri"/>
                <w:b/>
                <w:bCs/>
                <w:color w:val="000000"/>
                <w:sz w:val="20"/>
                <w:szCs w:val="20"/>
              </w:rPr>
              <w:t>127</w:t>
            </w:r>
          </w:p>
        </w:tc>
        <w:tc>
          <w:tcPr>
            <w:tcW w:w="661" w:type="pct"/>
            <w:shd w:val="clear" w:color="D9E1F2" w:fill="D9E1F2"/>
            <w:vAlign w:val="bottom"/>
          </w:tcPr>
          <w:p w:rsidR="009E35BE" w:rsidRPr="00EA696B" w:rsidRDefault="009E35BE" w:rsidP="00832031">
            <w:pPr>
              <w:spacing w:after="0"/>
              <w:jc w:val="right"/>
              <w:rPr>
                <w:rFonts w:ascii="Calibri" w:hAnsi="Calibri" w:cs="Calibri"/>
                <w:b/>
                <w:bCs/>
                <w:color w:val="000000"/>
                <w:sz w:val="20"/>
                <w:szCs w:val="20"/>
              </w:rPr>
            </w:pPr>
            <w:r w:rsidRPr="00EA696B">
              <w:rPr>
                <w:rFonts w:ascii="Calibri" w:hAnsi="Calibri" w:cs="Calibri"/>
                <w:b/>
                <w:bCs/>
                <w:color w:val="000000"/>
                <w:sz w:val="20"/>
                <w:szCs w:val="20"/>
              </w:rPr>
              <w:t>1</w:t>
            </w:r>
            <w:r>
              <w:rPr>
                <w:rFonts w:ascii="Calibri" w:hAnsi="Calibri" w:cs="Calibri"/>
                <w:b/>
                <w:bCs/>
                <w:color w:val="000000"/>
                <w:sz w:val="20"/>
                <w:szCs w:val="20"/>
              </w:rPr>
              <w:t>.</w:t>
            </w:r>
            <w:r w:rsidRPr="00EA696B">
              <w:rPr>
                <w:rFonts w:ascii="Calibri" w:hAnsi="Calibri" w:cs="Calibri"/>
                <w:b/>
                <w:bCs/>
                <w:color w:val="000000"/>
                <w:sz w:val="20"/>
                <w:szCs w:val="20"/>
              </w:rPr>
              <w:t>619</w:t>
            </w:r>
          </w:p>
        </w:tc>
      </w:tr>
    </w:tbl>
    <w:p w:rsidR="009E35BE" w:rsidRDefault="009E35BE" w:rsidP="009E35BE">
      <w:pPr>
        <w:jc w:val="both"/>
        <w:rPr>
          <w:b/>
          <w:sz w:val="20"/>
          <w:szCs w:val="20"/>
        </w:rPr>
      </w:pPr>
    </w:p>
    <w:p w:rsidR="009E35BE" w:rsidRDefault="009E35BE" w:rsidP="009E35BE">
      <w:pPr>
        <w:jc w:val="both"/>
      </w:pPr>
      <w:r>
        <w:t xml:space="preserve">Ai fini della localizzazione degli eventi occupazionali può esser opportuno analizzare i dati della tabella seguente che disaggregano gli avviamenti e le cessazioni del campione </w:t>
      </w:r>
      <w:proofErr w:type="spellStart"/>
      <w:r>
        <w:t>Ebret</w:t>
      </w:r>
      <w:proofErr w:type="spellEnd"/>
      <w:r>
        <w:t xml:space="preserve"> per Comune.</w:t>
      </w:r>
    </w:p>
    <w:p w:rsidR="009E35BE" w:rsidRDefault="009E35BE" w:rsidP="009E35BE">
      <w:pPr>
        <w:jc w:val="both"/>
        <w:rPr>
          <w:b/>
          <w:sz w:val="20"/>
          <w:szCs w:val="20"/>
        </w:rPr>
      </w:pPr>
      <w:proofErr w:type="spellStart"/>
      <w:r w:rsidRPr="005A154B">
        <w:rPr>
          <w:b/>
          <w:sz w:val="20"/>
          <w:szCs w:val="20"/>
        </w:rPr>
        <w:t>Tab</w:t>
      </w:r>
      <w:proofErr w:type="spellEnd"/>
      <w:r w:rsidRPr="005A154B">
        <w:rPr>
          <w:b/>
          <w:sz w:val="20"/>
          <w:szCs w:val="20"/>
        </w:rPr>
        <w:t xml:space="preserve">. </w:t>
      </w:r>
      <w:r w:rsidR="0029619D">
        <w:rPr>
          <w:b/>
          <w:sz w:val="20"/>
          <w:szCs w:val="20"/>
        </w:rPr>
        <w:t>3.18</w:t>
      </w:r>
      <w:r w:rsidRPr="005A154B">
        <w:rPr>
          <w:b/>
          <w:sz w:val="20"/>
          <w:szCs w:val="20"/>
        </w:rPr>
        <w:t xml:space="preserve"> – Distribuzione degli avviamenti e delle cessazioni per Comune (2011-2015) </w:t>
      </w:r>
      <w:r w:rsidRPr="00ED714C">
        <w:rPr>
          <w:b/>
          <w:sz w:val="20"/>
          <w:szCs w:val="20"/>
        </w:rPr>
        <w:t xml:space="preserve">– aziende campione </w:t>
      </w:r>
      <w:proofErr w:type="spellStart"/>
      <w:r w:rsidRPr="00ED714C">
        <w:rPr>
          <w:b/>
          <w:sz w:val="20"/>
          <w:szCs w:val="20"/>
        </w:rPr>
        <w:t>Ebret</w:t>
      </w:r>
      <w:proofErr w:type="spellEnd"/>
      <w:r>
        <w:rPr>
          <w:b/>
          <w:sz w:val="20"/>
          <w:szCs w:val="20"/>
        </w:rPr>
        <w:t>.</w:t>
      </w:r>
    </w:p>
    <w:tbl>
      <w:tblPr>
        <w:tblW w:w="5000" w:type="pct"/>
        <w:tblCellMar>
          <w:top w:w="15" w:type="dxa"/>
          <w:left w:w="70" w:type="dxa"/>
          <w:bottom w:w="15" w:type="dxa"/>
          <w:right w:w="70" w:type="dxa"/>
        </w:tblCellMar>
        <w:tblLook w:val="04A0" w:firstRow="1" w:lastRow="0" w:firstColumn="1" w:lastColumn="0" w:noHBand="0" w:noVBand="1"/>
      </w:tblPr>
      <w:tblGrid>
        <w:gridCol w:w="3256"/>
        <w:gridCol w:w="2124"/>
        <w:gridCol w:w="2124"/>
        <w:gridCol w:w="2124"/>
      </w:tblGrid>
      <w:tr w:rsidR="009E35BE" w:rsidRPr="00AE112C" w:rsidTr="00832031">
        <w:tc>
          <w:tcPr>
            <w:tcW w:w="1691" w:type="pct"/>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9E35BE" w:rsidRPr="00AE112C" w:rsidRDefault="009E35BE" w:rsidP="00832031">
            <w:pPr>
              <w:spacing w:after="0" w:line="240" w:lineRule="auto"/>
              <w:jc w:val="center"/>
              <w:rPr>
                <w:rFonts w:ascii="Calibri" w:eastAsia="Times New Roman" w:hAnsi="Calibri" w:cs="Calibri"/>
                <w:b/>
                <w:bCs/>
                <w:color w:val="000000"/>
                <w:sz w:val="20"/>
                <w:szCs w:val="20"/>
                <w:lang w:eastAsia="it-IT"/>
              </w:rPr>
            </w:pPr>
            <w:r w:rsidRPr="00AE112C">
              <w:rPr>
                <w:rFonts w:ascii="Calibri" w:eastAsia="Times New Roman" w:hAnsi="Calibri" w:cs="Calibri"/>
                <w:b/>
                <w:bCs/>
                <w:color w:val="000000"/>
                <w:sz w:val="20"/>
                <w:szCs w:val="20"/>
                <w:lang w:eastAsia="it-IT"/>
              </w:rPr>
              <w:t>Comune Unità Produttive</w:t>
            </w:r>
          </w:p>
        </w:tc>
        <w:tc>
          <w:tcPr>
            <w:tcW w:w="1103" w:type="pct"/>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9E35BE" w:rsidRPr="00AE112C" w:rsidRDefault="009E35BE" w:rsidP="00832031">
            <w:pPr>
              <w:spacing w:after="0" w:line="240" w:lineRule="auto"/>
              <w:jc w:val="center"/>
              <w:rPr>
                <w:rFonts w:ascii="Calibri" w:eastAsia="Times New Roman" w:hAnsi="Calibri" w:cs="Calibri"/>
                <w:b/>
                <w:bCs/>
                <w:color w:val="000000"/>
                <w:sz w:val="20"/>
                <w:szCs w:val="20"/>
                <w:lang w:eastAsia="it-IT"/>
              </w:rPr>
            </w:pPr>
            <w:r w:rsidRPr="00AE112C">
              <w:rPr>
                <w:rFonts w:ascii="Calibri" w:eastAsia="Times New Roman" w:hAnsi="Calibri" w:cs="Calibri"/>
                <w:b/>
                <w:bCs/>
                <w:color w:val="000000"/>
                <w:sz w:val="20"/>
                <w:szCs w:val="20"/>
                <w:lang w:eastAsia="it-IT"/>
              </w:rPr>
              <w:t>Assunzioni</w:t>
            </w:r>
          </w:p>
        </w:tc>
        <w:tc>
          <w:tcPr>
            <w:tcW w:w="1103" w:type="pct"/>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9E35BE" w:rsidRPr="00AE112C" w:rsidRDefault="009E35BE" w:rsidP="00832031">
            <w:pPr>
              <w:spacing w:after="0" w:line="240" w:lineRule="auto"/>
              <w:jc w:val="center"/>
              <w:rPr>
                <w:rFonts w:ascii="Calibri" w:eastAsia="Times New Roman" w:hAnsi="Calibri" w:cs="Calibri"/>
                <w:b/>
                <w:bCs/>
                <w:color w:val="000000"/>
                <w:sz w:val="20"/>
                <w:szCs w:val="20"/>
                <w:lang w:eastAsia="it-IT"/>
              </w:rPr>
            </w:pPr>
            <w:r w:rsidRPr="00AE112C">
              <w:rPr>
                <w:rFonts w:ascii="Calibri" w:eastAsia="Times New Roman" w:hAnsi="Calibri" w:cs="Calibri"/>
                <w:b/>
                <w:bCs/>
                <w:color w:val="000000"/>
                <w:sz w:val="20"/>
                <w:szCs w:val="20"/>
                <w:lang w:eastAsia="it-IT"/>
              </w:rPr>
              <w:t>Cessazioni</w:t>
            </w:r>
          </w:p>
        </w:tc>
        <w:tc>
          <w:tcPr>
            <w:tcW w:w="1103" w:type="pct"/>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9E35BE" w:rsidRPr="00AE112C" w:rsidRDefault="009E35BE" w:rsidP="00832031">
            <w:pPr>
              <w:spacing w:after="0" w:line="240" w:lineRule="auto"/>
              <w:jc w:val="center"/>
              <w:rPr>
                <w:rFonts w:ascii="Calibri" w:eastAsia="Times New Roman" w:hAnsi="Calibri" w:cs="Calibri"/>
                <w:b/>
                <w:bCs/>
                <w:vanish/>
                <w:color w:val="000000"/>
                <w:sz w:val="20"/>
                <w:szCs w:val="20"/>
                <w:lang w:eastAsia="it-IT"/>
              </w:rPr>
            </w:pPr>
            <w:proofErr w:type="gramStart"/>
            <w:r w:rsidRPr="00AE112C">
              <w:rPr>
                <w:rFonts w:ascii="Calibri" w:eastAsia="Times New Roman" w:hAnsi="Calibri" w:cs="Calibri"/>
                <w:b/>
                <w:bCs/>
                <w:color w:val="000000"/>
                <w:sz w:val="20"/>
                <w:szCs w:val="20"/>
                <w:lang w:eastAsia="it-IT"/>
              </w:rPr>
              <w:t>δ</w:t>
            </w:r>
            <w:proofErr w:type="gramEnd"/>
            <w:r w:rsidRPr="00AE112C">
              <w:rPr>
                <w:rFonts w:ascii="Calibri" w:eastAsia="Times New Roman" w:hAnsi="Calibri" w:cs="Calibri"/>
                <w:b/>
                <w:bCs/>
                <w:color w:val="000000"/>
                <w:sz w:val="20"/>
                <w:szCs w:val="20"/>
                <w:lang w:eastAsia="it-IT"/>
              </w:rPr>
              <w:t>*</w:t>
            </w:r>
          </w:p>
        </w:tc>
      </w:tr>
      <w:tr w:rsidR="009E35BE" w:rsidRPr="00AE112C" w:rsidTr="00832031">
        <w:tc>
          <w:tcPr>
            <w:tcW w:w="1691" w:type="pct"/>
            <w:tcBorders>
              <w:top w:val="single" w:sz="4" w:space="0" w:color="auto"/>
              <w:left w:val="single" w:sz="4" w:space="0" w:color="auto"/>
              <w:bottom w:val="single" w:sz="4" w:space="0" w:color="auto"/>
              <w:right w:val="single" w:sz="4" w:space="0" w:color="auto"/>
            </w:tcBorders>
            <w:noWrap/>
            <w:vAlign w:val="bottom"/>
            <w:hideMark/>
          </w:tcPr>
          <w:p w:rsidR="009E35BE" w:rsidRPr="00D378C7" w:rsidRDefault="009E35BE" w:rsidP="00832031">
            <w:pPr>
              <w:spacing w:after="0"/>
              <w:rPr>
                <w:rFonts w:ascii="Calibri" w:hAnsi="Calibri" w:cs="Calibri"/>
                <w:color w:val="000000"/>
                <w:sz w:val="20"/>
                <w:szCs w:val="20"/>
              </w:rPr>
            </w:pPr>
            <w:r w:rsidRPr="00D378C7">
              <w:rPr>
                <w:rFonts w:ascii="Calibri" w:hAnsi="Calibri" w:cs="Calibri"/>
                <w:color w:val="000000"/>
                <w:sz w:val="20"/>
                <w:szCs w:val="20"/>
              </w:rPr>
              <w:t>AREZZO</w:t>
            </w:r>
          </w:p>
        </w:tc>
        <w:tc>
          <w:tcPr>
            <w:tcW w:w="1103" w:type="pct"/>
            <w:tcBorders>
              <w:top w:val="single" w:sz="4" w:space="0" w:color="auto"/>
              <w:left w:val="single" w:sz="4" w:space="0" w:color="auto"/>
              <w:bottom w:val="single" w:sz="4" w:space="0" w:color="auto"/>
              <w:right w:val="single" w:sz="4" w:space="0" w:color="auto"/>
            </w:tcBorders>
            <w:noWrap/>
            <w:vAlign w:val="bottom"/>
            <w:hideMark/>
          </w:tcPr>
          <w:p w:rsidR="009E35BE" w:rsidRPr="00D378C7" w:rsidRDefault="009E35BE" w:rsidP="00832031">
            <w:pPr>
              <w:spacing w:after="0"/>
              <w:jc w:val="right"/>
              <w:rPr>
                <w:rFonts w:ascii="Calibri" w:hAnsi="Calibri" w:cs="Calibri"/>
                <w:color w:val="000000"/>
                <w:sz w:val="20"/>
                <w:szCs w:val="20"/>
              </w:rPr>
            </w:pPr>
            <w:r w:rsidRPr="00D378C7">
              <w:rPr>
                <w:rFonts w:ascii="Calibri" w:hAnsi="Calibri" w:cs="Calibri"/>
                <w:color w:val="000000"/>
                <w:sz w:val="20"/>
                <w:szCs w:val="20"/>
              </w:rPr>
              <w:t>368</w:t>
            </w:r>
          </w:p>
        </w:tc>
        <w:tc>
          <w:tcPr>
            <w:tcW w:w="1103" w:type="pct"/>
            <w:tcBorders>
              <w:top w:val="single" w:sz="4" w:space="0" w:color="auto"/>
              <w:left w:val="single" w:sz="4" w:space="0" w:color="auto"/>
              <w:bottom w:val="single" w:sz="4" w:space="0" w:color="auto"/>
              <w:right w:val="single" w:sz="4" w:space="0" w:color="auto"/>
            </w:tcBorders>
            <w:noWrap/>
            <w:vAlign w:val="bottom"/>
            <w:hideMark/>
          </w:tcPr>
          <w:p w:rsidR="009E35BE" w:rsidRPr="00D378C7" w:rsidRDefault="009E35BE" w:rsidP="00832031">
            <w:pPr>
              <w:spacing w:after="0"/>
              <w:jc w:val="right"/>
              <w:rPr>
                <w:rFonts w:ascii="Calibri" w:hAnsi="Calibri" w:cs="Calibri"/>
                <w:color w:val="000000"/>
                <w:sz w:val="20"/>
                <w:szCs w:val="20"/>
              </w:rPr>
            </w:pPr>
            <w:r w:rsidRPr="00D378C7">
              <w:rPr>
                <w:rFonts w:ascii="Calibri" w:hAnsi="Calibri" w:cs="Calibri"/>
                <w:color w:val="000000"/>
                <w:sz w:val="20"/>
                <w:szCs w:val="20"/>
              </w:rPr>
              <w:t>273</w:t>
            </w:r>
          </w:p>
        </w:tc>
        <w:tc>
          <w:tcPr>
            <w:tcW w:w="1103" w:type="pct"/>
            <w:tcBorders>
              <w:top w:val="single" w:sz="4" w:space="0" w:color="auto"/>
              <w:left w:val="single" w:sz="4" w:space="0" w:color="auto"/>
              <w:bottom w:val="single" w:sz="4" w:space="0" w:color="auto"/>
              <w:right w:val="single" w:sz="4" w:space="0" w:color="auto"/>
            </w:tcBorders>
            <w:noWrap/>
            <w:vAlign w:val="bottom"/>
            <w:hideMark/>
          </w:tcPr>
          <w:p w:rsidR="009E35BE" w:rsidRPr="00D378C7" w:rsidRDefault="009E35BE" w:rsidP="00832031">
            <w:pPr>
              <w:spacing w:after="0"/>
              <w:jc w:val="right"/>
              <w:rPr>
                <w:rFonts w:ascii="Calibri" w:hAnsi="Calibri" w:cs="Calibri"/>
                <w:color w:val="000000"/>
                <w:sz w:val="20"/>
                <w:szCs w:val="20"/>
              </w:rPr>
            </w:pPr>
            <w:r w:rsidRPr="00D378C7">
              <w:rPr>
                <w:rFonts w:ascii="Calibri" w:hAnsi="Calibri" w:cs="Calibri"/>
                <w:color w:val="000000"/>
                <w:sz w:val="20"/>
                <w:szCs w:val="20"/>
              </w:rPr>
              <w:t>15%</w:t>
            </w:r>
          </w:p>
        </w:tc>
      </w:tr>
      <w:tr w:rsidR="009E35BE" w:rsidRPr="00AE112C" w:rsidTr="00832031">
        <w:tc>
          <w:tcPr>
            <w:tcW w:w="1691" w:type="pct"/>
            <w:tcBorders>
              <w:top w:val="single" w:sz="4" w:space="0" w:color="auto"/>
              <w:left w:val="single" w:sz="4" w:space="0" w:color="auto"/>
              <w:bottom w:val="single" w:sz="4" w:space="0" w:color="auto"/>
              <w:right w:val="single" w:sz="4" w:space="0" w:color="auto"/>
            </w:tcBorders>
            <w:noWrap/>
            <w:vAlign w:val="bottom"/>
            <w:hideMark/>
          </w:tcPr>
          <w:p w:rsidR="009E35BE" w:rsidRPr="00D378C7" w:rsidRDefault="009E35BE" w:rsidP="00832031">
            <w:pPr>
              <w:spacing w:after="0"/>
              <w:rPr>
                <w:rFonts w:ascii="Calibri" w:hAnsi="Calibri" w:cs="Calibri"/>
                <w:color w:val="000000"/>
                <w:sz w:val="20"/>
                <w:szCs w:val="20"/>
              </w:rPr>
            </w:pPr>
            <w:r w:rsidRPr="00D378C7">
              <w:rPr>
                <w:rFonts w:ascii="Calibri" w:hAnsi="Calibri" w:cs="Calibri"/>
                <w:color w:val="000000"/>
                <w:sz w:val="20"/>
                <w:szCs w:val="20"/>
              </w:rPr>
              <w:t>MONTE SAN SAVINO</w:t>
            </w:r>
          </w:p>
        </w:tc>
        <w:tc>
          <w:tcPr>
            <w:tcW w:w="1103" w:type="pct"/>
            <w:tcBorders>
              <w:top w:val="single" w:sz="4" w:space="0" w:color="auto"/>
              <w:left w:val="single" w:sz="4" w:space="0" w:color="auto"/>
              <w:bottom w:val="single" w:sz="4" w:space="0" w:color="auto"/>
              <w:right w:val="single" w:sz="4" w:space="0" w:color="auto"/>
            </w:tcBorders>
            <w:noWrap/>
            <w:vAlign w:val="bottom"/>
            <w:hideMark/>
          </w:tcPr>
          <w:p w:rsidR="009E35BE" w:rsidRPr="00D378C7" w:rsidRDefault="009E35BE" w:rsidP="00832031">
            <w:pPr>
              <w:spacing w:after="0"/>
              <w:jc w:val="right"/>
              <w:rPr>
                <w:rFonts w:ascii="Calibri" w:hAnsi="Calibri" w:cs="Calibri"/>
                <w:color w:val="000000"/>
                <w:sz w:val="20"/>
                <w:szCs w:val="20"/>
              </w:rPr>
            </w:pPr>
            <w:r w:rsidRPr="00D378C7">
              <w:rPr>
                <w:rFonts w:ascii="Calibri" w:hAnsi="Calibri" w:cs="Calibri"/>
                <w:color w:val="000000"/>
                <w:sz w:val="20"/>
                <w:szCs w:val="20"/>
              </w:rPr>
              <w:t>38</w:t>
            </w:r>
          </w:p>
        </w:tc>
        <w:tc>
          <w:tcPr>
            <w:tcW w:w="1103" w:type="pct"/>
            <w:tcBorders>
              <w:top w:val="single" w:sz="4" w:space="0" w:color="auto"/>
              <w:left w:val="single" w:sz="4" w:space="0" w:color="auto"/>
              <w:bottom w:val="single" w:sz="4" w:space="0" w:color="auto"/>
              <w:right w:val="single" w:sz="4" w:space="0" w:color="auto"/>
            </w:tcBorders>
            <w:noWrap/>
            <w:vAlign w:val="bottom"/>
            <w:hideMark/>
          </w:tcPr>
          <w:p w:rsidR="009E35BE" w:rsidRPr="00D378C7" w:rsidRDefault="009E35BE" w:rsidP="00832031">
            <w:pPr>
              <w:spacing w:after="0"/>
              <w:jc w:val="right"/>
              <w:rPr>
                <w:rFonts w:ascii="Calibri" w:hAnsi="Calibri" w:cs="Calibri"/>
                <w:color w:val="000000"/>
                <w:sz w:val="20"/>
                <w:szCs w:val="20"/>
              </w:rPr>
            </w:pPr>
            <w:r w:rsidRPr="00D378C7">
              <w:rPr>
                <w:rFonts w:ascii="Calibri" w:hAnsi="Calibri" w:cs="Calibri"/>
                <w:color w:val="000000"/>
                <w:sz w:val="20"/>
                <w:szCs w:val="20"/>
              </w:rPr>
              <w:t>21</w:t>
            </w:r>
          </w:p>
        </w:tc>
        <w:tc>
          <w:tcPr>
            <w:tcW w:w="1103" w:type="pct"/>
            <w:tcBorders>
              <w:top w:val="single" w:sz="4" w:space="0" w:color="auto"/>
              <w:left w:val="single" w:sz="4" w:space="0" w:color="auto"/>
              <w:bottom w:val="single" w:sz="4" w:space="0" w:color="auto"/>
              <w:right w:val="single" w:sz="4" w:space="0" w:color="auto"/>
            </w:tcBorders>
            <w:noWrap/>
            <w:vAlign w:val="bottom"/>
            <w:hideMark/>
          </w:tcPr>
          <w:p w:rsidR="009E35BE" w:rsidRPr="00D378C7" w:rsidRDefault="009E35BE" w:rsidP="00832031">
            <w:pPr>
              <w:spacing w:after="0"/>
              <w:jc w:val="right"/>
              <w:rPr>
                <w:rFonts w:ascii="Calibri" w:hAnsi="Calibri" w:cs="Calibri"/>
                <w:color w:val="000000"/>
                <w:sz w:val="20"/>
                <w:szCs w:val="20"/>
              </w:rPr>
            </w:pPr>
            <w:r w:rsidRPr="00D378C7">
              <w:rPr>
                <w:rFonts w:ascii="Calibri" w:hAnsi="Calibri" w:cs="Calibri"/>
                <w:color w:val="000000"/>
                <w:sz w:val="20"/>
                <w:szCs w:val="20"/>
              </w:rPr>
              <w:t>29%</w:t>
            </w:r>
          </w:p>
        </w:tc>
      </w:tr>
      <w:tr w:rsidR="009E35BE" w:rsidRPr="00AE112C" w:rsidTr="00832031">
        <w:tc>
          <w:tcPr>
            <w:tcW w:w="1691" w:type="pct"/>
            <w:tcBorders>
              <w:top w:val="single" w:sz="4" w:space="0" w:color="auto"/>
              <w:left w:val="single" w:sz="4" w:space="0" w:color="auto"/>
              <w:bottom w:val="single" w:sz="4" w:space="0" w:color="auto"/>
              <w:right w:val="single" w:sz="4" w:space="0" w:color="auto"/>
            </w:tcBorders>
            <w:noWrap/>
            <w:vAlign w:val="bottom"/>
            <w:hideMark/>
          </w:tcPr>
          <w:p w:rsidR="009E35BE" w:rsidRPr="00D378C7" w:rsidRDefault="009E35BE" w:rsidP="00832031">
            <w:pPr>
              <w:spacing w:after="0"/>
              <w:rPr>
                <w:rFonts w:ascii="Calibri" w:hAnsi="Calibri" w:cs="Calibri"/>
                <w:color w:val="000000"/>
                <w:sz w:val="20"/>
                <w:szCs w:val="20"/>
              </w:rPr>
            </w:pPr>
            <w:r w:rsidRPr="00D378C7">
              <w:rPr>
                <w:rFonts w:ascii="Calibri" w:hAnsi="Calibri" w:cs="Calibri"/>
                <w:color w:val="000000"/>
                <w:sz w:val="20"/>
                <w:szCs w:val="20"/>
              </w:rPr>
              <w:t>TERRANUOVA BRACCIOLINI</w:t>
            </w:r>
          </w:p>
        </w:tc>
        <w:tc>
          <w:tcPr>
            <w:tcW w:w="1103" w:type="pct"/>
            <w:tcBorders>
              <w:top w:val="single" w:sz="4" w:space="0" w:color="auto"/>
              <w:left w:val="single" w:sz="4" w:space="0" w:color="auto"/>
              <w:bottom w:val="single" w:sz="4" w:space="0" w:color="auto"/>
              <w:right w:val="single" w:sz="4" w:space="0" w:color="auto"/>
            </w:tcBorders>
            <w:noWrap/>
            <w:vAlign w:val="bottom"/>
            <w:hideMark/>
          </w:tcPr>
          <w:p w:rsidR="009E35BE" w:rsidRPr="00D378C7" w:rsidRDefault="009E35BE" w:rsidP="00832031">
            <w:pPr>
              <w:spacing w:after="0"/>
              <w:jc w:val="right"/>
              <w:rPr>
                <w:rFonts w:ascii="Calibri" w:hAnsi="Calibri" w:cs="Calibri"/>
                <w:color w:val="000000"/>
                <w:sz w:val="20"/>
                <w:szCs w:val="20"/>
              </w:rPr>
            </w:pPr>
            <w:r w:rsidRPr="00D378C7">
              <w:rPr>
                <w:rFonts w:ascii="Calibri" w:hAnsi="Calibri" w:cs="Calibri"/>
                <w:color w:val="000000"/>
                <w:sz w:val="20"/>
                <w:szCs w:val="20"/>
              </w:rPr>
              <w:t>28</w:t>
            </w:r>
          </w:p>
        </w:tc>
        <w:tc>
          <w:tcPr>
            <w:tcW w:w="1103" w:type="pct"/>
            <w:tcBorders>
              <w:top w:val="single" w:sz="4" w:space="0" w:color="auto"/>
              <w:left w:val="single" w:sz="4" w:space="0" w:color="auto"/>
              <w:bottom w:val="single" w:sz="4" w:space="0" w:color="auto"/>
              <w:right w:val="single" w:sz="4" w:space="0" w:color="auto"/>
            </w:tcBorders>
            <w:noWrap/>
            <w:vAlign w:val="bottom"/>
            <w:hideMark/>
          </w:tcPr>
          <w:p w:rsidR="009E35BE" w:rsidRPr="00D378C7" w:rsidRDefault="009E35BE" w:rsidP="00832031">
            <w:pPr>
              <w:spacing w:after="0"/>
              <w:jc w:val="right"/>
              <w:rPr>
                <w:rFonts w:ascii="Calibri" w:hAnsi="Calibri" w:cs="Calibri"/>
                <w:color w:val="000000"/>
                <w:sz w:val="20"/>
                <w:szCs w:val="20"/>
              </w:rPr>
            </w:pPr>
            <w:r w:rsidRPr="00D378C7">
              <w:rPr>
                <w:rFonts w:ascii="Calibri" w:hAnsi="Calibri" w:cs="Calibri"/>
                <w:color w:val="000000"/>
                <w:sz w:val="20"/>
                <w:szCs w:val="20"/>
              </w:rPr>
              <w:t>24</w:t>
            </w:r>
          </w:p>
        </w:tc>
        <w:tc>
          <w:tcPr>
            <w:tcW w:w="1103" w:type="pct"/>
            <w:tcBorders>
              <w:top w:val="single" w:sz="4" w:space="0" w:color="auto"/>
              <w:left w:val="single" w:sz="4" w:space="0" w:color="auto"/>
              <w:bottom w:val="single" w:sz="4" w:space="0" w:color="auto"/>
              <w:right w:val="single" w:sz="4" w:space="0" w:color="auto"/>
            </w:tcBorders>
            <w:noWrap/>
            <w:vAlign w:val="bottom"/>
            <w:hideMark/>
          </w:tcPr>
          <w:p w:rsidR="009E35BE" w:rsidRPr="00D378C7" w:rsidRDefault="009E35BE" w:rsidP="00832031">
            <w:pPr>
              <w:spacing w:after="0"/>
              <w:jc w:val="right"/>
              <w:rPr>
                <w:rFonts w:ascii="Calibri" w:hAnsi="Calibri" w:cs="Calibri"/>
                <w:color w:val="000000"/>
                <w:sz w:val="20"/>
                <w:szCs w:val="20"/>
              </w:rPr>
            </w:pPr>
            <w:r w:rsidRPr="00D378C7">
              <w:rPr>
                <w:rFonts w:ascii="Calibri" w:hAnsi="Calibri" w:cs="Calibri"/>
                <w:color w:val="000000"/>
                <w:sz w:val="20"/>
                <w:szCs w:val="20"/>
              </w:rPr>
              <w:t>8%</w:t>
            </w:r>
          </w:p>
        </w:tc>
      </w:tr>
      <w:tr w:rsidR="009E35BE" w:rsidRPr="00AE112C" w:rsidTr="00832031">
        <w:tc>
          <w:tcPr>
            <w:tcW w:w="1691" w:type="pct"/>
            <w:tcBorders>
              <w:top w:val="single" w:sz="4" w:space="0" w:color="auto"/>
              <w:left w:val="single" w:sz="4" w:space="0" w:color="auto"/>
              <w:bottom w:val="single" w:sz="4" w:space="0" w:color="auto"/>
              <w:right w:val="single" w:sz="4" w:space="0" w:color="auto"/>
            </w:tcBorders>
            <w:noWrap/>
            <w:vAlign w:val="bottom"/>
            <w:hideMark/>
          </w:tcPr>
          <w:p w:rsidR="009E35BE" w:rsidRPr="00D378C7" w:rsidRDefault="009E35BE" w:rsidP="00832031">
            <w:pPr>
              <w:spacing w:after="0"/>
              <w:rPr>
                <w:rFonts w:ascii="Calibri" w:hAnsi="Calibri" w:cs="Calibri"/>
                <w:color w:val="000000"/>
                <w:sz w:val="20"/>
                <w:szCs w:val="20"/>
              </w:rPr>
            </w:pPr>
            <w:r w:rsidRPr="00D378C7">
              <w:rPr>
                <w:rFonts w:ascii="Calibri" w:hAnsi="Calibri" w:cs="Calibri"/>
                <w:color w:val="000000"/>
                <w:sz w:val="20"/>
                <w:szCs w:val="20"/>
              </w:rPr>
              <w:t>MONTEVARCHI</w:t>
            </w:r>
          </w:p>
        </w:tc>
        <w:tc>
          <w:tcPr>
            <w:tcW w:w="1103" w:type="pct"/>
            <w:tcBorders>
              <w:top w:val="single" w:sz="4" w:space="0" w:color="auto"/>
              <w:left w:val="single" w:sz="4" w:space="0" w:color="auto"/>
              <w:bottom w:val="single" w:sz="4" w:space="0" w:color="auto"/>
              <w:right w:val="single" w:sz="4" w:space="0" w:color="auto"/>
            </w:tcBorders>
            <w:noWrap/>
            <w:vAlign w:val="bottom"/>
            <w:hideMark/>
          </w:tcPr>
          <w:p w:rsidR="009E35BE" w:rsidRPr="00D378C7" w:rsidRDefault="009E35BE" w:rsidP="00832031">
            <w:pPr>
              <w:spacing w:after="0"/>
              <w:jc w:val="right"/>
              <w:rPr>
                <w:rFonts w:ascii="Calibri" w:hAnsi="Calibri" w:cs="Calibri"/>
                <w:color w:val="000000"/>
                <w:sz w:val="20"/>
                <w:szCs w:val="20"/>
              </w:rPr>
            </w:pPr>
            <w:r w:rsidRPr="00D378C7">
              <w:rPr>
                <w:rFonts w:ascii="Calibri" w:hAnsi="Calibri" w:cs="Calibri"/>
                <w:color w:val="000000"/>
                <w:sz w:val="20"/>
                <w:szCs w:val="20"/>
              </w:rPr>
              <w:t>27</w:t>
            </w:r>
          </w:p>
        </w:tc>
        <w:tc>
          <w:tcPr>
            <w:tcW w:w="1103" w:type="pct"/>
            <w:tcBorders>
              <w:top w:val="single" w:sz="4" w:space="0" w:color="auto"/>
              <w:left w:val="single" w:sz="4" w:space="0" w:color="auto"/>
              <w:bottom w:val="single" w:sz="4" w:space="0" w:color="auto"/>
              <w:right w:val="single" w:sz="4" w:space="0" w:color="auto"/>
            </w:tcBorders>
            <w:noWrap/>
            <w:vAlign w:val="bottom"/>
            <w:hideMark/>
          </w:tcPr>
          <w:p w:rsidR="009E35BE" w:rsidRPr="00D378C7" w:rsidRDefault="009E35BE" w:rsidP="00832031">
            <w:pPr>
              <w:spacing w:after="0"/>
              <w:jc w:val="right"/>
              <w:rPr>
                <w:rFonts w:ascii="Calibri" w:hAnsi="Calibri" w:cs="Calibri"/>
                <w:color w:val="000000"/>
                <w:sz w:val="20"/>
                <w:szCs w:val="20"/>
              </w:rPr>
            </w:pPr>
            <w:r w:rsidRPr="00D378C7">
              <w:rPr>
                <w:rFonts w:ascii="Calibri" w:hAnsi="Calibri" w:cs="Calibri"/>
                <w:color w:val="000000"/>
                <w:sz w:val="20"/>
                <w:szCs w:val="20"/>
              </w:rPr>
              <w:t>25</w:t>
            </w:r>
          </w:p>
        </w:tc>
        <w:tc>
          <w:tcPr>
            <w:tcW w:w="1103" w:type="pct"/>
            <w:tcBorders>
              <w:top w:val="single" w:sz="4" w:space="0" w:color="auto"/>
              <w:left w:val="single" w:sz="4" w:space="0" w:color="auto"/>
              <w:bottom w:val="single" w:sz="4" w:space="0" w:color="auto"/>
              <w:right w:val="single" w:sz="4" w:space="0" w:color="auto"/>
            </w:tcBorders>
            <w:noWrap/>
            <w:vAlign w:val="bottom"/>
            <w:hideMark/>
          </w:tcPr>
          <w:p w:rsidR="009E35BE" w:rsidRPr="00D378C7" w:rsidRDefault="009E35BE" w:rsidP="00832031">
            <w:pPr>
              <w:spacing w:after="0"/>
              <w:jc w:val="right"/>
              <w:rPr>
                <w:rFonts w:ascii="Calibri" w:hAnsi="Calibri" w:cs="Calibri"/>
                <w:color w:val="000000"/>
                <w:sz w:val="20"/>
                <w:szCs w:val="20"/>
              </w:rPr>
            </w:pPr>
            <w:r w:rsidRPr="00D378C7">
              <w:rPr>
                <w:rFonts w:ascii="Calibri" w:hAnsi="Calibri" w:cs="Calibri"/>
                <w:color w:val="000000"/>
                <w:sz w:val="20"/>
                <w:szCs w:val="20"/>
              </w:rPr>
              <w:t>4%</w:t>
            </w:r>
          </w:p>
        </w:tc>
      </w:tr>
      <w:tr w:rsidR="009E35BE" w:rsidRPr="00AE112C" w:rsidTr="00832031">
        <w:tc>
          <w:tcPr>
            <w:tcW w:w="1691" w:type="pct"/>
            <w:tcBorders>
              <w:top w:val="single" w:sz="4" w:space="0" w:color="auto"/>
              <w:left w:val="single" w:sz="4" w:space="0" w:color="auto"/>
              <w:bottom w:val="single" w:sz="4" w:space="0" w:color="auto"/>
              <w:right w:val="single" w:sz="4" w:space="0" w:color="auto"/>
            </w:tcBorders>
            <w:noWrap/>
            <w:vAlign w:val="bottom"/>
            <w:hideMark/>
          </w:tcPr>
          <w:p w:rsidR="009E35BE" w:rsidRPr="00D378C7" w:rsidRDefault="009E35BE" w:rsidP="00832031">
            <w:pPr>
              <w:spacing w:after="0"/>
              <w:rPr>
                <w:rFonts w:ascii="Calibri" w:hAnsi="Calibri" w:cs="Calibri"/>
                <w:color w:val="000000"/>
                <w:sz w:val="20"/>
                <w:szCs w:val="20"/>
              </w:rPr>
            </w:pPr>
            <w:r w:rsidRPr="00D378C7">
              <w:rPr>
                <w:rFonts w:ascii="Calibri" w:hAnsi="Calibri" w:cs="Calibri"/>
                <w:color w:val="000000"/>
                <w:sz w:val="20"/>
                <w:szCs w:val="20"/>
              </w:rPr>
              <w:t>PERGINE VALDARNO</w:t>
            </w:r>
          </w:p>
        </w:tc>
        <w:tc>
          <w:tcPr>
            <w:tcW w:w="1103" w:type="pct"/>
            <w:tcBorders>
              <w:top w:val="single" w:sz="4" w:space="0" w:color="auto"/>
              <w:left w:val="single" w:sz="4" w:space="0" w:color="auto"/>
              <w:bottom w:val="single" w:sz="4" w:space="0" w:color="auto"/>
              <w:right w:val="single" w:sz="4" w:space="0" w:color="auto"/>
            </w:tcBorders>
            <w:noWrap/>
            <w:vAlign w:val="bottom"/>
            <w:hideMark/>
          </w:tcPr>
          <w:p w:rsidR="009E35BE" w:rsidRPr="00D378C7" w:rsidRDefault="009E35BE" w:rsidP="00832031">
            <w:pPr>
              <w:spacing w:after="0"/>
              <w:jc w:val="right"/>
              <w:rPr>
                <w:rFonts w:ascii="Calibri" w:hAnsi="Calibri" w:cs="Calibri"/>
                <w:color w:val="000000"/>
                <w:sz w:val="20"/>
                <w:szCs w:val="20"/>
              </w:rPr>
            </w:pPr>
            <w:r w:rsidRPr="00D378C7">
              <w:rPr>
                <w:rFonts w:ascii="Calibri" w:hAnsi="Calibri" w:cs="Calibri"/>
                <w:color w:val="000000"/>
                <w:sz w:val="20"/>
                <w:szCs w:val="20"/>
              </w:rPr>
              <w:t>15</w:t>
            </w:r>
          </w:p>
        </w:tc>
        <w:tc>
          <w:tcPr>
            <w:tcW w:w="1103" w:type="pct"/>
            <w:tcBorders>
              <w:top w:val="single" w:sz="4" w:space="0" w:color="auto"/>
              <w:left w:val="single" w:sz="4" w:space="0" w:color="auto"/>
              <w:bottom w:val="single" w:sz="4" w:space="0" w:color="auto"/>
              <w:right w:val="single" w:sz="4" w:space="0" w:color="auto"/>
            </w:tcBorders>
            <w:noWrap/>
            <w:vAlign w:val="bottom"/>
            <w:hideMark/>
          </w:tcPr>
          <w:p w:rsidR="009E35BE" w:rsidRPr="00D378C7" w:rsidRDefault="009E35BE" w:rsidP="00832031">
            <w:pPr>
              <w:spacing w:after="0"/>
              <w:jc w:val="right"/>
              <w:rPr>
                <w:rFonts w:ascii="Calibri" w:hAnsi="Calibri" w:cs="Calibri"/>
                <w:color w:val="000000"/>
                <w:sz w:val="20"/>
                <w:szCs w:val="20"/>
              </w:rPr>
            </w:pPr>
            <w:r w:rsidRPr="00D378C7">
              <w:rPr>
                <w:rFonts w:ascii="Calibri" w:hAnsi="Calibri" w:cs="Calibri"/>
                <w:color w:val="000000"/>
                <w:sz w:val="20"/>
                <w:szCs w:val="20"/>
              </w:rPr>
              <w:t>9</w:t>
            </w:r>
          </w:p>
        </w:tc>
        <w:tc>
          <w:tcPr>
            <w:tcW w:w="1103" w:type="pct"/>
            <w:tcBorders>
              <w:top w:val="single" w:sz="4" w:space="0" w:color="auto"/>
              <w:left w:val="single" w:sz="4" w:space="0" w:color="auto"/>
              <w:bottom w:val="single" w:sz="4" w:space="0" w:color="auto"/>
              <w:right w:val="single" w:sz="4" w:space="0" w:color="auto"/>
            </w:tcBorders>
            <w:noWrap/>
            <w:vAlign w:val="bottom"/>
            <w:hideMark/>
          </w:tcPr>
          <w:p w:rsidR="009E35BE" w:rsidRPr="00D378C7" w:rsidRDefault="009E35BE" w:rsidP="00832031">
            <w:pPr>
              <w:spacing w:after="0"/>
              <w:jc w:val="right"/>
              <w:rPr>
                <w:rFonts w:ascii="Calibri" w:hAnsi="Calibri" w:cs="Calibri"/>
                <w:color w:val="000000"/>
                <w:sz w:val="20"/>
                <w:szCs w:val="20"/>
              </w:rPr>
            </w:pPr>
            <w:r w:rsidRPr="00D378C7">
              <w:rPr>
                <w:rFonts w:ascii="Calibri" w:hAnsi="Calibri" w:cs="Calibri"/>
                <w:color w:val="000000"/>
                <w:sz w:val="20"/>
                <w:szCs w:val="20"/>
              </w:rPr>
              <w:t>25%</w:t>
            </w:r>
          </w:p>
        </w:tc>
      </w:tr>
      <w:tr w:rsidR="009E35BE" w:rsidRPr="00AE112C" w:rsidTr="00832031">
        <w:tc>
          <w:tcPr>
            <w:tcW w:w="1691" w:type="pct"/>
            <w:tcBorders>
              <w:top w:val="single" w:sz="4" w:space="0" w:color="auto"/>
              <w:left w:val="single" w:sz="4" w:space="0" w:color="auto"/>
              <w:bottom w:val="single" w:sz="4" w:space="0" w:color="auto"/>
              <w:right w:val="single" w:sz="4" w:space="0" w:color="auto"/>
            </w:tcBorders>
            <w:noWrap/>
            <w:vAlign w:val="bottom"/>
            <w:hideMark/>
          </w:tcPr>
          <w:p w:rsidR="009E35BE" w:rsidRPr="00D378C7" w:rsidRDefault="009E35BE" w:rsidP="00832031">
            <w:pPr>
              <w:spacing w:after="0"/>
              <w:rPr>
                <w:rFonts w:ascii="Calibri" w:hAnsi="Calibri" w:cs="Calibri"/>
                <w:color w:val="000000"/>
                <w:sz w:val="20"/>
                <w:szCs w:val="20"/>
              </w:rPr>
            </w:pPr>
            <w:r w:rsidRPr="00D378C7">
              <w:rPr>
                <w:rFonts w:ascii="Calibri" w:hAnsi="Calibri" w:cs="Calibri"/>
                <w:color w:val="000000"/>
                <w:sz w:val="20"/>
                <w:szCs w:val="20"/>
              </w:rPr>
              <w:t>LORO CIUFFENNA</w:t>
            </w:r>
          </w:p>
        </w:tc>
        <w:tc>
          <w:tcPr>
            <w:tcW w:w="1103" w:type="pct"/>
            <w:tcBorders>
              <w:top w:val="single" w:sz="4" w:space="0" w:color="auto"/>
              <w:left w:val="single" w:sz="4" w:space="0" w:color="auto"/>
              <w:bottom w:val="single" w:sz="4" w:space="0" w:color="auto"/>
              <w:right w:val="single" w:sz="4" w:space="0" w:color="auto"/>
            </w:tcBorders>
            <w:noWrap/>
            <w:vAlign w:val="bottom"/>
            <w:hideMark/>
          </w:tcPr>
          <w:p w:rsidR="009E35BE" w:rsidRPr="00D378C7" w:rsidRDefault="009E35BE" w:rsidP="00832031">
            <w:pPr>
              <w:spacing w:after="0"/>
              <w:jc w:val="right"/>
              <w:rPr>
                <w:rFonts w:ascii="Calibri" w:hAnsi="Calibri" w:cs="Calibri"/>
                <w:color w:val="000000"/>
                <w:sz w:val="20"/>
                <w:szCs w:val="20"/>
              </w:rPr>
            </w:pPr>
            <w:r w:rsidRPr="00D378C7">
              <w:rPr>
                <w:rFonts w:ascii="Calibri" w:hAnsi="Calibri" w:cs="Calibri"/>
                <w:color w:val="000000"/>
                <w:sz w:val="20"/>
                <w:szCs w:val="20"/>
              </w:rPr>
              <w:t>11</w:t>
            </w:r>
          </w:p>
        </w:tc>
        <w:tc>
          <w:tcPr>
            <w:tcW w:w="1103" w:type="pct"/>
            <w:tcBorders>
              <w:top w:val="single" w:sz="4" w:space="0" w:color="auto"/>
              <w:left w:val="single" w:sz="4" w:space="0" w:color="auto"/>
              <w:bottom w:val="single" w:sz="4" w:space="0" w:color="auto"/>
              <w:right w:val="single" w:sz="4" w:space="0" w:color="auto"/>
            </w:tcBorders>
            <w:noWrap/>
            <w:vAlign w:val="bottom"/>
            <w:hideMark/>
          </w:tcPr>
          <w:p w:rsidR="009E35BE" w:rsidRPr="00D378C7" w:rsidRDefault="009E35BE" w:rsidP="00832031">
            <w:pPr>
              <w:spacing w:after="0"/>
              <w:jc w:val="right"/>
              <w:rPr>
                <w:rFonts w:ascii="Calibri" w:hAnsi="Calibri" w:cs="Calibri"/>
                <w:color w:val="000000"/>
                <w:sz w:val="20"/>
                <w:szCs w:val="20"/>
              </w:rPr>
            </w:pPr>
            <w:r w:rsidRPr="00D378C7">
              <w:rPr>
                <w:rFonts w:ascii="Calibri" w:hAnsi="Calibri" w:cs="Calibri"/>
                <w:color w:val="000000"/>
                <w:sz w:val="20"/>
                <w:szCs w:val="20"/>
              </w:rPr>
              <w:t>9</w:t>
            </w:r>
          </w:p>
        </w:tc>
        <w:tc>
          <w:tcPr>
            <w:tcW w:w="1103" w:type="pct"/>
            <w:tcBorders>
              <w:top w:val="single" w:sz="4" w:space="0" w:color="auto"/>
              <w:left w:val="single" w:sz="4" w:space="0" w:color="auto"/>
              <w:bottom w:val="single" w:sz="4" w:space="0" w:color="auto"/>
              <w:right w:val="single" w:sz="4" w:space="0" w:color="auto"/>
            </w:tcBorders>
            <w:noWrap/>
            <w:vAlign w:val="bottom"/>
            <w:hideMark/>
          </w:tcPr>
          <w:p w:rsidR="009E35BE" w:rsidRPr="00D378C7" w:rsidRDefault="009E35BE" w:rsidP="00832031">
            <w:pPr>
              <w:spacing w:after="0"/>
              <w:jc w:val="right"/>
              <w:rPr>
                <w:rFonts w:ascii="Calibri" w:hAnsi="Calibri" w:cs="Calibri"/>
                <w:color w:val="000000"/>
                <w:sz w:val="20"/>
                <w:szCs w:val="20"/>
              </w:rPr>
            </w:pPr>
            <w:r w:rsidRPr="00D378C7">
              <w:rPr>
                <w:rFonts w:ascii="Calibri" w:hAnsi="Calibri" w:cs="Calibri"/>
                <w:color w:val="000000"/>
                <w:sz w:val="20"/>
                <w:szCs w:val="20"/>
              </w:rPr>
              <w:t>10%</w:t>
            </w:r>
          </w:p>
        </w:tc>
      </w:tr>
      <w:tr w:rsidR="009E35BE" w:rsidRPr="00AE112C" w:rsidTr="00832031">
        <w:tc>
          <w:tcPr>
            <w:tcW w:w="1691" w:type="pct"/>
            <w:tcBorders>
              <w:top w:val="single" w:sz="4" w:space="0" w:color="auto"/>
              <w:left w:val="single" w:sz="4" w:space="0" w:color="auto"/>
              <w:bottom w:val="single" w:sz="4" w:space="0" w:color="auto"/>
              <w:right w:val="single" w:sz="4" w:space="0" w:color="auto"/>
            </w:tcBorders>
            <w:noWrap/>
            <w:vAlign w:val="bottom"/>
            <w:hideMark/>
          </w:tcPr>
          <w:p w:rsidR="009E35BE" w:rsidRPr="00D378C7" w:rsidRDefault="009E35BE" w:rsidP="00832031">
            <w:pPr>
              <w:spacing w:after="0"/>
              <w:rPr>
                <w:rFonts w:ascii="Calibri" w:hAnsi="Calibri" w:cs="Calibri"/>
                <w:color w:val="000000"/>
                <w:sz w:val="20"/>
                <w:szCs w:val="20"/>
              </w:rPr>
            </w:pPr>
            <w:r w:rsidRPr="00D378C7">
              <w:rPr>
                <w:rFonts w:ascii="Calibri" w:hAnsi="Calibri" w:cs="Calibri"/>
                <w:color w:val="000000"/>
                <w:sz w:val="20"/>
                <w:szCs w:val="20"/>
              </w:rPr>
              <w:t>CAPOLONA</w:t>
            </w:r>
          </w:p>
        </w:tc>
        <w:tc>
          <w:tcPr>
            <w:tcW w:w="1103" w:type="pct"/>
            <w:tcBorders>
              <w:top w:val="single" w:sz="4" w:space="0" w:color="auto"/>
              <w:left w:val="single" w:sz="4" w:space="0" w:color="auto"/>
              <w:bottom w:val="single" w:sz="4" w:space="0" w:color="auto"/>
              <w:right w:val="single" w:sz="4" w:space="0" w:color="auto"/>
            </w:tcBorders>
            <w:noWrap/>
            <w:vAlign w:val="bottom"/>
            <w:hideMark/>
          </w:tcPr>
          <w:p w:rsidR="009E35BE" w:rsidRPr="00D378C7" w:rsidRDefault="009E35BE" w:rsidP="00832031">
            <w:pPr>
              <w:spacing w:after="0"/>
              <w:jc w:val="right"/>
              <w:rPr>
                <w:rFonts w:ascii="Calibri" w:hAnsi="Calibri" w:cs="Calibri"/>
                <w:color w:val="000000"/>
                <w:sz w:val="20"/>
                <w:szCs w:val="20"/>
              </w:rPr>
            </w:pPr>
            <w:r w:rsidRPr="00D378C7">
              <w:rPr>
                <w:rFonts w:ascii="Calibri" w:hAnsi="Calibri" w:cs="Calibri"/>
                <w:color w:val="000000"/>
                <w:sz w:val="20"/>
                <w:szCs w:val="20"/>
              </w:rPr>
              <w:t>10</w:t>
            </w:r>
          </w:p>
        </w:tc>
        <w:tc>
          <w:tcPr>
            <w:tcW w:w="1103" w:type="pct"/>
            <w:tcBorders>
              <w:top w:val="single" w:sz="4" w:space="0" w:color="auto"/>
              <w:left w:val="single" w:sz="4" w:space="0" w:color="auto"/>
              <w:bottom w:val="single" w:sz="4" w:space="0" w:color="auto"/>
              <w:right w:val="single" w:sz="4" w:space="0" w:color="auto"/>
            </w:tcBorders>
            <w:noWrap/>
            <w:vAlign w:val="bottom"/>
            <w:hideMark/>
          </w:tcPr>
          <w:p w:rsidR="009E35BE" w:rsidRPr="00D378C7" w:rsidRDefault="009E35BE" w:rsidP="00832031">
            <w:pPr>
              <w:spacing w:after="0"/>
              <w:jc w:val="right"/>
              <w:rPr>
                <w:rFonts w:ascii="Calibri" w:hAnsi="Calibri" w:cs="Calibri"/>
                <w:color w:val="000000"/>
                <w:sz w:val="20"/>
                <w:szCs w:val="20"/>
              </w:rPr>
            </w:pPr>
            <w:r w:rsidRPr="00D378C7">
              <w:rPr>
                <w:rFonts w:ascii="Calibri" w:hAnsi="Calibri" w:cs="Calibri"/>
                <w:color w:val="000000"/>
                <w:sz w:val="20"/>
                <w:szCs w:val="20"/>
              </w:rPr>
              <w:t>2</w:t>
            </w:r>
          </w:p>
        </w:tc>
        <w:tc>
          <w:tcPr>
            <w:tcW w:w="1103" w:type="pct"/>
            <w:tcBorders>
              <w:top w:val="single" w:sz="4" w:space="0" w:color="auto"/>
              <w:left w:val="single" w:sz="4" w:space="0" w:color="auto"/>
              <w:bottom w:val="single" w:sz="4" w:space="0" w:color="auto"/>
              <w:right w:val="single" w:sz="4" w:space="0" w:color="auto"/>
            </w:tcBorders>
            <w:noWrap/>
            <w:vAlign w:val="bottom"/>
            <w:hideMark/>
          </w:tcPr>
          <w:p w:rsidR="009E35BE" w:rsidRPr="00D378C7" w:rsidRDefault="009E35BE" w:rsidP="00832031">
            <w:pPr>
              <w:spacing w:after="0"/>
              <w:jc w:val="right"/>
              <w:rPr>
                <w:rFonts w:ascii="Calibri" w:hAnsi="Calibri" w:cs="Calibri"/>
                <w:color w:val="000000"/>
                <w:sz w:val="20"/>
                <w:szCs w:val="20"/>
              </w:rPr>
            </w:pPr>
            <w:r w:rsidRPr="00D378C7">
              <w:rPr>
                <w:rFonts w:ascii="Calibri" w:hAnsi="Calibri" w:cs="Calibri"/>
                <w:color w:val="000000"/>
                <w:sz w:val="20"/>
                <w:szCs w:val="20"/>
              </w:rPr>
              <w:t>67%</w:t>
            </w:r>
          </w:p>
        </w:tc>
      </w:tr>
      <w:tr w:rsidR="009E35BE" w:rsidRPr="00AE112C" w:rsidTr="00832031">
        <w:tc>
          <w:tcPr>
            <w:tcW w:w="1691" w:type="pct"/>
            <w:tcBorders>
              <w:top w:val="single" w:sz="4" w:space="0" w:color="auto"/>
              <w:left w:val="single" w:sz="4" w:space="0" w:color="auto"/>
              <w:bottom w:val="single" w:sz="4" w:space="0" w:color="auto"/>
              <w:right w:val="single" w:sz="4" w:space="0" w:color="auto"/>
            </w:tcBorders>
            <w:noWrap/>
            <w:vAlign w:val="bottom"/>
            <w:hideMark/>
          </w:tcPr>
          <w:p w:rsidR="009E35BE" w:rsidRPr="00D378C7" w:rsidRDefault="009E35BE" w:rsidP="00832031">
            <w:pPr>
              <w:spacing w:after="0"/>
              <w:rPr>
                <w:rFonts w:ascii="Calibri" w:hAnsi="Calibri" w:cs="Calibri"/>
                <w:color w:val="000000"/>
                <w:sz w:val="20"/>
                <w:szCs w:val="20"/>
              </w:rPr>
            </w:pPr>
            <w:r w:rsidRPr="00D378C7">
              <w:rPr>
                <w:rFonts w:ascii="Calibri" w:hAnsi="Calibri" w:cs="Calibri"/>
                <w:color w:val="000000"/>
                <w:sz w:val="20"/>
                <w:szCs w:val="20"/>
              </w:rPr>
              <w:t>CIVITELLA IN VAL DI CHIANA</w:t>
            </w:r>
          </w:p>
        </w:tc>
        <w:tc>
          <w:tcPr>
            <w:tcW w:w="1103" w:type="pct"/>
            <w:tcBorders>
              <w:top w:val="single" w:sz="4" w:space="0" w:color="auto"/>
              <w:left w:val="single" w:sz="4" w:space="0" w:color="auto"/>
              <w:bottom w:val="single" w:sz="4" w:space="0" w:color="auto"/>
              <w:right w:val="single" w:sz="4" w:space="0" w:color="auto"/>
            </w:tcBorders>
            <w:noWrap/>
            <w:vAlign w:val="bottom"/>
            <w:hideMark/>
          </w:tcPr>
          <w:p w:rsidR="009E35BE" w:rsidRPr="00D378C7" w:rsidRDefault="009E35BE" w:rsidP="00832031">
            <w:pPr>
              <w:spacing w:after="0"/>
              <w:jc w:val="right"/>
              <w:rPr>
                <w:rFonts w:ascii="Calibri" w:hAnsi="Calibri" w:cs="Calibri"/>
                <w:color w:val="000000"/>
                <w:sz w:val="20"/>
                <w:szCs w:val="20"/>
              </w:rPr>
            </w:pPr>
            <w:r w:rsidRPr="00D378C7">
              <w:rPr>
                <w:rFonts w:ascii="Calibri" w:hAnsi="Calibri" w:cs="Calibri"/>
                <w:color w:val="000000"/>
                <w:sz w:val="20"/>
                <w:szCs w:val="20"/>
              </w:rPr>
              <w:t>8</w:t>
            </w:r>
          </w:p>
        </w:tc>
        <w:tc>
          <w:tcPr>
            <w:tcW w:w="1103" w:type="pct"/>
            <w:tcBorders>
              <w:top w:val="single" w:sz="4" w:space="0" w:color="auto"/>
              <w:left w:val="single" w:sz="4" w:space="0" w:color="auto"/>
              <w:bottom w:val="single" w:sz="4" w:space="0" w:color="auto"/>
              <w:right w:val="single" w:sz="4" w:space="0" w:color="auto"/>
            </w:tcBorders>
            <w:noWrap/>
            <w:vAlign w:val="bottom"/>
            <w:hideMark/>
          </w:tcPr>
          <w:p w:rsidR="009E35BE" w:rsidRPr="00D378C7" w:rsidRDefault="009E35BE" w:rsidP="00832031">
            <w:pPr>
              <w:spacing w:after="0"/>
              <w:jc w:val="right"/>
              <w:rPr>
                <w:rFonts w:ascii="Calibri" w:hAnsi="Calibri" w:cs="Calibri"/>
                <w:color w:val="000000"/>
                <w:sz w:val="20"/>
                <w:szCs w:val="20"/>
              </w:rPr>
            </w:pPr>
            <w:r w:rsidRPr="00D378C7">
              <w:rPr>
                <w:rFonts w:ascii="Calibri" w:hAnsi="Calibri" w:cs="Calibri"/>
                <w:color w:val="000000"/>
                <w:sz w:val="20"/>
                <w:szCs w:val="20"/>
              </w:rPr>
              <w:t>7</w:t>
            </w:r>
          </w:p>
        </w:tc>
        <w:tc>
          <w:tcPr>
            <w:tcW w:w="1103" w:type="pct"/>
            <w:tcBorders>
              <w:top w:val="single" w:sz="4" w:space="0" w:color="auto"/>
              <w:left w:val="single" w:sz="4" w:space="0" w:color="auto"/>
              <w:bottom w:val="single" w:sz="4" w:space="0" w:color="auto"/>
              <w:right w:val="single" w:sz="4" w:space="0" w:color="auto"/>
            </w:tcBorders>
            <w:noWrap/>
            <w:vAlign w:val="bottom"/>
            <w:hideMark/>
          </w:tcPr>
          <w:p w:rsidR="009E35BE" w:rsidRPr="00D378C7" w:rsidRDefault="009E35BE" w:rsidP="00832031">
            <w:pPr>
              <w:spacing w:after="0"/>
              <w:jc w:val="right"/>
              <w:rPr>
                <w:rFonts w:ascii="Calibri" w:hAnsi="Calibri" w:cs="Calibri"/>
                <w:color w:val="000000"/>
                <w:sz w:val="20"/>
                <w:szCs w:val="20"/>
              </w:rPr>
            </w:pPr>
            <w:r w:rsidRPr="00D378C7">
              <w:rPr>
                <w:rFonts w:ascii="Calibri" w:hAnsi="Calibri" w:cs="Calibri"/>
                <w:color w:val="000000"/>
                <w:sz w:val="20"/>
                <w:szCs w:val="20"/>
              </w:rPr>
              <w:t>7%</w:t>
            </w:r>
          </w:p>
        </w:tc>
      </w:tr>
      <w:tr w:rsidR="009E35BE" w:rsidRPr="00AE112C" w:rsidTr="00832031">
        <w:tc>
          <w:tcPr>
            <w:tcW w:w="1691" w:type="pct"/>
            <w:tcBorders>
              <w:top w:val="single" w:sz="4" w:space="0" w:color="auto"/>
              <w:left w:val="single" w:sz="4" w:space="0" w:color="auto"/>
              <w:bottom w:val="single" w:sz="4" w:space="0" w:color="auto"/>
              <w:right w:val="single" w:sz="4" w:space="0" w:color="auto"/>
            </w:tcBorders>
            <w:noWrap/>
            <w:vAlign w:val="bottom"/>
            <w:hideMark/>
          </w:tcPr>
          <w:p w:rsidR="009E35BE" w:rsidRPr="00D378C7" w:rsidRDefault="009E35BE" w:rsidP="00832031">
            <w:pPr>
              <w:spacing w:after="0"/>
              <w:rPr>
                <w:rFonts w:ascii="Calibri" w:hAnsi="Calibri" w:cs="Calibri"/>
                <w:color w:val="000000"/>
                <w:sz w:val="20"/>
                <w:szCs w:val="20"/>
              </w:rPr>
            </w:pPr>
            <w:r w:rsidRPr="00D378C7">
              <w:rPr>
                <w:rFonts w:ascii="Calibri" w:hAnsi="Calibri" w:cs="Calibri"/>
                <w:color w:val="000000"/>
                <w:sz w:val="20"/>
                <w:szCs w:val="20"/>
              </w:rPr>
              <w:t>CAVRIGLIA</w:t>
            </w:r>
          </w:p>
        </w:tc>
        <w:tc>
          <w:tcPr>
            <w:tcW w:w="1103" w:type="pct"/>
            <w:tcBorders>
              <w:top w:val="single" w:sz="4" w:space="0" w:color="auto"/>
              <w:left w:val="single" w:sz="4" w:space="0" w:color="auto"/>
              <w:bottom w:val="single" w:sz="4" w:space="0" w:color="auto"/>
              <w:right w:val="single" w:sz="4" w:space="0" w:color="auto"/>
            </w:tcBorders>
            <w:noWrap/>
            <w:vAlign w:val="bottom"/>
            <w:hideMark/>
          </w:tcPr>
          <w:p w:rsidR="009E35BE" w:rsidRPr="00D378C7" w:rsidRDefault="009E35BE" w:rsidP="00832031">
            <w:pPr>
              <w:spacing w:after="0"/>
              <w:jc w:val="right"/>
              <w:rPr>
                <w:rFonts w:ascii="Calibri" w:hAnsi="Calibri" w:cs="Calibri"/>
                <w:color w:val="000000"/>
                <w:sz w:val="20"/>
                <w:szCs w:val="20"/>
              </w:rPr>
            </w:pPr>
            <w:r w:rsidRPr="00D378C7">
              <w:rPr>
                <w:rFonts w:ascii="Calibri" w:hAnsi="Calibri" w:cs="Calibri"/>
                <w:color w:val="000000"/>
                <w:sz w:val="20"/>
                <w:szCs w:val="20"/>
              </w:rPr>
              <w:t>7</w:t>
            </w:r>
          </w:p>
        </w:tc>
        <w:tc>
          <w:tcPr>
            <w:tcW w:w="1103" w:type="pct"/>
            <w:tcBorders>
              <w:top w:val="single" w:sz="4" w:space="0" w:color="auto"/>
              <w:left w:val="single" w:sz="4" w:space="0" w:color="auto"/>
              <w:bottom w:val="single" w:sz="4" w:space="0" w:color="auto"/>
              <w:right w:val="single" w:sz="4" w:space="0" w:color="auto"/>
            </w:tcBorders>
            <w:noWrap/>
            <w:vAlign w:val="bottom"/>
            <w:hideMark/>
          </w:tcPr>
          <w:p w:rsidR="009E35BE" w:rsidRPr="00D378C7" w:rsidRDefault="009E35BE" w:rsidP="00832031">
            <w:pPr>
              <w:spacing w:after="0"/>
              <w:jc w:val="right"/>
              <w:rPr>
                <w:rFonts w:ascii="Calibri" w:hAnsi="Calibri" w:cs="Calibri"/>
                <w:color w:val="000000"/>
                <w:sz w:val="20"/>
                <w:szCs w:val="20"/>
              </w:rPr>
            </w:pPr>
            <w:r w:rsidRPr="00D378C7">
              <w:rPr>
                <w:rFonts w:ascii="Calibri" w:hAnsi="Calibri" w:cs="Calibri"/>
                <w:color w:val="000000"/>
                <w:sz w:val="20"/>
                <w:szCs w:val="20"/>
              </w:rPr>
              <w:t>1</w:t>
            </w:r>
          </w:p>
        </w:tc>
        <w:tc>
          <w:tcPr>
            <w:tcW w:w="1103" w:type="pct"/>
            <w:tcBorders>
              <w:top w:val="single" w:sz="4" w:space="0" w:color="auto"/>
              <w:left w:val="single" w:sz="4" w:space="0" w:color="auto"/>
              <w:bottom w:val="single" w:sz="4" w:space="0" w:color="auto"/>
              <w:right w:val="single" w:sz="4" w:space="0" w:color="auto"/>
            </w:tcBorders>
            <w:noWrap/>
            <w:vAlign w:val="bottom"/>
            <w:hideMark/>
          </w:tcPr>
          <w:p w:rsidR="009E35BE" w:rsidRPr="00D378C7" w:rsidRDefault="009E35BE" w:rsidP="00832031">
            <w:pPr>
              <w:spacing w:after="0"/>
              <w:jc w:val="right"/>
              <w:rPr>
                <w:rFonts w:ascii="Calibri" w:hAnsi="Calibri" w:cs="Calibri"/>
                <w:color w:val="000000"/>
                <w:sz w:val="20"/>
                <w:szCs w:val="20"/>
              </w:rPr>
            </w:pPr>
            <w:r w:rsidRPr="00D378C7">
              <w:rPr>
                <w:rFonts w:ascii="Calibri" w:hAnsi="Calibri" w:cs="Calibri"/>
                <w:color w:val="000000"/>
                <w:sz w:val="20"/>
                <w:szCs w:val="20"/>
              </w:rPr>
              <w:t>75%</w:t>
            </w:r>
          </w:p>
        </w:tc>
      </w:tr>
      <w:tr w:rsidR="009E35BE" w:rsidRPr="00AE112C" w:rsidTr="00832031">
        <w:tc>
          <w:tcPr>
            <w:tcW w:w="1691" w:type="pct"/>
            <w:tcBorders>
              <w:top w:val="single" w:sz="4" w:space="0" w:color="auto"/>
              <w:left w:val="single" w:sz="4" w:space="0" w:color="auto"/>
              <w:bottom w:val="single" w:sz="4" w:space="0" w:color="auto"/>
              <w:right w:val="single" w:sz="4" w:space="0" w:color="auto"/>
            </w:tcBorders>
            <w:noWrap/>
            <w:vAlign w:val="bottom"/>
            <w:hideMark/>
          </w:tcPr>
          <w:p w:rsidR="009E35BE" w:rsidRPr="00D378C7" w:rsidRDefault="009E35BE" w:rsidP="00832031">
            <w:pPr>
              <w:spacing w:after="0"/>
              <w:rPr>
                <w:rFonts w:ascii="Calibri" w:hAnsi="Calibri" w:cs="Calibri"/>
                <w:color w:val="000000"/>
                <w:sz w:val="20"/>
                <w:szCs w:val="20"/>
              </w:rPr>
            </w:pPr>
            <w:r w:rsidRPr="00D378C7">
              <w:rPr>
                <w:rFonts w:ascii="Calibri" w:hAnsi="Calibri" w:cs="Calibri"/>
                <w:color w:val="000000"/>
                <w:sz w:val="20"/>
                <w:szCs w:val="20"/>
              </w:rPr>
              <w:t>CASTIGLION FIORENTINO</w:t>
            </w:r>
          </w:p>
        </w:tc>
        <w:tc>
          <w:tcPr>
            <w:tcW w:w="1103" w:type="pct"/>
            <w:tcBorders>
              <w:top w:val="single" w:sz="4" w:space="0" w:color="auto"/>
              <w:left w:val="single" w:sz="4" w:space="0" w:color="auto"/>
              <w:bottom w:val="single" w:sz="4" w:space="0" w:color="auto"/>
              <w:right w:val="single" w:sz="4" w:space="0" w:color="auto"/>
            </w:tcBorders>
            <w:noWrap/>
            <w:vAlign w:val="bottom"/>
            <w:hideMark/>
          </w:tcPr>
          <w:p w:rsidR="009E35BE" w:rsidRPr="00D378C7" w:rsidRDefault="009E35BE" w:rsidP="00832031">
            <w:pPr>
              <w:spacing w:after="0"/>
              <w:jc w:val="right"/>
              <w:rPr>
                <w:rFonts w:ascii="Calibri" w:hAnsi="Calibri" w:cs="Calibri"/>
                <w:color w:val="000000"/>
                <w:sz w:val="20"/>
                <w:szCs w:val="20"/>
              </w:rPr>
            </w:pPr>
            <w:r w:rsidRPr="00D378C7">
              <w:rPr>
                <w:rFonts w:ascii="Calibri" w:hAnsi="Calibri" w:cs="Calibri"/>
                <w:color w:val="000000"/>
                <w:sz w:val="20"/>
                <w:szCs w:val="20"/>
              </w:rPr>
              <w:t>6</w:t>
            </w:r>
          </w:p>
        </w:tc>
        <w:tc>
          <w:tcPr>
            <w:tcW w:w="1103" w:type="pct"/>
            <w:tcBorders>
              <w:top w:val="single" w:sz="4" w:space="0" w:color="auto"/>
              <w:left w:val="single" w:sz="4" w:space="0" w:color="auto"/>
              <w:bottom w:val="single" w:sz="4" w:space="0" w:color="auto"/>
              <w:right w:val="single" w:sz="4" w:space="0" w:color="auto"/>
            </w:tcBorders>
            <w:noWrap/>
            <w:vAlign w:val="bottom"/>
            <w:hideMark/>
          </w:tcPr>
          <w:p w:rsidR="009E35BE" w:rsidRPr="00D378C7" w:rsidRDefault="009E35BE" w:rsidP="00832031">
            <w:pPr>
              <w:spacing w:after="0"/>
              <w:jc w:val="right"/>
              <w:rPr>
                <w:rFonts w:ascii="Calibri" w:hAnsi="Calibri" w:cs="Calibri"/>
                <w:color w:val="000000"/>
                <w:sz w:val="20"/>
                <w:szCs w:val="20"/>
              </w:rPr>
            </w:pPr>
            <w:r w:rsidRPr="00D378C7">
              <w:rPr>
                <w:rFonts w:ascii="Calibri" w:hAnsi="Calibri" w:cs="Calibri"/>
                <w:color w:val="000000"/>
                <w:sz w:val="20"/>
                <w:szCs w:val="20"/>
              </w:rPr>
              <w:t>6</w:t>
            </w:r>
          </w:p>
        </w:tc>
        <w:tc>
          <w:tcPr>
            <w:tcW w:w="1103" w:type="pct"/>
            <w:tcBorders>
              <w:top w:val="single" w:sz="4" w:space="0" w:color="auto"/>
              <w:left w:val="single" w:sz="4" w:space="0" w:color="auto"/>
              <w:bottom w:val="single" w:sz="4" w:space="0" w:color="auto"/>
              <w:right w:val="single" w:sz="4" w:space="0" w:color="auto"/>
            </w:tcBorders>
            <w:noWrap/>
            <w:vAlign w:val="bottom"/>
            <w:hideMark/>
          </w:tcPr>
          <w:p w:rsidR="009E35BE" w:rsidRPr="00D378C7" w:rsidRDefault="009E35BE" w:rsidP="00832031">
            <w:pPr>
              <w:spacing w:after="0"/>
              <w:jc w:val="right"/>
              <w:rPr>
                <w:rFonts w:ascii="Calibri" w:hAnsi="Calibri" w:cs="Calibri"/>
                <w:color w:val="000000"/>
                <w:sz w:val="20"/>
                <w:szCs w:val="20"/>
              </w:rPr>
            </w:pPr>
            <w:r w:rsidRPr="00D378C7">
              <w:rPr>
                <w:rFonts w:ascii="Calibri" w:hAnsi="Calibri" w:cs="Calibri"/>
                <w:color w:val="000000"/>
                <w:sz w:val="20"/>
                <w:szCs w:val="20"/>
              </w:rPr>
              <w:t>0%</w:t>
            </w:r>
          </w:p>
        </w:tc>
      </w:tr>
      <w:tr w:rsidR="009E35BE" w:rsidRPr="00AE112C" w:rsidTr="00832031">
        <w:tc>
          <w:tcPr>
            <w:tcW w:w="1691" w:type="pct"/>
            <w:tcBorders>
              <w:top w:val="single" w:sz="4" w:space="0" w:color="auto"/>
              <w:left w:val="single" w:sz="4" w:space="0" w:color="auto"/>
              <w:bottom w:val="single" w:sz="4" w:space="0" w:color="auto"/>
              <w:right w:val="single" w:sz="4" w:space="0" w:color="auto"/>
            </w:tcBorders>
            <w:noWrap/>
            <w:vAlign w:val="bottom"/>
            <w:hideMark/>
          </w:tcPr>
          <w:p w:rsidR="009E35BE" w:rsidRPr="00D378C7" w:rsidRDefault="009E35BE" w:rsidP="00832031">
            <w:pPr>
              <w:spacing w:after="0"/>
              <w:rPr>
                <w:rFonts w:ascii="Calibri" w:hAnsi="Calibri" w:cs="Calibri"/>
                <w:color w:val="000000"/>
                <w:sz w:val="20"/>
                <w:szCs w:val="20"/>
              </w:rPr>
            </w:pPr>
            <w:r w:rsidRPr="00D378C7">
              <w:rPr>
                <w:rFonts w:ascii="Calibri" w:hAnsi="Calibri" w:cs="Calibri"/>
                <w:color w:val="000000"/>
                <w:sz w:val="20"/>
                <w:szCs w:val="20"/>
              </w:rPr>
              <w:t>CORTONA</w:t>
            </w:r>
          </w:p>
        </w:tc>
        <w:tc>
          <w:tcPr>
            <w:tcW w:w="1103" w:type="pct"/>
            <w:tcBorders>
              <w:top w:val="single" w:sz="4" w:space="0" w:color="auto"/>
              <w:left w:val="single" w:sz="4" w:space="0" w:color="auto"/>
              <w:bottom w:val="single" w:sz="4" w:space="0" w:color="auto"/>
              <w:right w:val="single" w:sz="4" w:space="0" w:color="auto"/>
            </w:tcBorders>
            <w:noWrap/>
            <w:vAlign w:val="bottom"/>
            <w:hideMark/>
          </w:tcPr>
          <w:p w:rsidR="009E35BE" w:rsidRPr="00D378C7" w:rsidRDefault="009E35BE" w:rsidP="00832031">
            <w:pPr>
              <w:spacing w:after="0"/>
              <w:jc w:val="right"/>
              <w:rPr>
                <w:rFonts w:ascii="Calibri" w:hAnsi="Calibri" w:cs="Calibri"/>
                <w:color w:val="000000"/>
                <w:sz w:val="20"/>
                <w:szCs w:val="20"/>
              </w:rPr>
            </w:pPr>
            <w:r w:rsidRPr="00D378C7">
              <w:rPr>
                <w:rFonts w:ascii="Calibri" w:hAnsi="Calibri" w:cs="Calibri"/>
                <w:color w:val="000000"/>
                <w:sz w:val="20"/>
                <w:szCs w:val="20"/>
              </w:rPr>
              <w:t>4</w:t>
            </w:r>
          </w:p>
        </w:tc>
        <w:tc>
          <w:tcPr>
            <w:tcW w:w="1103" w:type="pct"/>
            <w:tcBorders>
              <w:top w:val="single" w:sz="4" w:space="0" w:color="auto"/>
              <w:left w:val="single" w:sz="4" w:space="0" w:color="auto"/>
              <w:bottom w:val="single" w:sz="4" w:space="0" w:color="auto"/>
              <w:right w:val="single" w:sz="4" w:space="0" w:color="auto"/>
            </w:tcBorders>
            <w:noWrap/>
            <w:vAlign w:val="bottom"/>
            <w:hideMark/>
          </w:tcPr>
          <w:p w:rsidR="009E35BE" w:rsidRPr="00D378C7" w:rsidRDefault="009E35BE" w:rsidP="00832031">
            <w:pPr>
              <w:spacing w:after="0"/>
              <w:jc w:val="right"/>
              <w:rPr>
                <w:rFonts w:ascii="Calibri" w:hAnsi="Calibri" w:cs="Calibri"/>
                <w:color w:val="000000"/>
                <w:sz w:val="20"/>
                <w:szCs w:val="20"/>
              </w:rPr>
            </w:pPr>
            <w:r w:rsidRPr="00D378C7">
              <w:rPr>
                <w:rFonts w:ascii="Calibri" w:hAnsi="Calibri" w:cs="Calibri"/>
                <w:color w:val="000000"/>
                <w:sz w:val="20"/>
                <w:szCs w:val="20"/>
              </w:rPr>
              <w:t>5</w:t>
            </w:r>
          </w:p>
        </w:tc>
        <w:tc>
          <w:tcPr>
            <w:tcW w:w="1103" w:type="pct"/>
            <w:tcBorders>
              <w:top w:val="single" w:sz="4" w:space="0" w:color="auto"/>
              <w:left w:val="single" w:sz="4" w:space="0" w:color="auto"/>
              <w:bottom w:val="single" w:sz="4" w:space="0" w:color="auto"/>
              <w:right w:val="single" w:sz="4" w:space="0" w:color="auto"/>
            </w:tcBorders>
            <w:noWrap/>
            <w:vAlign w:val="bottom"/>
            <w:hideMark/>
          </w:tcPr>
          <w:p w:rsidR="009E35BE" w:rsidRPr="00D378C7" w:rsidRDefault="009E35BE" w:rsidP="00832031">
            <w:pPr>
              <w:spacing w:after="0"/>
              <w:jc w:val="right"/>
              <w:rPr>
                <w:rFonts w:ascii="Calibri" w:hAnsi="Calibri" w:cs="Calibri"/>
                <w:color w:val="000000"/>
                <w:sz w:val="20"/>
                <w:szCs w:val="20"/>
              </w:rPr>
            </w:pPr>
            <w:r w:rsidRPr="00D378C7">
              <w:rPr>
                <w:rFonts w:ascii="Calibri" w:hAnsi="Calibri" w:cs="Calibri"/>
                <w:color w:val="000000"/>
                <w:sz w:val="20"/>
                <w:szCs w:val="20"/>
              </w:rPr>
              <w:t>-11%</w:t>
            </w:r>
          </w:p>
        </w:tc>
      </w:tr>
      <w:tr w:rsidR="009E35BE" w:rsidRPr="00AE112C" w:rsidTr="00832031">
        <w:tc>
          <w:tcPr>
            <w:tcW w:w="1691" w:type="pct"/>
            <w:tcBorders>
              <w:top w:val="single" w:sz="4" w:space="0" w:color="auto"/>
              <w:left w:val="single" w:sz="4" w:space="0" w:color="auto"/>
              <w:bottom w:val="single" w:sz="4" w:space="0" w:color="auto"/>
              <w:right w:val="single" w:sz="4" w:space="0" w:color="auto"/>
            </w:tcBorders>
            <w:noWrap/>
            <w:vAlign w:val="bottom"/>
            <w:hideMark/>
          </w:tcPr>
          <w:p w:rsidR="009E35BE" w:rsidRPr="00D378C7" w:rsidRDefault="009E35BE" w:rsidP="00832031">
            <w:pPr>
              <w:spacing w:after="0"/>
              <w:rPr>
                <w:rFonts w:ascii="Calibri" w:hAnsi="Calibri" w:cs="Calibri"/>
                <w:color w:val="000000"/>
                <w:sz w:val="20"/>
                <w:szCs w:val="20"/>
              </w:rPr>
            </w:pPr>
            <w:r w:rsidRPr="00D378C7">
              <w:rPr>
                <w:rFonts w:ascii="Calibri" w:hAnsi="Calibri" w:cs="Calibri"/>
                <w:color w:val="000000"/>
                <w:sz w:val="20"/>
                <w:szCs w:val="20"/>
              </w:rPr>
              <w:t>LATERINA</w:t>
            </w:r>
          </w:p>
        </w:tc>
        <w:tc>
          <w:tcPr>
            <w:tcW w:w="1103" w:type="pct"/>
            <w:tcBorders>
              <w:top w:val="single" w:sz="4" w:space="0" w:color="auto"/>
              <w:left w:val="single" w:sz="4" w:space="0" w:color="auto"/>
              <w:bottom w:val="single" w:sz="4" w:space="0" w:color="auto"/>
              <w:right w:val="single" w:sz="4" w:space="0" w:color="auto"/>
            </w:tcBorders>
            <w:noWrap/>
            <w:vAlign w:val="bottom"/>
            <w:hideMark/>
          </w:tcPr>
          <w:p w:rsidR="009E35BE" w:rsidRPr="00D378C7" w:rsidRDefault="009E35BE" w:rsidP="00832031">
            <w:pPr>
              <w:spacing w:after="0"/>
              <w:jc w:val="right"/>
              <w:rPr>
                <w:rFonts w:ascii="Calibri" w:hAnsi="Calibri" w:cs="Calibri"/>
                <w:color w:val="000000"/>
                <w:sz w:val="20"/>
                <w:szCs w:val="20"/>
              </w:rPr>
            </w:pPr>
            <w:r w:rsidRPr="00D378C7">
              <w:rPr>
                <w:rFonts w:ascii="Calibri" w:hAnsi="Calibri" w:cs="Calibri"/>
                <w:color w:val="000000"/>
                <w:sz w:val="20"/>
                <w:szCs w:val="20"/>
              </w:rPr>
              <w:t>4</w:t>
            </w:r>
          </w:p>
        </w:tc>
        <w:tc>
          <w:tcPr>
            <w:tcW w:w="1103" w:type="pct"/>
            <w:tcBorders>
              <w:top w:val="single" w:sz="4" w:space="0" w:color="auto"/>
              <w:left w:val="single" w:sz="4" w:space="0" w:color="auto"/>
              <w:bottom w:val="single" w:sz="4" w:space="0" w:color="auto"/>
              <w:right w:val="single" w:sz="4" w:space="0" w:color="auto"/>
            </w:tcBorders>
            <w:noWrap/>
            <w:vAlign w:val="bottom"/>
            <w:hideMark/>
          </w:tcPr>
          <w:p w:rsidR="009E35BE" w:rsidRPr="00D378C7" w:rsidRDefault="009E35BE" w:rsidP="00832031">
            <w:pPr>
              <w:spacing w:after="0"/>
              <w:jc w:val="right"/>
              <w:rPr>
                <w:rFonts w:ascii="Calibri" w:hAnsi="Calibri" w:cs="Calibri"/>
                <w:color w:val="000000"/>
                <w:sz w:val="20"/>
                <w:szCs w:val="20"/>
              </w:rPr>
            </w:pPr>
            <w:r>
              <w:rPr>
                <w:rFonts w:ascii="Calibri" w:hAnsi="Calibri" w:cs="Calibri"/>
                <w:color w:val="000000"/>
                <w:sz w:val="20"/>
                <w:szCs w:val="20"/>
              </w:rPr>
              <w:t>0</w:t>
            </w:r>
          </w:p>
        </w:tc>
        <w:tc>
          <w:tcPr>
            <w:tcW w:w="1103" w:type="pct"/>
            <w:tcBorders>
              <w:top w:val="single" w:sz="4" w:space="0" w:color="auto"/>
              <w:left w:val="single" w:sz="4" w:space="0" w:color="auto"/>
              <w:bottom w:val="single" w:sz="4" w:space="0" w:color="auto"/>
              <w:right w:val="single" w:sz="4" w:space="0" w:color="auto"/>
            </w:tcBorders>
            <w:noWrap/>
            <w:vAlign w:val="bottom"/>
            <w:hideMark/>
          </w:tcPr>
          <w:p w:rsidR="009E35BE" w:rsidRPr="00D378C7" w:rsidRDefault="009E35BE" w:rsidP="00832031">
            <w:pPr>
              <w:spacing w:after="0"/>
              <w:jc w:val="right"/>
              <w:rPr>
                <w:rFonts w:ascii="Calibri" w:hAnsi="Calibri" w:cs="Calibri"/>
                <w:color w:val="000000"/>
                <w:sz w:val="20"/>
                <w:szCs w:val="20"/>
              </w:rPr>
            </w:pPr>
            <w:r w:rsidRPr="00D378C7">
              <w:rPr>
                <w:rFonts w:ascii="Calibri" w:hAnsi="Calibri" w:cs="Calibri"/>
                <w:color w:val="000000"/>
                <w:sz w:val="20"/>
                <w:szCs w:val="20"/>
              </w:rPr>
              <w:t>100%</w:t>
            </w:r>
          </w:p>
        </w:tc>
      </w:tr>
      <w:tr w:rsidR="009E35BE" w:rsidRPr="00AE112C" w:rsidTr="00832031">
        <w:tc>
          <w:tcPr>
            <w:tcW w:w="1691" w:type="pct"/>
            <w:tcBorders>
              <w:top w:val="single" w:sz="4" w:space="0" w:color="auto"/>
              <w:left w:val="single" w:sz="4" w:space="0" w:color="auto"/>
              <w:bottom w:val="single" w:sz="4" w:space="0" w:color="auto"/>
              <w:right w:val="single" w:sz="4" w:space="0" w:color="auto"/>
            </w:tcBorders>
            <w:noWrap/>
            <w:vAlign w:val="bottom"/>
            <w:hideMark/>
          </w:tcPr>
          <w:p w:rsidR="009E35BE" w:rsidRPr="00D378C7" w:rsidRDefault="009E35BE" w:rsidP="00832031">
            <w:pPr>
              <w:spacing w:after="0"/>
              <w:rPr>
                <w:rFonts w:ascii="Calibri" w:hAnsi="Calibri" w:cs="Calibri"/>
                <w:color w:val="000000"/>
                <w:sz w:val="20"/>
                <w:szCs w:val="20"/>
              </w:rPr>
            </w:pPr>
            <w:r w:rsidRPr="00D378C7">
              <w:rPr>
                <w:rFonts w:ascii="Calibri" w:hAnsi="Calibri" w:cs="Calibri"/>
                <w:color w:val="000000"/>
                <w:sz w:val="20"/>
                <w:szCs w:val="20"/>
              </w:rPr>
              <w:t>MARCIANO DELLA CHIANA</w:t>
            </w:r>
          </w:p>
        </w:tc>
        <w:tc>
          <w:tcPr>
            <w:tcW w:w="1103" w:type="pct"/>
            <w:tcBorders>
              <w:top w:val="single" w:sz="4" w:space="0" w:color="auto"/>
              <w:left w:val="single" w:sz="4" w:space="0" w:color="auto"/>
              <w:bottom w:val="single" w:sz="4" w:space="0" w:color="auto"/>
              <w:right w:val="single" w:sz="4" w:space="0" w:color="auto"/>
            </w:tcBorders>
            <w:noWrap/>
            <w:vAlign w:val="bottom"/>
            <w:hideMark/>
          </w:tcPr>
          <w:p w:rsidR="009E35BE" w:rsidRPr="00D378C7" w:rsidRDefault="009E35BE" w:rsidP="00832031">
            <w:pPr>
              <w:spacing w:after="0"/>
              <w:jc w:val="right"/>
              <w:rPr>
                <w:rFonts w:ascii="Calibri" w:hAnsi="Calibri" w:cs="Calibri"/>
                <w:color w:val="000000"/>
                <w:sz w:val="20"/>
                <w:szCs w:val="20"/>
              </w:rPr>
            </w:pPr>
            <w:r w:rsidRPr="00D378C7">
              <w:rPr>
                <w:rFonts w:ascii="Calibri" w:hAnsi="Calibri" w:cs="Calibri"/>
                <w:color w:val="000000"/>
                <w:sz w:val="20"/>
                <w:szCs w:val="20"/>
              </w:rPr>
              <w:t>4</w:t>
            </w:r>
          </w:p>
        </w:tc>
        <w:tc>
          <w:tcPr>
            <w:tcW w:w="1103" w:type="pct"/>
            <w:tcBorders>
              <w:top w:val="single" w:sz="4" w:space="0" w:color="auto"/>
              <w:left w:val="single" w:sz="4" w:space="0" w:color="auto"/>
              <w:bottom w:val="single" w:sz="4" w:space="0" w:color="auto"/>
              <w:right w:val="single" w:sz="4" w:space="0" w:color="auto"/>
            </w:tcBorders>
            <w:noWrap/>
            <w:vAlign w:val="bottom"/>
            <w:hideMark/>
          </w:tcPr>
          <w:p w:rsidR="009E35BE" w:rsidRPr="00D378C7" w:rsidRDefault="009E35BE" w:rsidP="00832031">
            <w:pPr>
              <w:spacing w:after="0"/>
              <w:jc w:val="right"/>
              <w:rPr>
                <w:rFonts w:ascii="Calibri" w:hAnsi="Calibri" w:cs="Calibri"/>
                <w:color w:val="000000"/>
                <w:sz w:val="20"/>
                <w:szCs w:val="20"/>
              </w:rPr>
            </w:pPr>
            <w:r>
              <w:rPr>
                <w:rFonts w:ascii="Calibri" w:hAnsi="Calibri" w:cs="Calibri"/>
                <w:color w:val="000000"/>
                <w:sz w:val="20"/>
                <w:szCs w:val="20"/>
              </w:rPr>
              <w:t>0</w:t>
            </w:r>
          </w:p>
        </w:tc>
        <w:tc>
          <w:tcPr>
            <w:tcW w:w="1103" w:type="pct"/>
            <w:tcBorders>
              <w:top w:val="single" w:sz="4" w:space="0" w:color="auto"/>
              <w:left w:val="single" w:sz="4" w:space="0" w:color="auto"/>
              <w:bottom w:val="single" w:sz="4" w:space="0" w:color="auto"/>
              <w:right w:val="single" w:sz="4" w:space="0" w:color="auto"/>
            </w:tcBorders>
            <w:noWrap/>
            <w:vAlign w:val="bottom"/>
            <w:hideMark/>
          </w:tcPr>
          <w:p w:rsidR="009E35BE" w:rsidRPr="00D378C7" w:rsidRDefault="009E35BE" w:rsidP="00832031">
            <w:pPr>
              <w:spacing w:after="0"/>
              <w:jc w:val="right"/>
              <w:rPr>
                <w:rFonts w:ascii="Calibri" w:hAnsi="Calibri" w:cs="Calibri"/>
                <w:color w:val="000000"/>
                <w:sz w:val="20"/>
                <w:szCs w:val="20"/>
              </w:rPr>
            </w:pPr>
            <w:r w:rsidRPr="00D378C7">
              <w:rPr>
                <w:rFonts w:ascii="Calibri" w:hAnsi="Calibri" w:cs="Calibri"/>
                <w:color w:val="000000"/>
                <w:sz w:val="20"/>
                <w:szCs w:val="20"/>
              </w:rPr>
              <w:t>100%</w:t>
            </w:r>
          </w:p>
        </w:tc>
      </w:tr>
      <w:tr w:rsidR="009E35BE" w:rsidRPr="00AE112C" w:rsidTr="00832031">
        <w:tc>
          <w:tcPr>
            <w:tcW w:w="1691" w:type="pct"/>
            <w:tcBorders>
              <w:top w:val="single" w:sz="4" w:space="0" w:color="auto"/>
              <w:left w:val="single" w:sz="4" w:space="0" w:color="auto"/>
              <w:bottom w:val="single" w:sz="4" w:space="0" w:color="auto"/>
              <w:right w:val="single" w:sz="4" w:space="0" w:color="auto"/>
            </w:tcBorders>
            <w:noWrap/>
            <w:vAlign w:val="bottom"/>
            <w:hideMark/>
          </w:tcPr>
          <w:p w:rsidR="009E35BE" w:rsidRPr="00D378C7" w:rsidRDefault="009E35BE" w:rsidP="00832031">
            <w:pPr>
              <w:spacing w:after="0"/>
              <w:rPr>
                <w:rFonts w:ascii="Calibri" w:hAnsi="Calibri" w:cs="Calibri"/>
                <w:color w:val="000000"/>
                <w:sz w:val="20"/>
                <w:szCs w:val="20"/>
              </w:rPr>
            </w:pPr>
            <w:r w:rsidRPr="00D378C7">
              <w:rPr>
                <w:rFonts w:ascii="Calibri" w:hAnsi="Calibri" w:cs="Calibri"/>
                <w:color w:val="000000"/>
                <w:sz w:val="20"/>
                <w:szCs w:val="20"/>
              </w:rPr>
              <w:t>CAPRESE MICHELANGELO</w:t>
            </w:r>
          </w:p>
        </w:tc>
        <w:tc>
          <w:tcPr>
            <w:tcW w:w="1103" w:type="pct"/>
            <w:tcBorders>
              <w:top w:val="single" w:sz="4" w:space="0" w:color="auto"/>
              <w:left w:val="single" w:sz="4" w:space="0" w:color="auto"/>
              <w:bottom w:val="single" w:sz="4" w:space="0" w:color="auto"/>
              <w:right w:val="single" w:sz="4" w:space="0" w:color="auto"/>
            </w:tcBorders>
            <w:noWrap/>
            <w:vAlign w:val="bottom"/>
            <w:hideMark/>
          </w:tcPr>
          <w:p w:rsidR="009E35BE" w:rsidRPr="00D378C7" w:rsidRDefault="009E35BE" w:rsidP="00832031">
            <w:pPr>
              <w:spacing w:after="0"/>
              <w:jc w:val="right"/>
              <w:rPr>
                <w:rFonts w:ascii="Calibri" w:hAnsi="Calibri" w:cs="Calibri"/>
                <w:color w:val="000000"/>
                <w:sz w:val="20"/>
                <w:szCs w:val="20"/>
              </w:rPr>
            </w:pPr>
            <w:r w:rsidRPr="00D378C7">
              <w:rPr>
                <w:rFonts w:ascii="Calibri" w:hAnsi="Calibri" w:cs="Calibri"/>
                <w:color w:val="000000"/>
                <w:sz w:val="20"/>
                <w:szCs w:val="20"/>
              </w:rPr>
              <w:t>2</w:t>
            </w:r>
          </w:p>
        </w:tc>
        <w:tc>
          <w:tcPr>
            <w:tcW w:w="1103" w:type="pct"/>
            <w:tcBorders>
              <w:top w:val="single" w:sz="4" w:space="0" w:color="auto"/>
              <w:left w:val="single" w:sz="4" w:space="0" w:color="auto"/>
              <w:bottom w:val="single" w:sz="4" w:space="0" w:color="auto"/>
              <w:right w:val="single" w:sz="4" w:space="0" w:color="auto"/>
            </w:tcBorders>
            <w:noWrap/>
            <w:vAlign w:val="bottom"/>
            <w:hideMark/>
          </w:tcPr>
          <w:p w:rsidR="009E35BE" w:rsidRPr="00D378C7" w:rsidRDefault="009E35BE" w:rsidP="00832031">
            <w:pPr>
              <w:spacing w:after="0"/>
              <w:jc w:val="right"/>
              <w:rPr>
                <w:rFonts w:ascii="Calibri" w:hAnsi="Calibri" w:cs="Calibri"/>
                <w:color w:val="000000"/>
                <w:sz w:val="20"/>
                <w:szCs w:val="20"/>
              </w:rPr>
            </w:pPr>
            <w:r>
              <w:rPr>
                <w:rFonts w:ascii="Calibri" w:hAnsi="Calibri" w:cs="Calibri"/>
                <w:color w:val="000000"/>
                <w:sz w:val="20"/>
                <w:szCs w:val="20"/>
              </w:rPr>
              <w:t>0</w:t>
            </w:r>
          </w:p>
        </w:tc>
        <w:tc>
          <w:tcPr>
            <w:tcW w:w="1103" w:type="pct"/>
            <w:tcBorders>
              <w:top w:val="single" w:sz="4" w:space="0" w:color="auto"/>
              <w:left w:val="single" w:sz="4" w:space="0" w:color="auto"/>
              <w:bottom w:val="single" w:sz="4" w:space="0" w:color="auto"/>
              <w:right w:val="single" w:sz="4" w:space="0" w:color="auto"/>
            </w:tcBorders>
            <w:noWrap/>
            <w:vAlign w:val="bottom"/>
            <w:hideMark/>
          </w:tcPr>
          <w:p w:rsidR="009E35BE" w:rsidRPr="00D378C7" w:rsidRDefault="009E35BE" w:rsidP="00832031">
            <w:pPr>
              <w:spacing w:after="0"/>
              <w:jc w:val="right"/>
              <w:rPr>
                <w:rFonts w:ascii="Calibri" w:hAnsi="Calibri" w:cs="Calibri"/>
                <w:color w:val="000000"/>
                <w:sz w:val="20"/>
                <w:szCs w:val="20"/>
              </w:rPr>
            </w:pPr>
            <w:r w:rsidRPr="00D378C7">
              <w:rPr>
                <w:rFonts w:ascii="Calibri" w:hAnsi="Calibri" w:cs="Calibri"/>
                <w:color w:val="000000"/>
                <w:sz w:val="20"/>
                <w:szCs w:val="20"/>
              </w:rPr>
              <w:t>100%</w:t>
            </w:r>
          </w:p>
        </w:tc>
      </w:tr>
      <w:tr w:rsidR="009E35BE" w:rsidRPr="00AE112C" w:rsidTr="00832031">
        <w:tc>
          <w:tcPr>
            <w:tcW w:w="1691" w:type="pct"/>
            <w:tcBorders>
              <w:top w:val="single" w:sz="4" w:space="0" w:color="auto"/>
              <w:left w:val="single" w:sz="4" w:space="0" w:color="auto"/>
              <w:bottom w:val="single" w:sz="4" w:space="0" w:color="auto"/>
              <w:right w:val="single" w:sz="4" w:space="0" w:color="auto"/>
            </w:tcBorders>
            <w:noWrap/>
            <w:vAlign w:val="bottom"/>
            <w:hideMark/>
          </w:tcPr>
          <w:p w:rsidR="009E35BE" w:rsidRPr="00D378C7" w:rsidRDefault="009E35BE" w:rsidP="00832031">
            <w:pPr>
              <w:spacing w:after="0"/>
              <w:rPr>
                <w:rFonts w:ascii="Calibri" w:hAnsi="Calibri" w:cs="Calibri"/>
                <w:color w:val="000000"/>
                <w:sz w:val="20"/>
                <w:szCs w:val="20"/>
              </w:rPr>
            </w:pPr>
            <w:r w:rsidRPr="00D378C7">
              <w:rPr>
                <w:rFonts w:ascii="Calibri" w:hAnsi="Calibri" w:cs="Calibri"/>
                <w:color w:val="000000"/>
                <w:sz w:val="20"/>
                <w:szCs w:val="20"/>
              </w:rPr>
              <w:t>CASTIGLION FIBOCCHI</w:t>
            </w:r>
          </w:p>
        </w:tc>
        <w:tc>
          <w:tcPr>
            <w:tcW w:w="1103" w:type="pct"/>
            <w:tcBorders>
              <w:top w:val="single" w:sz="4" w:space="0" w:color="auto"/>
              <w:left w:val="single" w:sz="4" w:space="0" w:color="auto"/>
              <w:bottom w:val="single" w:sz="4" w:space="0" w:color="auto"/>
              <w:right w:val="single" w:sz="4" w:space="0" w:color="auto"/>
            </w:tcBorders>
            <w:noWrap/>
            <w:vAlign w:val="bottom"/>
            <w:hideMark/>
          </w:tcPr>
          <w:p w:rsidR="009E35BE" w:rsidRPr="00D378C7" w:rsidRDefault="009E35BE" w:rsidP="00832031">
            <w:pPr>
              <w:spacing w:after="0"/>
              <w:jc w:val="right"/>
              <w:rPr>
                <w:rFonts w:ascii="Calibri" w:hAnsi="Calibri" w:cs="Calibri"/>
                <w:color w:val="000000"/>
                <w:sz w:val="20"/>
                <w:szCs w:val="20"/>
              </w:rPr>
            </w:pPr>
            <w:r w:rsidRPr="00D378C7">
              <w:rPr>
                <w:rFonts w:ascii="Calibri" w:hAnsi="Calibri" w:cs="Calibri"/>
                <w:color w:val="000000"/>
                <w:sz w:val="20"/>
                <w:szCs w:val="20"/>
              </w:rPr>
              <w:t>0</w:t>
            </w:r>
          </w:p>
        </w:tc>
        <w:tc>
          <w:tcPr>
            <w:tcW w:w="1103" w:type="pct"/>
            <w:tcBorders>
              <w:top w:val="single" w:sz="4" w:space="0" w:color="auto"/>
              <w:left w:val="single" w:sz="4" w:space="0" w:color="auto"/>
              <w:bottom w:val="single" w:sz="4" w:space="0" w:color="auto"/>
              <w:right w:val="single" w:sz="4" w:space="0" w:color="auto"/>
            </w:tcBorders>
            <w:noWrap/>
            <w:vAlign w:val="bottom"/>
            <w:hideMark/>
          </w:tcPr>
          <w:p w:rsidR="009E35BE" w:rsidRPr="00D378C7" w:rsidRDefault="009E35BE" w:rsidP="00832031">
            <w:pPr>
              <w:spacing w:after="0"/>
              <w:jc w:val="right"/>
              <w:rPr>
                <w:rFonts w:ascii="Calibri" w:hAnsi="Calibri" w:cs="Calibri"/>
                <w:color w:val="000000"/>
                <w:sz w:val="20"/>
                <w:szCs w:val="20"/>
              </w:rPr>
            </w:pPr>
            <w:r w:rsidRPr="00D378C7">
              <w:rPr>
                <w:rFonts w:ascii="Calibri" w:hAnsi="Calibri" w:cs="Calibri"/>
                <w:color w:val="000000"/>
                <w:sz w:val="20"/>
                <w:szCs w:val="20"/>
              </w:rPr>
              <w:t>1</w:t>
            </w:r>
          </w:p>
        </w:tc>
        <w:tc>
          <w:tcPr>
            <w:tcW w:w="1103" w:type="pct"/>
            <w:tcBorders>
              <w:top w:val="single" w:sz="4" w:space="0" w:color="auto"/>
              <w:left w:val="single" w:sz="4" w:space="0" w:color="auto"/>
              <w:bottom w:val="single" w:sz="4" w:space="0" w:color="auto"/>
              <w:right w:val="single" w:sz="4" w:space="0" w:color="auto"/>
            </w:tcBorders>
            <w:noWrap/>
            <w:vAlign w:val="bottom"/>
            <w:hideMark/>
          </w:tcPr>
          <w:p w:rsidR="009E35BE" w:rsidRPr="00D378C7" w:rsidRDefault="009E35BE" w:rsidP="00832031">
            <w:pPr>
              <w:spacing w:after="0"/>
              <w:jc w:val="right"/>
              <w:rPr>
                <w:rFonts w:ascii="Calibri" w:hAnsi="Calibri" w:cs="Calibri"/>
                <w:color w:val="000000"/>
                <w:sz w:val="20"/>
                <w:szCs w:val="20"/>
              </w:rPr>
            </w:pPr>
            <w:r w:rsidRPr="00D378C7">
              <w:rPr>
                <w:rFonts w:ascii="Calibri" w:hAnsi="Calibri" w:cs="Calibri"/>
                <w:color w:val="000000"/>
                <w:sz w:val="20"/>
                <w:szCs w:val="20"/>
              </w:rPr>
              <w:t>-100%</w:t>
            </w:r>
          </w:p>
        </w:tc>
      </w:tr>
      <w:tr w:rsidR="009E35BE" w:rsidRPr="00AE112C" w:rsidTr="00832031">
        <w:tc>
          <w:tcPr>
            <w:tcW w:w="1691" w:type="pct"/>
            <w:tcBorders>
              <w:top w:val="single" w:sz="4" w:space="0" w:color="auto"/>
              <w:left w:val="single" w:sz="4" w:space="0" w:color="auto"/>
              <w:bottom w:val="single" w:sz="4" w:space="0" w:color="auto"/>
              <w:right w:val="single" w:sz="4" w:space="0" w:color="auto"/>
            </w:tcBorders>
            <w:noWrap/>
            <w:vAlign w:val="bottom"/>
            <w:hideMark/>
          </w:tcPr>
          <w:p w:rsidR="009E35BE" w:rsidRPr="00D378C7" w:rsidRDefault="009E35BE" w:rsidP="00832031">
            <w:pPr>
              <w:spacing w:after="0"/>
              <w:rPr>
                <w:rFonts w:ascii="Calibri" w:hAnsi="Calibri" w:cs="Calibri"/>
                <w:color w:val="000000"/>
                <w:sz w:val="20"/>
                <w:szCs w:val="20"/>
              </w:rPr>
            </w:pPr>
            <w:r w:rsidRPr="00D378C7">
              <w:rPr>
                <w:rFonts w:ascii="Calibri" w:hAnsi="Calibri" w:cs="Calibri"/>
                <w:color w:val="000000"/>
                <w:sz w:val="20"/>
                <w:szCs w:val="20"/>
              </w:rPr>
              <w:t>SUBBIANO</w:t>
            </w:r>
          </w:p>
        </w:tc>
        <w:tc>
          <w:tcPr>
            <w:tcW w:w="1103" w:type="pct"/>
            <w:tcBorders>
              <w:top w:val="single" w:sz="4" w:space="0" w:color="auto"/>
              <w:left w:val="single" w:sz="4" w:space="0" w:color="auto"/>
              <w:bottom w:val="single" w:sz="4" w:space="0" w:color="auto"/>
              <w:right w:val="single" w:sz="4" w:space="0" w:color="auto"/>
            </w:tcBorders>
            <w:noWrap/>
            <w:vAlign w:val="bottom"/>
            <w:hideMark/>
          </w:tcPr>
          <w:p w:rsidR="009E35BE" w:rsidRPr="00D378C7" w:rsidRDefault="009E35BE" w:rsidP="00832031">
            <w:pPr>
              <w:spacing w:after="0"/>
              <w:jc w:val="right"/>
              <w:rPr>
                <w:rFonts w:ascii="Calibri" w:hAnsi="Calibri" w:cs="Calibri"/>
                <w:color w:val="000000"/>
                <w:sz w:val="20"/>
                <w:szCs w:val="20"/>
              </w:rPr>
            </w:pPr>
            <w:r w:rsidRPr="00D378C7">
              <w:rPr>
                <w:rFonts w:ascii="Calibri" w:hAnsi="Calibri" w:cs="Calibri"/>
                <w:color w:val="000000"/>
                <w:sz w:val="20"/>
                <w:szCs w:val="20"/>
              </w:rPr>
              <w:t>0</w:t>
            </w:r>
          </w:p>
        </w:tc>
        <w:tc>
          <w:tcPr>
            <w:tcW w:w="1103" w:type="pct"/>
            <w:tcBorders>
              <w:top w:val="single" w:sz="4" w:space="0" w:color="auto"/>
              <w:left w:val="single" w:sz="4" w:space="0" w:color="auto"/>
              <w:bottom w:val="single" w:sz="4" w:space="0" w:color="auto"/>
              <w:right w:val="single" w:sz="4" w:space="0" w:color="auto"/>
            </w:tcBorders>
            <w:noWrap/>
            <w:vAlign w:val="bottom"/>
            <w:hideMark/>
          </w:tcPr>
          <w:p w:rsidR="009E35BE" w:rsidRPr="00D378C7" w:rsidRDefault="009E35BE" w:rsidP="00832031">
            <w:pPr>
              <w:spacing w:after="0"/>
              <w:jc w:val="right"/>
              <w:rPr>
                <w:rFonts w:ascii="Calibri" w:hAnsi="Calibri" w:cs="Calibri"/>
                <w:color w:val="000000"/>
                <w:sz w:val="20"/>
                <w:szCs w:val="20"/>
              </w:rPr>
            </w:pPr>
            <w:r w:rsidRPr="00D378C7">
              <w:rPr>
                <w:rFonts w:ascii="Calibri" w:hAnsi="Calibri" w:cs="Calibri"/>
                <w:color w:val="000000"/>
                <w:sz w:val="20"/>
                <w:szCs w:val="20"/>
              </w:rPr>
              <w:t>1</w:t>
            </w:r>
          </w:p>
        </w:tc>
        <w:tc>
          <w:tcPr>
            <w:tcW w:w="1103" w:type="pct"/>
            <w:tcBorders>
              <w:top w:val="single" w:sz="4" w:space="0" w:color="auto"/>
              <w:left w:val="single" w:sz="4" w:space="0" w:color="auto"/>
              <w:bottom w:val="single" w:sz="4" w:space="0" w:color="auto"/>
              <w:right w:val="single" w:sz="4" w:space="0" w:color="auto"/>
            </w:tcBorders>
            <w:noWrap/>
            <w:vAlign w:val="bottom"/>
            <w:hideMark/>
          </w:tcPr>
          <w:p w:rsidR="009E35BE" w:rsidRPr="00D378C7" w:rsidRDefault="009E35BE" w:rsidP="00832031">
            <w:pPr>
              <w:spacing w:after="0"/>
              <w:jc w:val="right"/>
              <w:rPr>
                <w:rFonts w:ascii="Calibri" w:hAnsi="Calibri" w:cs="Calibri"/>
                <w:color w:val="000000"/>
                <w:sz w:val="20"/>
                <w:szCs w:val="20"/>
              </w:rPr>
            </w:pPr>
            <w:r w:rsidRPr="00D378C7">
              <w:rPr>
                <w:rFonts w:ascii="Calibri" w:hAnsi="Calibri" w:cs="Calibri"/>
                <w:color w:val="000000"/>
                <w:sz w:val="20"/>
                <w:szCs w:val="20"/>
              </w:rPr>
              <w:t>-100%</w:t>
            </w:r>
          </w:p>
        </w:tc>
      </w:tr>
      <w:tr w:rsidR="009E35BE" w:rsidRPr="00AE112C" w:rsidTr="00832031">
        <w:tc>
          <w:tcPr>
            <w:tcW w:w="1691" w:type="pct"/>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9E35BE" w:rsidRPr="00D378C7" w:rsidRDefault="009E35BE" w:rsidP="00832031">
            <w:pPr>
              <w:spacing w:after="0"/>
              <w:rPr>
                <w:rFonts w:ascii="Calibri" w:hAnsi="Calibri" w:cs="Calibri"/>
                <w:b/>
                <w:bCs/>
                <w:color w:val="000000"/>
                <w:sz w:val="20"/>
                <w:szCs w:val="20"/>
              </w:rPr>
            </w:pPr>
            <w:r w:rsidRPr="00D378C7">
              <w:rPr>
                <w:rFonts w:ascii="Calibri" w:hAnsi="Calibri" w:cs="Calibri"/>
                <w:b/>
                <w:bCs/>
                <w:color w:val="000000"/>
                <w:sz w:val="20"/>
                <w:szCs w:val="20"/>
              </w:rPr>
              <w:t>Totale complessivo</w:t>
            </w:r>
          </w:p>
        </w:tc>
        <w:tc>
          <w:tcPr>
            <w:tcW w:w="1103" w:type="pct"/>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9E35BE" w:rsidRPr="00D378C7" w:rsidRDefault="009E35BE" w:rsidP="00832031">
            <w:pPr>
              <w:spacing w:after="0"/>
              <w:jc w:val="right"/>
              <w:rPr>
                <w:rFonts w:ascii="Calibri" w:hAnsi="Calibri" w:cs="Calibri"/>
                <w:b/>
                <w:bCs/>
                <w:color w:val="000000"/>
                <w:sz w:val="20"/>
                <w:szCs w:val="20"/>
              </w:rPr>
            </w:pPr>
            <w:r w:rsidRPr="00D378C7">
              <w:rPr>
                <w:rFonts w:ascii="Calibri" w:hAnsi="Calibri" w:cs="Calibri"/>
                <w:b/>
                <w:bCs/>
                <w:color w:val="000000"/>
                <w:sz w:val="20"/>
                <w:szCs w:val="20"/>
              </w:rPr>
              <w:t>532</w:t>
            </w:r>
          </w:p>
        </w:tc>
        <w:tc>
          <w:tcPr>
            <w:tcW w:w="1103" w:type="pct"/>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9E35BE" w:rsidRPr="00D378C7" w:rsidRDefault="009E35BE" w:rsidP="00832031">
            <w:pPr>
              <w:spacing w:after="0"/>
              <w:jc w:val="right"/>
              <w:rPr>
                <w:rFonts w:ascii="Calibri" w:hAnsi="Calibri" w:cs="Calibri"/>
                <w:b/>
                <w:bCs/>
                <w:color w:val="000000"/>
                <w:sz w:val="20"/>
                <w:szCs w:val="20"/>
              </w:rPr>
            </w:pPr>
            <w:r w:rsidRPr="00D378C7">
              <w:rPr>
                <w:rFonts w:ascii="Calibri" w:hAnsi="Calibri" w:cs="Calibri"/>
                <w:b/>
                <w:bCs/>
                <w:color w:val="000000"/>
                <w:sz w:val="20"/>
                <w:szCs w:val="20"/>
              </w:rPr>
              <w:t>384</w:t>
            </w:r>
          </w:p>
        </w:tc>
        <w:tc>
          <w:tcPr>
            <w:tcW w:w="1103" w:type="pct"/>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9E35BE" w:rsidRPr="00D378C7" w:rsidRDefault="009E35BE" w:rsidP="00832031">
            <w:pPr>
              <w:spacing w:after="0"/>
              <w:jc w:val="right"/>
              <w:rPr>
                <w:rFonts w:ascii="Calibri" w:hAnsi="Calibri" w:cs="Calibri"/>
                <w:b/>
                <w:bCs/>
                <w:color w:val="000000"/>
                <w:sz w:val="20"/>
                <w:szCs w:val="20"/>
              </w:rPr>
            </w:pPr>
            <w:r w:rsidRPr="00D378C7">
              <w:rPr>
                <w:rFonts w:ascii="Calibri" w:hAnsi="Calibri" w:cs="Calibri"/>
                <w:b/>
                <w:bCs/>
                <w:color w:val="000000"/>
                <w:sz w:val="20"/>
                <w:szCs w:val="20"/>
              </w:rPr>
              <w:t>16%</w:t>
            </w:r>
          </w:p>
        </w:tc>
      </w:tr>
    </w:tbl>
    <w:p w:rsidR="009E35BE" w:rsidRDefault="009E35BE" w:rsidP="009E35BE">
      <w:pPr>
        <w:jc w:val="both"/>
        <w:rPr>
          <w:sz w:val="20"/>
          <w:szCs w:val="20"/>
        </w:rPr>
      </w:pPr>
      <w:r w:rsidRPr="00712143">
        <w:rPr>
          <w:sz w:val="20"/>
          <w:szCs w:val="20"/>
        </w:rPr>
        <w:t xml:space="preserve">* </w:t>
      </w:r>
      <w:r>
        <w:rPr>
          <w:sz w:val="20"/>
          <w:szCs w:val="20"/>
        </w:rPr>
        <w:t xml:space="preserve">La definizione di δ è stata già proposta in nota </w:t>
      </w:r>
      <w:r w:rsidR="0029619D">
        <w:rPr>
          <w:sz w:val="20"/>
          <w:szCs w:val="20"/>
        </w:rPr>
        <w:t>25</w:t>
      </w:r>
      <w:r>
        <w:rPr>
          <w:sz w:val="20"/>
          <w:szCs w:val="20"/>
        </w:rPr>
        <w:t>.</w:t>
      </w:r>
    </w:p>
    <w:p w:rsidR="009E35BE" w:rsidRDefault="009E35BE" w:rsidP="009E35BE">
      <w:pPr>
        <w:jc w:val="both"/>
      </w:pPr>
      <w:r>
        <w:t xml:space="preserve">La tabella sopra riportata mostra che i valori maggiori di assunzioni e cessazioni appartiene ad Arezzo, seguito da Monte San Savino e Terranova Bracciolini. Tuttavia, il valore di δ (che offre una misura di quanto il </w:t>
      </w:r>
      <w:proofErr w:type="spellStart"/>
      <w:r>
        <w:t>MdL</w:t>
      </w:r>
      <w:proofErr w:type="spellEnd"/>
      <w:r>
        <w:t xml:space="preserve"> locale è resiliente alle perturbazioni) più elevato, fra i Comuni con assunzioni uguali o maggiori di 10, appartiene a Capolona (δ=+67%). Analogamente a quanto fatto per i territori, i dati sugli avviamenti e cessazioni del campione </w:t>
      </w:r>
      <w:proofErr w:type="spellStart"/>
      <w:r>
        <w:t>Ebret</w:t>
      </w:r>
      <w:proofErr w:type="spellEnd"/>
      <w:r>
        <w:t xml:space="preserve"> sono stati disaggregati per nazionalità dei lavoratori.</w:t>
      </w:r>
    </w:p>
    <w:p w:rsidR="009E35BE" w:rsidRDefault="009E35BE" w:rsidP="009E35BE">
      <w:pPr>
        <w:jc w:val="both"/>
        <w:rPr>
          <w:b/>
          <w:sz w:val="20"/>
          <w:szCs w:val="20"/>
        </w:rPr>
      </w:pPr>
      <w:r>
        <w:rPr>
          <w:b/>
          <w:sz w:val="20"/>
          <w:szCs w:val="20"/>
        </w:rPr>
        <w:t>Tab.</w:t>
      </w:r>
      <w:r w:rsidR="0029619D">
        <w:rPr>
          <w:b/>
          <w:sz w:val="20"/>
          <w:szCs w:val="20"/>
        </w:rPr>
        <w:t>3.</w:t>
      </w:r>
      <w:r>
        <w:rPr>
          <w:b/>
          <w:sz w:val="20"/>
          <w:szCs w:val="20"/>
        </w:rPr>
        <w:t>1</w:t>
      </w:r>
      <w:r w:rsidR="0029619D">
        <w:rPr>
          <w:b/>
          <w:sz w:val="20"/>
          <w:szCs w:val="20"/>
        </w:rPr>
        <w:t>9</w:t>
      </w:r>
      <w:r w:rsidRPr="005A154B">
        <w:rPr>
          <w:b/>
          <w:sz w:val="20"/>
          <w:szCs w:val="20"/>
        </w:rPr>
        <w:t xml:space="preserve"> – Distribuzione degli avviamenti e delle cessazioni per </w:t>
      </w:r>
      <w:r>
        <w:rPr>
          <w:b/>
          <w:sz w:val="20"/>
          <w:szCs w:val="20"/>
        </w:rPr>
        <w:t>nazionalità</w:t>
      </w:r>
      <w:r w:rsidRPr="005A154B">
        <w:rPr>
          <w:b/>
          <w:sz w:val="20"/>
          <w:szCs w:val="20"/>
        </w:rPr>
        <w:t xml:space="preserve"> (2011-2015) </w:t>
      </w:r>
      <w:r w:rsidRPr="00ED714C">
        <w:rPr>
          <w:b/>
          <w:sz w:val="20"/>
          <w:szCs w:val="20"/>
        </w:rPr>
        <w:t xml:space="preserve">– aziende campione </w:t>
      </w:r>
      <w:proofErr w:type="spellStart"/>
      <w:r w:rsidRPr="00ED714C">
        <w:rPr>
          <w:b/>
          <w:sz w:val="20"/>
          <w:szCs w:val="20"/>
        </w:rPr>
        <w:t>Ebret</w:t>
      </w:r>
      <w:proofErr w:type="spellEnd"/>
      <w:r>
        <w:rPr>
          <w:b/>
          <w:sz w:val="20"/>
          <w:szCs w:val="20"/>
        </w:rPr>
        <w:t>.</w:t>
      </w:r>
    </w:p>
    <w:tbl>
      <w:tblPr>
        <w:tblW w:w="5000" w:type="pct"/>
        <w:tblCellMar>
          <w:top w:w="15" w:type="dxa"/>
          <w:left w:w="70" w:type="dxa"/>
          <w:bottom w:w="15" w:type="dxa"/>
          <w:right w:w="70" w:type="dxa"/>
        </w:tblCellMar>
        <w:tblLook w:val="04A0" w:firstRow="1" w:lastRow="0" w:firstColumn="1" w:lastColumn="0" w:noHBand="0" w:noVBand="1"/>
      </w:tblPr>
      <w:tblGrid>
        <w:gridCol w:w="2938"/>
        <w:gridCol w:w="2230"/>
        <w:gridCol w:w="2230"/>
        <w:gridCol w:w="2230"/>
      </w:tblGrid>
      <w:tr w:rsidR="009E35BE" w:rsidRPr="00BE230D" w:rsidTr="00832031">
        <w:trPr>
          <w:trHeight w:val="300"/>
        </w:trPr>
        <w:tc>
          <w:tcPr>
            <w:tcW w:w="1526" w:type="pct"/>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9E35BE" w:rsidRPr="00BE230D" w:rsidRDefault="009E35BE" w:rsidP="00832031">
            <w:pPr>
              <w:spacing w:after="0" w:line="240" w:lineRule="auto"/>
              <w:jc w:val="center"/>
              <w:rPr>
                <w:rFonts w:ascii="Calibri" w:eastAsia="Times New Roman" w:hAnsi="Calibri" w:cs="Calibri"/>
                <w:b/>
                <w:bCs/>
                <w:color w:val="000000"/>
                <w:sz w:val="20"/>
                <w:szCs w:val="20"/>
                <w:lang w:eastAsia="it-IT"/>
              </w:rPr>
            </w:pPr>
            <w:r w:rsidRPr="00BE230D">
              <w:rPr>
                <w:rFonts w:ascii="Calibri" w:eastAsia="Times New Roman" w:hAnsi="Calibri" w:cs="Calibri"/>
                <w:b/>
                <w:bCs/>
                <w:color w:val="000000"/>
                <w:sz w:val="20"/>
                <w:szCs w:val="20"/>
                <w:lang w:eastAsia="it-IT"/>
              </w:rPr>
              <w:t>Nazionalità Lavoratore</w:t>
            </w:r>
          </w:p>
        </w:tc>
        <w:tc>
          <w:tcPr>
            <w:tcW w:w="1158" w:type="pct"/>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9E35BE" w:rsidRPr="00BE230D" w:rsidRDefault="009E35BE" w:rsidP="00832031">
            <w:pPr>
              <w:spacing w:after="0" w:line="240" w:lineRule="auto"/>
              <w:jc w:val="center"/>
              <w:rPr>
                <w:rFonts w:ascii="Calibri" w:eastAsia="Times New Roman" w:hAnsi="Calibri" w:cs="Calibri"/>
                <w:b/>
                <w:bCs/>
                <w:color w:val="000000"/>
                <w:sz w:val="20"/>
                <w:szCs w:val="20"/>
                <w:lang w:eastAsia="it-IT"/>
              </w:rPr>
            </w:pPr>
            <w:r w:rsidRPr="00BE230D">
              <w:rPr>
                <w:rFonts w:ascii="Calibri" w:eastAsia="Times New Roman" w:hAnsi="Calibri" w:cs="Calibri"/>
                <w:b/>
                <w:bCs/>
                <w:color w:val="000000"/>
                <w:sz w:val="20"/>
                <w:szCs w:val="20"/>
                <w:lang w:eastAsia="it-IT"/>
              </w:rPr>
              <w:t>Assunzioni</w:t>
            </w:r>
          </w:p>
        </w:tc>
        <w:tc>
          <w:tcPr>
            <w:tcW w:w="1158" w:type="pct"/>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9E35BE" w:rsidRPr="00BE230D" w:rsidRDefault="009E35BE" w:rsidP="00832031">
            <w:pPr>
              <w:spacing w:after="0" w:line="240" w:lineRule="auto"/>
              <w:jc w:val="center"/>
              <w:rPr>
                <w:rFonts w:ascii="Calibri" w:eastAsia="Times New Roman" w:hAnsi="Calibri" w:cs="Calibri"/>
                <w:b/>
                <w:bCs/>
                <w:color w:val="000000"/>
                <w:sz w:val="20"/>
                <w:szCs w:val="20"/>
                <w:lang w:eastAsia="it-IT"/>
              </w:rPr>
            </w:pPr>
            <w:r w:rsidRPr="00BE230D">
              <w:rPr>
                <w:rFonts w:ascii="Calibri" w:eastAsia="Times New Roman" w:hAnsi="Calibri" w:cs="Calibri"/>
                <w:b/>
                <w:bCs/>
                <w:color w:val="000000"/>
                <w:sz w:val="20"/>
                <w:szCs w:val="20"/>
                <w:lang w:eastAsia="it-IT"/>
              </w:rPr>
              <w:t>Cessazioni</w:t>
            </w:r>
          </w:p>
        </w:tc>
        <w:tc>
          <w:tcPr>
            <w:tcW w:w="1158" w:type="pct"/>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9E35BE" w:rsidRPr="00BE230D" w:rsidRDefault="009E35BE" w:rsidP="00832031">
            <w:pPr>
              <w:spacing w:after="0" w:line="240" w:lineRule="auto"/>
              <w:jc w:val="center"/>
              <w:rPr>
                <w:rFonts w:ascii="Calibri" w:eastAsia="Times New Roman" w:hAnsi="Calibri" w:cs="Calibri"/>
                <w:b/>
                <w:bCs/>
                <w:color w:val="000000"/>
                <w:sz w:val="20"/>
                <w:szCs w:val="20"/>
                <w:lang w:eastAsia="it-IT"/>
              </w:rPr>
            </w:pPr>
            <w:proofErr w:type="gramStart"/>
            <w:r w:rsidRPr="00BE230D">
              <w:rPr>
                <w:rFonts w:ascii="Calibri" w:eastAsia="Times New Roman" w:hAnsi="Calibri" w:cs="Calibri"/>
                <w:b/>
                <w:bCs/>
                <w:color w:val="000000"/>
                <w:sz w:val="20"/>
                <w:szCs w:val="20"/>
                <w:lang w:eastAsia="it-IT"/>
              </w:rPr>
              <w:t>δ</w:t>
            </w:r>
            <w:proofErr w:type="gramEnd"/>
            <w:r w:rsidRPr="00BE230D">
              <w:rPr>
                <w:rFonts w:ascii="Calibri" w:eastAsia="Times New Roman" w:hAnsi="Calibri" w:cs="Calibri"/>
                <w:b/>
                <w:bCs/>
                <w:color w:val="000000"/>
                <w:sz w:val="20"/>
                <w:szCs w:val="20"/>
                <w:lang w:eastAsia="it-IT"/>
              </w:rPr>
              <w:t>*</w:t>
            </w:r>
          </w:p>
        </w:tc>
      </w:tr>
      <w:tr w:rsidR="009E35BE" w:rsidRPr="00BE230D" w:rsidTr="00832031">
        <w:trPr>
          <w:trHeight w:val="300"/>
        </w:trPr>
        <w:tc>
          <w:tcPr>
            <w:tcW w:w="1526" w:type="pct"/>
            <w:tcBorders>
              <w:top w:val="single" w:sz="4" w:space="0" w:color="auto"/>
              <w:left w:val="single" w:sz="4" w:space="0" w:color="auto"/>
              <w:bottom w:val="single" w:sz="4" w:space="0" w:color="auto"/>
              <w:right w:val="single" w:sz="4" w:space="0" w:color="auto"/>
            </w:tcBorders>
            <w:noWrap/>
            <w:vAlign w:val="bottom"/>
            <w:hideMark/>
          </w:tcPr>
          <w:p w:rsidR="009E35BE" w:rsidRPr="00BE230D" w:rsidRDefault="009E35BE" w:rsidP="00832031">
            <w:pPr>
              <w:spacing w:after="0"/>
              <w:rPr>
                <w:rFonts w:ascii="Calibri" w:hAnsi="Calibri" w:cs="Calibri"/>
                <w:color w:val="000000"/>
                <w:sz w:val="20"/>
                <w:szCs w:val="20"/>
              </w:rPr>
            </w:pPr>
            <w:r w:rsidRPr="00BE230D">
              <w:rPr>
                <w:rFonts w:ascii="Calibri" w:hAnsi="Calibri" w:cs="Calibri"/>
                <w:color w:val="000000"/>
                <w:sz w:val="20"/>
                <w:szCs w:val="20"/>
              </w:rPr>
              <w:t>ITALIANA</w:t>
            </w:r>
          </w:p>
        </w:tc>
        <w:tc>
          <w:tcPr>
            <w:tcW w:w="1158" w:type="pct"/>
            <w:tcBorders>
              <w:top w:val="single" w:sz="4" w:space="0" w:color="auto"/>
              <w:left w:val="single" w:sz="4" w:space="0" w:color="auto"/>
              <w:bottom w:val="single" w:sz="4" w:space="0" w:color="auto"/>
              <w:right w:val="single" w:sz="4" w:space="0" w:color="auto"/>
            </w:tcBorders>
            <w:noWrap/>
            <w:vAlign w:val="bottom"/>
            <w:hideMark/>
          </w:tcPr>
          <w:p w:rsidR="009E35BE" w:rsidRPr="00BE230D" w:rsidRDefault="009E35BE" w:rsidP="00832031">
            <w:pPr>
              <w:spacing w:after="0"/>
              <w:jc w:val="right"/>
              <w:rPr>
                <w:rFonts w:ascii="Calibri" w:hAnsi="Calibri" w:cs="Calibri"/>
                <w:color w:val="000000"/>
                <w:sz w:val="20"/>
                <w:szCs w:val="20"/>
              </w:rPr>
            </w:pPr>
            <w:r w:rsidRPr="00BE230D">
              <w:rPr>
                <w:rFonts w:ascii="Calibri" w:hAnsi="Calibri" w:cs="Calibri"/>
                <w:color w:val="000000"/>
                <w:sz w:val="20"/>
                <w:szCs w:val="20"/>
              </w:rPr>
              <w:t>242</w:t>
            </w:r>
          </w:p>
        </w:tc>
        <w:tc>
          <w:tcPr>
            <w:tcW w:w="1158" w:type="pct"/>
            <w:tcBorders>
              <w:top w:val="single" w:sz="4" w:space="0" w:color="auto"/>
              <w:left w:val="single" w:sz="4" w:space="0" w:color="auto"/>
              <w:bottom w:val="single" w:sz="4" w:space="0" w:color="auto"/>
              <w:right w:val="single" w:sz="4" w:space="0" w:color="auto"/>
            </w:tcBorders>
            <w:noWrap/>
            <w:vAlign w:val="bottom"/>
            <w:hideMark/>
          </w:tcPr>
          <w:p w:rsidR="009E35BE" w:rsidRPr="00BE230D" w:rsidRDefault="009E35BE" w:rsidP="00832031">
            <w:pPr>
              <w:spacing w:after="0"/>
              <w:jc w:val="right"/>
              <w:rPr>
                <w:rFonts w:ascii="Calibri" w:hAnsi="Calibri" w:cs="Calibri"/>
                <w:color w:val="000000"/>
                <w:sz w:val="20"/>
                <w:szCs w:val="20"/>
              </w:rPr>
            </w:pPr>
            <w:r w:rsidRPr="00BE230D">
              <w:rPr>
                <w:rFonts w:ascii="Calibri" w:hAnsi="Calibri" w:cs="Calibri"/>
                <w:color w:val="000000"/>
                <w:sz w:val="20"/>
                <w:szCs w:val="20"/>
              </w:rPr>
              <w:t>156</w:t>
            </w:r>
          </w:p>
        </w:tc>
        <w:tc>
          <w:tcPr>
            <w:tcW w:w="1158" w:type="pct"/>
            <w:tcBorders>
              <w:top w:val="single" w:sz="4" w:space="0" w:color="auto"/>
              <w:left w:val="single" w:sz="4" w:space="0" w:color="auto"/>
              <w:bottom w:val="single" w:sz="4" w:space="0" w:color="auto"/>
              <w:right w:val="single" w:sz="4" w:space="0" w:color="auto"/>
            </w:tcBorders>
            <w:noWrap/>
            <w:vAlign w:val="bottom"/>
            <w:hideMark/>
          </w:tcPr>
          <w:p w:rsidR="009E35BE" w:rsidRPr="00BE230D" w:rsidRDefault="009E35BE" w:rsidP="00832031">
            <w:pPr>
              <w:spacing w:after="0"/>
              <w:jc w:val="right"/>
              <w:rPr>
                <w:rFonts w:ascii="Calibri" w:hAnsi="Calibri" w:cs="Calibri"/>
                <w:color w:val="000000"/>
                <w:sz w:val="20"/>
                <w:szCs w:val="20"/>
              </w:rPr>
            </w:pPr>
            <w:r w:rsidRPr="00BE230D">
              <w:rPr>
                <w:rFonts w:ascii="Calibri" w:hAnsi="Calibri" w:cs="Calibri"/>
                <w:color w:val="000000"/>
                <w:sz w:val="20"/>
                <w:szCs w:val="20"/>
              </w:rPr>
              <w:t>22%</w:t>
            </w:r>
          </w:p>
        </w:tc>
      </w:tr>
      <w:tr w:rsidR="009E35BE" w:rsidRPr="00BE230D" w:rsidTr="00832031">
        <w:trPr>
          <w:trHeight w:val="300"/>
        </w:trPr>
        <w:tc>
          <w:tcPr>
            <w:tcW w:w="1526" w:type="pct"/>
            <w:tcBorders>
              <w:top w:val="single" w:sz="4" w:space="0" w:color="auto"/>
              <w:left w:val="single" w:sz="4" w:space="0" w:color="auto"/>
              <w:bottom w:val="single" w:sz="4" w:space="0" w:color="auto"/>
              <w:right w:val="single" w:sz="4" w:space="0" w:color="auto"/>
            </w:tcBorders>
            <w:noWrap/>
            <w:vAlign w:val="bottom"/>
            <w:hideMark/>
          </w:tcPr>
          <w:p w:rsidR="009E35BE" w:rsidRPr="00BE230D" w:rsidRDefault="009E35BE" w:rsidP="00832031">
            <w:pPr>
              <w:spacing w:after="0"/>
              <w:rPr>
                <w:rFonts w:ascii="Calibri" w:hAnsi="Calibri" w:cs="Calibri"/>
                <w:color w:val="000000"/>
                <w:sz w:val="20"/>
                <w:szCs w:val="20"/>
              </w:rPr>
            </w:pPr>
            <w:r w:rsidRPr="00BE230D">
              <w:rPr>
                <w:rFonts w:ascii="Calibri" w:hAnsi="Calibri" w:cs="Calibri"/>
                <w:color w:val="000000"/>
                <w:sz w:val="20"/>
                <w:szCs w:val="20"/>
              </w:rPr>
              <w:t>PACHISTANA</w:t>
            </w:r>
          </w:p>
        </w:tc>
        <w:tc>
          <w:tcPr>
            <w:tcW w:w="1158" w:type="pct"/>
            <w:tcBorders>
              <w:top w:val="single" w:sz="4" w:space="0" w:color="auto"/>
              <w:left w:val="single" w:sz="4" w:space="0" w:color="auto"/>
              <w:bottom w:val="single" w:sz="4" w:space="0" w:color="auto"/>
              <w:right w:val="single" w:sz="4" w:space="0" w:color="auto"/>
            </w:tcBorders>
            <w:noWrap/>
            <w:vAlign w:val="bottom"/>
            <w:hideMark/>
          </w:tcPr>
          <w:p w:rsidR="009E35BE" w:rsidRPr="00BE230D" w:rsidRDefault="009E35BE" w:rsidP="00832031">
            <w:pPr>
              <w:spacing w:after="0"/>
              <w:jc w:val="right"/>
              <w:rPr>
                <w:rFonts w:ascii="Calibri" w:hAnsi="Calibri" w:cs="Calibri"/>
                <w:color w:val="000000"/>
                <w:sz w:val="20"/>
                <w:szCs w:val="20"/>
              </w:rPr>
            </w:pPr>
            <w:r w:rsidRPr="00BE230D">
              <w:rPr>
                <w:rFonts w:ascii="Calibri" w:hAnsi="Calibri" w:cs="Calibri"/>
                <w:color w:val="000000"/>
                <w:sz w:val="20"/>
                <w:szCs w:val="20"/>
              </w:rPr>
              <w:t>167</w:t>
            </w:r>
          </w:p>
        </w:tc>
        <w:tc>
          <w:tcPr>
            <w:tcW w:w="1158" w:type="pct"/>
            <w:tcBorders>
              <w:top w:val="single" w:sz="4" w:space="0" w:color="auto"/>
              <w:left w:val="single" w:sz="4" w:space="0" w:color="auto"/>
              <w:bottom w:val="single" w:sz="4" w:space="0" w:color="auto"/>
              <w:right w:val="single" w:sz="4" w:space="0" w:color="auto"/>
            </w:tcBorders>
            <w:noWrap/>
            <w:vAlign w:val="bottom"/>
            <w:hideMark/>
          </w:tcPr>
          <w:p w:rsidR="009E35BE" w:rsidRPr="00BE230D" w:rsidRDefault="009E35BE" w:rsidP="00832031">
            <w:pPr>
              <w:spacing w:after="0"/>
              <w:jc w:val="right"/>
              <w:rPr>
                <w:rFonts w:ascii="Calibri" w:hAnsi="Calibri" w:cs="Calibri"/>
                <w:color w:val="000000"/>
                <w:sz w:val="20"/>
                <w:szCs w:val="20"/>
              </w:rPr>
            </w:pPr>
            <w:r w:rsidRPr="00BE230D">
              <w:rPr>
                <w:rFonts w:ascii="Calibri" w:hAnsi="Calibri" w:cs="Calibri"/>
                <w:color w:val="000000"/>
                <w:sz w:val="20"/>
                <w:szCs w:val="20"/>
              </w:rPr>
              <w:t>134</w:t>
            </w:r>
          </w:p>
        </w:tc>
        <w:tc>
          <w:tcPr>
            <w:tcW w:w="1158" w:type="pct"/>
            <w:tcBorders>
              <w:top w:val="single" w:sz="4" w:space="0" w:color="auto"/>
              <w:left w:val="single" w:sz="4" w:space="0" w:color="auto"/>
              <w:bottom w:val="single" w:sz="4" w:space="0" w:color="auto"/>
              <w:right w:val="single" w:sz="4" w:space="0" w:color="auto"/>
            </w:tcBorders>
            <w:noWrap/>
            <w:vAlign w:val="bottom"/>
            <w:hideMark/>
          </w:tcPr>
          <w:p w:rsidR="009E35BE" w:rsidRPr="00BE230D" w:rsidRDefault="009E35BE" w:rsidP="00832031">
            <w:pPr>
              <w:spacing w:after="0"/>
              <w:jc w:val="right"/>
              <w:rPr>
                <w:rFonts w:ascii="Calibri" w:hAnsi="Calibri" w:cs="Calibri"/>
                <w:color w:val="000000"/>
                <w:sz w:val="20"/>
                <w:szCs w:val="20"/>
              </w:rPr>
            </w:pPr>
            <w:r w:rsidRPr="00BE230D">
              <w:rPr>
                <w:rFonts w:ascii="Calibri" w:hAnsi="Calibri" w:cs="Calibri"/>
                <w:color w:val="000000"/>
                <w:sz w:val="20"/>
                <w:szCs w:val="20"/>
              </w:rPr>
              <w:t>11%</w:t>
            </w:r>
          </w:p>
        </w:tc>
      </w:tr>
      <w:tr w:rsidR="009E35BE" w:rsidRPr="00BE230D" w:rsidTr="00832031">
        <w:trPr>
          <w:trHeight w:val="300"/>
        </w:trPr>
        <w:tc>
          <w:tcPr>
            <w:tcW w:w="1526" w:type="pct"/>
            <w:tcBorders>
              <w:top w:val="single" w:sz="4" w:space="0" w:color="auto"/>
              <w:left w:val="single" w:sz="4" w:space="0" w:color="auto"/>
              <w:bottom w:val="single" w:sz="4" w:space="0" w:color="auto"/>
              <w:right w:val="single" w:sz="4" w:space="0" w:color="auto"/>
            </w:tcBorders>
            <w:noWrap/>
            <w:vAlign w:val="bottom"/>
            <w:hideMark/>
          </w:tcPr>
          <w:p w:rsidR="009E35BE" w:rsidRPr="00BE230D" w:rsidRDefault="009E35BE" w:rsidP="00832031">
            <w:pPr>
              <w:spacing w:after="0"/>
              <w:rPr>
                <w:rFonts w:ascii="Calibri" w:hAnsi="Calibri" w:cs="Calibri"/>
                <w:color w:val="000000"/>
                <w:sz w:val="20"/>
                <w:szCs w:val="20"/>
              </w:rPr>
            </w:pPr>
            <w:r w:rsidRPr="00BE230D">
              <w:rPr>
                <w:rFonts w:ascii="Calibri" w:hAnsi="Calibri" w:cs="Calibri"/>
                <w:color w:val="000000"/>
                <w:sz w:val="20"/>
                <w:szCs w:val="20"/>
              </w:rPr>
              <w:t>BANGLADESE</w:t>
            </w:r>
          </w:p>
        </w:tc>
        <w:tc>
          <w:tcPr>
            <w:tcW w:w="1158" w:type="pct"/>
            <w:tcBorders>
              <w:top w:val="single" w:sz="4" w:space="0" w:color="auto"/>
              <w:left w:val="single" w:sz="4" w:space="0" w:color="auto"/>
              <w:bottom w:val="single" w:sz="4" w:space="0" w:color="auto"/>
              <w:right w:val="single" w:sz="4" w:space="0" w:color="auto"/>
            </w:tcBorders>
            <w:noWrap/>
            <w:vAlign w:val="bottom"/>
            <w:hideMark/>
          </w:tcPr>
          <w:p w:rsidR="009E35BE" w:rsidRPr="00BE230D" w:rsidRDefault="009E35BE" w:rsidP="00832031">
            <w:pPr>
              <w:spacing w:after="0"/>
              <w:jc w:val="right"/>
              <w:rPr>
                <w:rFonts w:ascii="Calibri" w:hAnsi="Calibri" w:cs="Calibri"/>
                <w:color w:val="000000"/>
                <w:sz w:val="20"/>
                <w:szCs w:val="20"/>
              </w:rPr>
            </w:pPr>
            <w:r w:rsidRPr="00BE230D">
              <w:rPr>
                <w:rFonts w:ascii="Calibri" w:hAnsi="Calibri" w:cs="Calibri"/>
                <w:color w:val="000000"/>
                <w:sz w:val="20"/>
                <w:szCs w:val="20"/>
              </w:rPr>
              <w:t>75</w:t>
            </w:r>
          </w:p>
        </w:tc>
        <w:tc>
          <w:tcPr>
            <w:tcW w:w="1158" w:type="pct"/>
            <w:tcBorders>
              <w:top w:val="single" w:sz="4" w:space="0" w:color="auto"/>
              <w:left w:val="single" w:sz="4" w:space="0" w:color="auto"/>
              <w:bottom w:val="single" w:sz="4" w:space="0" w:color="auto"/>
              <w:right w:val="single" w:sz="4" w:space="0" w:color="auto"/>
            </w:tcBorders>
            <w:noWrap/>
            <w:vAlign w:val="bottom"/>
            <w:hideMark/>
          </w:tcPr>
          <w:p w:rsidR="009E35BE" w:rsidRPr="00BE230D" w:rsidRDefault="009E35BE" w:rsidP="00832031">
            <w:pPr>
              <w:spacing w:after="0"/>
              <w:jc w:val="right"/>
              <w:rPr>
                <w:rFonts w:ascii="Calibri" w:hAnsi="Calibri" w:cs="Calibri"/>
                <w:color w:val="000000"/>
                <w:sz w:val="20"/>
                <w:szCs w:val="20"/>
              </w:rPr>
            </w:pPr>
            <w:r w:rsidRPr="00BE230D">
              <w:rPr>
                <w:rFonts w:ascii="Calibri" w:hAnsi="Calibri" w:cs="Calibri"/>
                <w:color w:val="000000"/>
                <w:sz w:val="20"/>
                <w:szCs w:val="20"/>
              </w:rPr>
              <w:t>50</w:t>
            </w:r>
          </w:p>
        </w:tc>
        <w:tc>
          <w:tcPr>
            <w:tcW w:w="1158" w:type="pct"/>
            <w:tcBorders>
              <w:top w:val="single" w:sz="4" w:space="0" w:color="auto"/>
              <w:left w:val="single" w:sz="4" w:space="0" w:color="auto"/>
              <w:bottom w:val="single" w:sz="4" w:space="0" w:color="auto"/>
              <w:right w:val="single" w:sz="4" w:space="0" w:color="auto"/>
            </w:tcBorders>
            <w:noWrap/>
            <w:vAlign w:val="bottom"/>
            <w:hideMark/>
          </w:tcPr>
          <w:p w:rsidR="009E35BE" w:rsidRPr="00BE230D" w:rsidRDefault="009E35BE" w:rsidP="00832031">
            <w:pPr>
              <w:spacing w:after="0"/>
              <w:jc w:val="right"/>
              <w:rPr>
                <w:rFonts w:ascii="Calibri" w:hAnsi="Calibri" w:cs="Calibri"/>
                <w:color w:val="000000"/>
                <w:sz w:val="20"/>
                <w:szCs w:val="20"/>
              </w:rPr>
            </w:pPr>
            <w:r w:rsidRPr="00BE230D">
              <w:rPr>
                <w:rFonts w:ascii="Calibri" w:hAnsi="Calibri" w:cs="Calibri"/>
                <w:color w:val="000000"/>
                <w:sz w:val="20"/>
                <w:szCs w:val="20"/>
              </w:rPr>
              <w:t>20%</w:t>
            </w:r>
          </w:p>
        </w:tc>
      </w:tr>
      <w:tr w:rsidR="009E35BE" w:rsidRPr="00BE230D" w:rsidTr="00832031">
        <w:trPr>
          <w:trHeight w:val="300"/>
        </w:trPr>
        <w:tc>
          <w:tcPr>
            <w:tcW w:w="1526" w:type="pct"/>
            <w:tcBorders>
              <w:top w:val="single" w:sz="4" w:space="0" w:color="auto"/>
              <w:left w:val="single" w:sz="4" w:space="0" w:color="auto"/>
              <w:bottom w:val="single" w:sz="4" w:space="0" w:color="auto"/>
              <w:right w:val="single" w:sz="4" w:space="0" w:color="auto"/>
            </w:tcBorders>
            <w:noWrap/>
            <w:vAlign w:val="bottom"/>
            <w:hideMark/>
          </w:tcPr>
          <w:p w:rsidR="009E35BE" w:rsidRPr="00BE230D" w:rsidRDefault="009E35BE" w:rsidP="00832031">
            <w:pPr>
              <w:spacing w:after="0"/>
              <w:rPr>
                <w:rFonts w:ascii="Calibri" w:hAnsi="Calibri" w:cs="Calibri"/>
                <w:color w:val="000000"/>
                <w:sz w:val="20"/>
                <w:szCs w:val="20"/>
              </w:rPr>
            </w:pPr>
            <w:r w:rsidRPr="00BE230D">
              <w:rPr>
                <w:rFonts w:ascii="Calibri" w:hAnsi="Calibri" w:cs="Calibri"/>
                <w:color w:val="000000"/>
                <w:sz w:val="20"/>
                <w:szCs w:val="20"/>
              </w:rPr>
              <w:t>INDIANA</w:t>
            </w:r>
          </w:p>
        </w:tc>
        <w:tc>
          <w:tcPr>
            <w:tcW w:w="1158" w:type="pct"/>
            <w:tcBorders>
              <w:top w:val="single" w:sz="4" w:space="0" w:color="auto"/>
              <w:left w:val="single" w:sz="4" w:space="0" w:color="auto"/>
              <w:bottom w:val="single" w:sz="4" w:space="0" w:color="auto"/>
              <w:right w:val="single" w:sz="4" w:space="0" w:color="auto"/>
            </w:tcBorders>
            <w:noWrap/>
            <w:vAlign w:val="bottom"/>
            <w:hideMark/>
          </w:tcPr>
          <w:p w:rsidR="009E35BE" w:rsidRPr="00BE230D" w:rsidRDefault="009E35BE" w:rsidP="00832031">
            <w:pPr>
              <w:spacing w:after="0"/>
              <w:jc w:val="right"/>
              <w:rPr>
                <w:rFonts w:ascii="Calibri" w:hAnsi="Calibri" w:cs="Calibri"/>
                <w:color w:val="000000"/>
                <w:sz w:val="20"/>
                <w:szCs w:val="20"/>
              </w:rPr>
            </w:pPr>
            <w:r w:rsidRPr="00BE230D">
              <w:rPr>
                <w:rFonts w:ascii="Calibri" w:hAnsi="Calibri" w:cs="Calibri"/>
                <w:color w:val="000000"/>
                <w:sz w:val="20"/>
                <w:szCs w:val="20"/>
              </w:rPr>
              <w:t>29</w:t>
            </w:r>
          </w:p>
        </w:tc>
        <w:tc>
          <w:tcPr>
            <w:tcW w:w="1158" w:type="pct"/>
            <w:tcBorders>
              <w:top w:val="single" w:sz="4" w:space="0" w:color="auto"/>
              <w:left w:val="single" w:sz="4" w:space="0" w:color="auto"/>
              <w:bottom w:val="single" w:sz="4" w:space="0" w:color="auto"/>
              <w:right w:val="single" w:sz="4" w:space="0" w:color="auto"/>
            </w:tcBorders>
            <w:noWrap/>
            <w:vAlign w:val="bottom"/>
            <w:hideMark/>
          </w:tcPr>
          <w:p w:rsidR="009E35BE" w:rsidRPr="00BE230D" w:rsidRDefault="009E35BE" w:rsidP="00832031">
            <w:pPr>
              <w:spacing w:after="0"/>
              <w:jc w:val="right"/>
              <w:rPr>
                <w:rFonts w:ascii="Calibri" w:hAnsi="Calibri" w:cs="Calibri"/>
                <w:color w:val="000000"/>
                <w:sz w:val="20"/>
                <w:szCs w:val="20"/>
              </w:rPr>
            </w:pPr>
            <w:r w:rsidRPr="00BE230D">
              <w:rPr>
                <w:rFonts w:ascii="Calibri" w:hAnsi="Calibri" w:cs="Calibri"/>
                <w:color w:val="000000"/>
                <w:sz w:val="20"/>
                <w:szCs w:val="20"/>
              </w:rPr>
              <w:t>24</w:t>
            </w:r>
          </w:p>
        </w:tc>
        <w:tc>
          <w:tcPr>
            <w:tcW w:w="1158" w:type="pct"/>
            <w:tcBorders>
              <w:top w:val="single" w:sz="4" w:space="0" w:color="auto"/>
              <w:left w:val="single" w:sz="4" w:space="0" w:color="auto"/>
              <w:bottom w:val="single" w:sz="4" w:space="0" w:color="auto"/>
              <w:right w:val="single" w:sz="4" w:space="0" w:color="auto"/>
            </w:tcBorders>
            <w:noWrap/>
            <w:vAlign w:val="bottom"/>
            <w:hideMark/>
          </w:tcPr>
          <w:p w:rsidR="009E35BE" w:rsidRPr="00BE230D" w:rsidRDefault="009E35BE" w:rsidP="00832031">
            <w:pPr>
              <w:spacing w:after="0"/>
              <w:jc w:val="right"/>
              <w:rPr>
                <w:rFonts w:ascii="Calibri" w:hAnsi="Calibri" w:cs="Calibri"/>
                <w:color w:val="000000"/>
                <w:sz w:val="20"/>
                <w:szCs w:val="20"/>
              </w:rPr>
            </w:pPr>
            <w:r w:rsidRPr="00BE230D">
              <w:rPr>
                <w:rFonts w:ascii="Calibri" w:hAnsi="Calibri" w:cs="Calibri"/>
                <w:color w:val="000000"/>
                <w:sz w:val="20"/>
                <w:szCs w:val="20"/>
              </w:rPr>
              <w:t>9%</w:t>
            </w:r>
          </w:p>
        </w:tc>
      </w:tr>
      <w:tr w:rsidR="009E35BE" w:rsidRPr="00BE230D" w:rsidTr="00832031">
        <w:trPr>
          <w:trHeight w:val="300"/>
        </w:trPr>
        <w:tc>
          <w:tcPr>
            <w:tcW w:w="1526" w:type="pct"/>
            <w:tcBorders>
              <w:top w:val="single" w:sz="4" w:space="0" w:color="auto"/>
              <w:left w:val="single" w:sz="4" w:space="0" w:color="auto"/>
              <w:bottom w:val="single" w:sz="4" w:space="0" w:color="auto"/>
              <w:right w:val="single" w:sz="4" w:space="0" w:color="auto"/>
            </w:tcBorders>
            <w:noWrap/>
            <w:vAlign w:val="bottom"/>
            <w:hideMark/>
          </w:tcPr>
          <w:p w:rsidR="009E35BE" w:rsidRPr="00BE230D" w:rsidRDefault="009E35BE" w:rsidP="00832031">
            <w:pPr>
              <w:spacing w:after="0"/>
              <w:rPr>
                <w:rFonts w:ascii="Calibri" w:hAnsi="Calibri" w:cs="Calibri"/>
                <w:color w:val="000000"/>
                <w:sz w:val="20"/>
                <w:szCs w:val="20"/>
              </w:rPr>
            </w:pPr>
            <w:r w:rsidRPr="00BE230D">
              <w:rPr>
                <w:rFonts w:ascii="Calibri" w:hAnsi="Calibri" w:cs="Calibri"/>
                <w:color w:val="000000"/>
                <w:sz w:val="20"/>
                <w:szCs w:val="20"/>
              </w:rPr>
              <w:t>ROMENA</w:t>
            </w:r>
          </w:p>
        </w:tc>
        <w:tc>
          <w:tcPr>
            <w:tcW w:w="1158" w:type="pct"/>
            <w:tcBorders>
              <w:top w:val="single" w:sz="4" w:space="0" w:color="auto"/>
              <w:left w:val="single" w:sz="4" w:space="0" w:color="auto"/>
              <w:bottom w:val="single" w:sz="4" w:space="0" w:color="auto"/>
              <w:right w:val="single" w:sz="4" w:space="0" w:color="auto"/>
            </w:tcBorders>
            <w:noWrap/>
            <w:vAlign w:val="bottom"/>
            <w:hideMark/>
          </w:tcPr>
          <w:p w:rsidR="009E35BE" w:rsidRPr="00BE230D" w:rsidRDefault="009E35BE" w:rsidP="00832031">
            <w:pPr>
              <w:spacing w:after="0"/>
              <w:jc w:val="right"/>
              <w:rPr>
                <w:rFonts w:ascii="Calibri" w:hAnsi="Calibri" w:cs="Calibri"/>
                <w:color w:val="000000"/>
                <w:sz w:val="20"/>
                <w:szCs w:val="20"/>
              </w:rPr>
            </w:pPr>
            <w:r w:rsidRPr="00BE230D">
              <w:rPr>
                <w:rFonts w:ascii="Calibri" w:hAnsi="Calibri" w:cs="Calibri"/>
                <w:color w:val="000000"/>
                <w:sz w:val="20"/>
                <w:szCs w:val="20"/>
              </w:rPr>
              <w:t>8</w:t>
            </w:r>
          </w:p>
        </w:tc>
        <w:tc>
          <w:tcPr>
            <w:tcW w:w="1158" w:type="pct"/>
            <w:tcBorders>
              <w:top w:val="single" w:sz="4" w:space="0" w:color="auto"/>
              <w:left w:val="single" w:sz="4" w:space="0" w:color="auto"/>
              <w:bottom w:val="single" w:sz="4" w:space="0" w:color="auto"/>
              <w:right w:val="single" w:sz="4" w:space="0" w:color="auto"/>
            </w:tcBorders>
            <w:noWrap/>
            <w:vAlign w:val="bottom"/>
            <w:hideMark/>
          </w:tcPr>
          <w:p w:rsidR="009E35BE" w:rsidRPr="00BE230D" w:rsidRDefault="009E35BE" w:rsidP="00832031">
            <w:pPr>
              <w:spacing w:after="0"/>
              <w:jc w:val="right"/>
              <w:rPr>
                <w:rFonts w:ascii="Calibri" w:hAnsi="Calibri" w:cs="Calibri"/>
                <w:color w:val="000000"/>
                <w:sz w:val="20"/>
                <w:szCs w:val="20"/>
              </w:rPr>
            </w:pPr>
            <w:r w:rsidRPr="00BE230D">
              <w:rPr>
                <w:rFonts w:ascii="Calibri" w:hAnsi="Calibri" w:cs="Calibri"/>
                <w:color w:val="000000"/>
                <w:sz w:val="20"/>
                <w:szCs w:val="20"/>
              </w:rPr>
              <w:t>8</w:t>
            </w:r>
          </w:p>
        </w:tc>
        <w:tc>
          <w:tcPr>
            <w:tcW w:w="1158" w:type="pct"/>
            <w:tcBorders>
              <w:top w:val="single" w:sz="4" w:space="0" w:color="auto"/>
              <w:left w:val="single" w:sz="4" w:space="0" w:color="auto"/>
              <w:bottom w:val="single" w:sz="4" w:space="0" w:color="auto"/>
              <w:right w:val="single" w:sz="4" w:space="0" w:color="auto"/>
            </w:tcBorders>
            <w:noWrap/>
            <w:vAlign w:val="bottom"/>
            <w:hideMark/>
          </w:tcPr>
          <w:p w:rsidR="009E35BE" w:rsidRPr="00BE230D" w:rsidRDefault="009E35BE" w:rsidP="00832031">
            <w:pPr>
              <w:spacing w:after="0"/>
              <w:jc w:val="right"/>
              <w:rPr>
                <w:rFonts w:ascii="Calibri" w:hAnsi="Calibri" w:cs="Calibri"/>
                <w:color w:val="000000"/>
                <w:sz w:val="20"/>
                <w:szCs w:val="20"/>
              </w:rPr>
            </w:pPr>
            <w:r w:rsidRPr="00BE230D">
              <w:rPr>
                <w:rFonts w:ascii="Calibri" w:hAnsi="Calibri" w:cs="Calibri"/>
                <w:color w:val="000000"/>
                <w:sz w:val="20"/>
                <w:szCs w:val="20"/>
              </w:rPr>
              <w:t>0%</w:t>
            </w:r>
          </w:p>
        </w:tc>
      </w:tr>
      <w:tr w:rsidR="009E35BE" w:rsidRPr="00BE230D" w:rsidTr="00832031">
        <w:trPr>
          <w:trHeight w:val="300"/>
        </w:trPr>
        <w:tc>
          <w:tcPr>
            <w:tcW w:w="1526" w:type="pct"/>
            <w:tcBorders>
              <w:top w:val="single" w:sz="4" w:space="0" w:color="auto"/>
              <w:left w:val="single" w:sz="4" w:space="0" w:color="auto"/>
              <w:bottom w:val="single" w:sz="4" w:space="0" w:color="auto"/>
              <w:right w:val="single" w:sz="4" w:space="0" w:color="auto"/>
            </w:tcBorders>
            <w:noWrap/>
            <w:vAlign w:val="bottom"/>
            <w:hideMark/>
          </w:tcPr>
          <w:p w:rsidR="009E35BE" w:rsidRPr="00BE230D" w:rsidRDefault="009E35BE" w:rsidP="00832031">
            <w:pPr>
              <w:spacing w:after="0"/>
              <w:rPr>
                <w:rFonts w:ascii="Calibri" w:hAnsi="Calibri" w:cs="Calibri"/>
                <w:color w:val="000000"/>
                <w:sz w:val="20"/>
                <w:szCs w:val="20"/>
              </w:rPr>
            </w:pPr>
            <w:r w:rsidRPr="00BE230D">
              <w:rPr>
                <w:rFonts w:ascii="Calibri" w:hAnsi="Calibri" w:cs="Calibri"/>
                <w:color w:val="000000"/>
                <w:sz w:val="20"/>
                <w:szCs w:val="20"/>
              </w:rPr>
              <w:t>ALBANESE</w:t>
            </w:r>
          </w:p>
        </w:tc>
        <w:tc>
          <w:tcPr>
            <w:tcW w:w="1158" w:type="pct"/>
            <w:tcBorders>
              <w:top w:val="single" w:sz="4" w:space="0" w:color="auto"/>
              <w:left w:val="single" w:sz="4" w:space="0" w:color="auto"/>
              <w:bottom w:val="single" w:sz="4" w:space="0" w:color="auto"/>
              <w:right w:val="single" w:sz="4" w:space="0" w:color="auto"/>
            </w:tcBorders>
            <w:noWrap/>
            <w:vAlign w:val="bottom"/>
            <w:hideMark/>
          </w:tcPr>
          <w:p w:rsidR="009E35BE" w:rsidRPr="00BE230D" w:rsidRDefault="009E35BE" w:rsidP="00832031">
            <w:pPr>
              <w:spacing w:after="0"/>
              <w:jc w:val="right"/>
              <w:rPr>
                <w:rFonts w:ascii="Calibri" w:hAnsi="Calibri" w:cs="Calibri"/>
                <w:color w:val="000000"/>
                <w:sz w:val="20"/>
                <w:szCs w:val="20"/>
              </w:rPr>
            </w:pPr>
            <w:r w:rsidRPr="00BE230D">
              <w:rPr>
                <w:rFonts w:ascii="Calibri" w:hAnsi="Calibri" w:cs="Calibri"/>
                <w:color w:val="000000"/>
                <w:sz w:val="20"/>
                <w:szCs w:val="20"/>
              </w:rPr>
              <w:t>4</w:t>
            </w:r>
          </w:p>
        </w:tc>
        <w:tc>
          <w:tcPr>
            <w:tcW w:w="1158" w:type="pct"/>
            <w:tcBorders>
              <w:top w:val="single" w:sz="4" w:space="0" w:color="auto"/>
              <w:left w:val="single" w:sz="4" w:space="0" w:color="auto"/>
              <w:bottom w:val="single" w:sz="4" w:space="0" w:color="auto"/>
              <w:right w:val="single" w:sz="4" w:space="0" w:color="auto"/>
            </w:tcBorders>
            <w:noWrap/>
            <w:vAlign w:val="bottom"/>
            <w:hideMark/>
          </w:tcPr>
          <w:p w:rsidR="009E35BE" w:rsidRPr="00BE230D" w:rsidRDefault="009E35BE" w:rsidP="00832031">
            <w:pPr>
              <w:spacing w:after="0"/>
              <w:jc w:val="right"/>
              <w:rPr>
                <w:rFonts w:ascii="Calibri" w:hAnsi="Calibri" w:cs="Calibri"/>
                <w:color w:val="000000"/>
                <w:sz w:val="20"/>
                <w:szCs w:val="20"/>
              </w:rPr>
            </w:pPr>
            <w:r w:rsidRPr="00BE230D">
              <w:rPr>
                <w:rFonts w:ascii="Calibri" w:hAnsi="Calibri" w:cs="Calibri"/>
                <w:color w:val="000000"/>
                <w:sz w:val="20"/>
                <w:szCs w:val="20"/>
              </w:rPr>
              <w:t>5</w:t>
            </w:r>
          </w:p>
        </w:tc>
        <w:tc>
          <w:tcPr>
            <w:tcW w:w="1158" w:type="pct"/>
            <w:tcBorders>
              <w:top w:val="single" w:sz="4" w:space="0" w:color="auto"/>
              <w:left w:val="single" w:sz="4" w:space="0" w:color="auto"/>
              <w:bottom w:val="single" w:sz="4" w:space="0" w:color="auto"/>
              <w:right w:val="single" w:sz="4" w:space="0" w:color="auto"/>
            </w:tcBorders>
            <w:noWrap/>
            <w:vAlign w:val="bottom"/>
            <w:hideMark/>
          </w:tcPr>
          <w:p w:rsidR="009E35BE" w:rsidRPr="00BE230D" w:rsidRDefault="009E35BE" w:rsidP="00832031">
            <w:pPr>
              <w:spacing w:after="0"/>
              <w:jc w:val="right"/>
              <w:rPr>
                <w:rFonts w:ascii="Calibri" w:hAnsi="Calibri" w:cs="Calibri"/>
                <w:color w:val="000000"/>
                <w:sz w:val="20"/>
                <w:szCs w:val="20"/>
              </w:rPr>
            </w:pPr>
            <w:r w:rsidRPr="00BE230D">
              <w:rPr>
                <w:rFonts w:ascii="Calibri" w:hAnsi="Calibri" w:cs="Calibri"/>
                <w:color w:val="000000"/>
                <w:sz w:val="20"/>
                <w:szCs w:val="20"/>
              </w:rPr>
              <w:t>-11%</w:t>
            </w:r>
          </w:p>
        </w:tc>
      </w:tr>
      <w:tr w:rsidR="009E35BE" w:rsidRPr="00BE230D" w:rsidTr="00832031">
        <w:trPr>
          <w:trHeight w:val="300"/>
        </w:trPr>
        <w:tc>
          <w:tcPr>
            <w:tcW w:w="1526" w:type="pct"/>
            <w:tcBorders>
              <w:top w:val="single" w:sz="4" w:space="0" w:color="auto"/>
              <w:left w:val="single" w:sz="4" w:space="0" w:color="auto"/>
              <w:bottom w:val="single" w:sz="4" w:space="0" w:color="auto"/>
              <w:right w:val="single" w:sz="4" w:space="0" w:color="auto"/>
            </w:tcBorders>
            <w:noWrap/>
            <w:vAlign w:val="bottom"/>
            <w:hideMark/>
          </w:tcPr>
          <w:p w:rsidR="009E35BE" w:rsidRPr="00BE230D" w:rsidRDefault="009E35BE" w:rsidP="00832031">
            <w:pPr>
              <w:spacing w:after="0"/>
              <w:rPr>
                <w:rFonts w:ascii="Calibri" w:hAnsi="Calibri" w:cs="Calibri"/>
                <w:color w:val="000000"/>
                <w:sz w:val="20"/>
                <w:szCs w:val="20"/>
              </w:rPr>
            </w:pPr>
            <w:r w:rsidRPr="00BE230D">
              <w:rPr>
                <w:rFonts w:ascii="Calibri" w:hAnsi="Calibri" w:cs="Calibri"/>
                <w:color w:val="000000"/>
                <w:sz w:val="20"/>
                <w:szCs w:val="20"/>
              </w:rPr>
              <w:t>MAROCCHINA</w:t>
            </w:r>
          </w:p>
        </w:tc>
        <w:tc>
          <w:tcPr>
            <w:tcW w:w="1158" w:type="pct"/>
            <w:tcBorders>
              <w:top w:val="single" w:sz="4" w:space="0" w:color="auto"/>
              <w:left w:val="single" w:sz="4" w:space="0" w:color="auto"/>
              <w:bottom w:val="single" w:sz="4" w:space="0" w:color="auto"/>
              <w:right w:val="single" w:sz="4" w:space="0" w:color="auto"/>
            </w:tcBorders>
            <w:noWrap/>
            <w:vAlign w:val="bottom"/>
            <w:hideMark/>
          </w:tcPr>
          <w:p w:rsidR="009E35BE" w:rsidRPr="00BE230D" w:rsidRDefault="009E35BE" w:rsidP="00832031">
            <w:pPr>
              <w:spacing w:after="0"/>
              <w:jc w:val="right"/>
              <w:rPr>
                <w:rFonts w:ascii="Calibri" w:hAnsi="Calibri" w:cs="Calibri"/>
                <w:color w:val="000000"/>
                <w:sz w:val="20"/>
                <w:szCs w:val="20"/>
              </w:rPr>
            </w:pPr>
            <w:r w:rsidRPr="00BE230D">
              <w:rPr>
                <w:rFonts w:ascii="Calibri" w:hAnsi="Calibri" w:cs="Calibri"/>
                <w:color w:val="000000"/>
                <w:sz w:val="20"/>
                <w:szCs w:val="20"/>
              </w:rPr>
              <w:t>3</w:t>
            </w:r>
          </w:p>
        </w:tc>
        <w:tc>
          <w:tcPr>
            <w:tcW w:w="1158" w:type="pct"/>
            <w:tcBorders>
              <w:top w:val="single" w:sz="4" w:space="0" w:color="auto"/>
              <w:left w:val="single" w:sz="4" w:space="0" w:color="auto"/>
              <w:bottom w:val="single" w:sz="4" w:space="0" w:color="auto"/>
              <w:right w:val="single" w:sz="4" w:space="0" w:color="auto"/>
            </w:tcBorders>
            <w:noWrap/>
            <w:vAlign w:val="bottom"/>
            <w:hideMark/>
          </w:tcPr>
          <w:p w:rsidR="009E35BE" w:rsidRPr="00BE230D" w:rsidRDefault="009E35BE" w:rsidP="00832031">
            <w:pPr>
              <w:spacing w:after="0"/>
              <w:jc w:val="right"/>
              <w:rPr>
                <w:rFonts w:ascii="Calibri" w:hAnsi="Calibri" w:cs="Calibri"/>
                <w:color w:val="000000"/>
                <w:sz w:val="20"/>
                <w:szCs w:val="20"/>
              </w:rPr>
            </w:pPr>
            <w:r w:rsidRPr="00BE230D">
              <w:rPr>
                <w:rFonts w:ascii="Calibri" w:hAnsi="Calibri" w:cs="Calibri"/>
                <w:color w:val="000000"/>
                <w:sz w:val="20"/>
                <w:szCs w:val="20"/>
              </w:rPr>
              <w:t>2</w:t>
            </w:r>
          </w:p>
        </w:tc>
        <w:tc>
          <w:tcPr>
            <w:tcW w:w="1158" w:type="pct"/>
            <w:tcBorders>
              <w:top w:val="single" w:sz="4" w:space="0" w:color="auto"/>
              <w:left w:val="single" w:sz="4" w:space="0" w:color="auto"/>
              <w:bottom w:val="single" w:sz="4" w:space="0" w:color="auto"/>
              <w:right w:val="single" w:sz="4" w:space="0" w:color="auto"/>
            </w:tcBorders>
            <w:noWrap/>
            <w:vAlign w:val="bottom"/>
            <w:hideMark/>
          </w:tcPr>
          <w:p w:rsidR="009E35BE" w:rsidRPr="00BE230D" w:rsidRDefault="009E35BE" w:rsidP="00832031">
            <w:pPr>
              <w:spacing w:after="0"/>
              <w:jc w:val="right"/>
              <w:rPr>
                <w:rFonts w:ascii="Calibri" w:hAnsi="Calibri" w:cs="Calibri"/>
                <w:color w:val="000000"/>
                <w:sz w:val="20"/>
                <w:szCs w:val="20"/>
              </w:rPr>
            </w:pPr>
            <w:r w:rsidRPr="00BE230D">
              <w:rPr>
                <w:rFonts w:ascii="Calibri" w:hAnsi="Calibri" w:cs="Calibri"/>
                <w:color w:val="000000"/>
                <w:sz w:val="20"/>
                <w:szCs w:val="20"/>
              </w:rPr>
              <w:t>20%</w:t>
            </w:r>
          </w:p>
        </w:tc>
      </w:tr>
      <w:tr w:rsidR="009E35BE" w:rsidRPr="00BE230D" w:rsidTr="00832031">
        <w:trPr>
          <w:trHeight w:val="300"/>
        </w:trPr>
        <w:tc>
          <w:tcPr>
            <w:tcW w:w="1526" w:type="pct"/>
            <w:tcBorders>
              <w:top w:val="single" w:sz="4" w:space="0" w:color="auto"/>
              <w:left w:val="single" w:sz="4" w:space="0" w:color="auto"/>
              <w:bottom w:val="single" w:sz="4" w:space="0" w:color="auto"/>
              <w:right w:val="single" w:sz="4" w:space="0" w:color="auto"/>
            </w:tcBorders>
            <w:noWrap/>
            <w:vAlign w:val="bottom"/>
            <w:hideMark/>
          </w:tcPr>
          <w:p w:rsidR="009E35BE" w:rsidRPr="00BE230D" w:rsidRDefault="009E35BE" w:rsidP="00832031">
            <w:pPr>
              <w:spacing w:after="0"/>
              <w:rPr>
                <w:rFonts w:ascii="Calibri" w:hAnsi="Calibri" w:cs="Calibri"/>
                <w:color w:val="000000"/>
                <w:sz w:val="20"/>
                <w:szCs w:val="20"/>
              </w:rPr>
            </w:pPr>
            <w:r w:rsidRPr="00BE230D">
              <w:rPr>
                <w:rFonts w:ascii="Calibri" w:hAnsi="Calibri" w:cs="Calibri"/>
                <w:color w:val="000000"/>
                <w:sz w:val="20"/>
                <w:szCs w:val="20"/>
              </w:rPr>
              <w:t>CAMERUNENSE</w:t>
            </w:r>
          </w:p>
        </w:tc>
        <w:tc>
          <w:tcPr>
            <w:tcW w:w="1158" w:type="pct"/>
            <w:tcBorders>
              <w:top w:val="single" w:sz="4" w:space="0" w:color="auto"/>
              <w:left w:val="single" w:sz="4" w:space="0" w:color="auto"/>
              <w:bottom w:val="single" w:sz="4" w:space="0" w:color="auto"/>
              <w:right w:val="single" w:sz="4" w:space="0" w:color="auto"/>
            </w:tcBorders>
            <w:noWrap/>
            <w:vAlign w:val="bottom"/>
            <w:hideMark/>
          </w:tcPr>
          <w:p w:rsidR="009E35BE" w:rsidRPr="00BE230D" w:rsidRDefault="009E35BE" w:rsidP="00832031">
            <w:pPr>
              <w:spacing w:after="0"/>
              <w:jc w:val="right"/>
              <w:rPr>
                <w:rFonts w:ascii="Calibri" w:hAnsi="Calibri" w:cs="Calibri"/>
                <w:color w:val="000000"/>
                <w:sz w:val="20"/>
                <w:szCs w:val="20"/>
              </w:rPr>
            </w:pPr>
            <w:r w:rsidRPr="00BE230D">
              <w:rPr>
                <w:rFonts w:ascii="Calibri" w:hAnsi="Calibri" w:cs="Calibri"/>
                <w:color w:val="000000"/>
                <w:sz w:val="20"/>
                <w:szCs w:val="20"/>
              </w:rPr>
              <w:t>1</w:t>
            </w:r>
          </w:p>
        </w:tc>
        <w:tc>
          <w:tcPr>
            <w:tcW w:w="1158" w:type="pct"/>
            <w:tcBorders>
              <w:top w:val="single" w:sz="4" w:space="0" w:color="auto"/>
              <w:left w:val="single" w:sz="4" w:space="0" w:color="auto"/>
              <w:bottom w:val="single" w:sz="4" w:space="0" w:color="auto"/>
              <w:right w:val="single" w:sz="4" w:space="0" w:color="auto"/>
            </w:tcBorders>
            <w:noWrap/>
            <w:vAlign w:val="bottom"/>
            <w:hideMark/>
          </w:tcPr>
          <w:p w:rsidR="009E35BE" w:rsidRPr="00BE230D" w:rsidRDefault="009E35BE" w:rsidP="00832031">
            <w:pPr>
              <w:spacing w:after="0"/>
              <w:jc w:val="right"/>
              <w:rPr>
                <w:rFonts w:ascii="Calibri" w:hAnsi="Calibri" w:cs="Calibri"/>
                <w:color w:val="000000"/>
                <w:sz w:val="20"/>
                <w:szCs w:val="20"/>
              </w:rPr>
            </w:pPr>
            <w:r w:rsidRPr="00BE230D">
              <w:rPr>
                <w:rFonts w:ascii="Calibri" w:hAnsi="Calibri" w:cs="Calibri"/>
                <w:color w:val="000000"/>
                <w:sz w:val="20"/>
                <w:szCs w:val="20"/>
              </w:rPr>
              <w:t>0</w:t>
            </w:r>
          </w:p>
        </w:tc>
        <w:tc>
          <w:tcPr>
            <w:tcW w:w="1158" w:type="pct"/>
            <w:tcBorders>
              <w:top w:val="single" w:sz="4" w:space="0" w:color="auto"/>
              <w:left w:val="single" w:sz="4" w:space="0" w:color="auto"/>
              <w:bottom w:val="single" w:sz="4" w:space="0" w:color="auto"/>
              <w:right w:val="single" w:sz="4" w:space="0" w:color="auto"/>
            </w:tcBorders>
            <w:noWrap/>
            <w:vAlign w:val="bottom"/>
            <w:hideMark/>
          </w:tcPr>
          <w:p w:rsidR="009E35BE" w:rsidRPr="00BE230D" w:rsidRDefault="009E35BE" w:rsidP="00832031">
            <w:pPr>
              <w:spacing w:after="0"/>
              <w:jc w:val="right"/>
              <w:rPr>
                <w:rFonts w:ascii="Calibri" w:hAnsi="Calibri" w:cs="Calibri"/>
                <w:color w:val="000000"/>
                <w:sz w:val="20"/>
                <w:szCs w:val="20"/>
              </w:rPr>
            </w:pPr>
            <w:r w:rsidRPr="00BE230D">
              <w:rPr>
                <w:rFonts w:ascii="Calibri" w:hAnsi="Calibri" w:cs="Calibri"/>
                <w:color w:val="000000"/>
                <w:sz w:val="20"/>
                <w:szCs w:val="20"/>
              </w:rPr>
              <w:t>100%</w:t>
            </w:r>
          </w:p>
        </w:tc>
      </w:tr>
      <w:tr w:rsidR="009E35BE" w:rsidRPr="00BE230D" w:rsidTr="00832031">
        <w:trPr>
          <w:trHeight w:val="300"/>
        </w:trPr>
        <w:tc>
          <w:tcPr>
            <w:tcW w:w="1526" w:type="pct"/>
            <w:tcBorders>
              <w:top w:val="single" w:sz="4" w:space="0" w:color="auto"/>
              <w:left w:val="single" w:sz="4" w:space="0" w:color="auto"/>
              <w:bottom w:val="single" w:sz="4" w:space="0" w:color="auto"/>
              <w:right w:val="single" w:sz="4" w:space="0" w:color="auto"/>
            </w:tcBorders>
            <w:noWrap/>
            <w:vAlign w:val="bottom"/>
            <w:hideMark/>
          </w:tcPr>
          <w:p w:rsidR="009E35BE" w:rsidRPr="00BE230D" w:rsidRDefault="009E35BE" w:rsidP="00832031">
            <w:pPr>
              <w:spacing w:after="0"/>
              <w:rPr>
                <w:rFonts w:ascii="Calibri" w:hAnsi="Calibri" w:cs="Calibri"/>
                <w:color w:val="000000"/>
                <w:sz w:val="20"/>
                <w:szCs w:val="20"/>
              </w:rPr>
            </w:pPr>
            <w:r w:rsidRPr="00BE230D">
              <w:rPr>
                <w:rFonts w:ascii="Calibri" w:hAnsi="Calibri" w:cs="Calibri"/>
                <w:color w:val="000000"/>
                <w:sz w:val="20"/>
                <w:szCs w:val="20"/>
              </w:rPr>
              <w:t>EMIRATINA</w:t>
            </w:r>
          </w:p>
        </w:tc>
        <w:tc>
          <w:tcPr>
            <w:tcW w:w="1158" w:type="pct"/>
            <w:tcBorders>
              <w:top w:val="single" w:sz="4" w:space="0" w:color="auto"/>
              <w:left w:val="single" w:sz="4" w:space="0" w:color="auto"/>
              <w:bottom w:val="single" w:sz="4" w:space="0" w:color="auto"/>
              <w:right w:val="single" w:sz="4" w:space="0" w:color="auto"/>
            </w:tcBorders>
            <w:noWrap/>
            <w:vAlign w:val="bottom"/>
            <w:hideMark/>
          </w:tcPr>
          <w:p w:rsidR="009E35BE" w:rsidRPr="00BE230D" w:rsidRDefault="009E35BE" w:rsidP="00832031">
            <w:pPr>
              <w:spacing w:after="0"/>
              <w:jc w:val="right"/>
              <w:rPr>
                <w:rFonts w:ascii="Calibri" w:hAnsi="Calibri" w:cs="Calibri"/>
                <w:color w:val="000000"/>
                <w:sz w:val="20"/>
                <w:szCs w:val="20"/>
              </w:rPr>
            </w:pPr>
            <w:r w:rsidRPr="00BE230D">
              <w:rPr>
                <w:rFonts w:ascii="Calibri" w:hAnsi="Calibri" w:cs="Calibri"/>
                <w:color w:val="000000"/>
                <w:sz w:val="20"/>
                <w:szCs w:val="20"/>
              </w:rPr>
              <w:t>1</w:t>
            </w:r>
          </w:p>
        </w:tc>
        <w:tc>
          <w:tcPr>
            <w:tcW w:w="1158" w:type="pct"/>
            <w:tcBorders>
              <w:top w:val="single" w:sz="4" w:space="0" w:color="auto"/>
              <w:left w:val="single" w:sz="4" w:space="0" w:color="auto"/>
              <w:bottom w:val="single" w:sz="4" w:space="0" w:color="auto"/>
              <w:right w:val="single" w:sz="4" w:space="0" w:color="auto"/>
            </w:tcBorders>
            <w:noWrap/>
            <w:vAlign w:val="bottom"/>
            <w:hideMark/>
          </w:tcPr>
          <w:p w:rsidR="009E35BE" w:rsidRPr="00BE230D" w:rsidRDefault="009E35BE" w:rsidP="00832031">
            <w:pPr>
              <w:spacing w:after="0"/>
              <w:jc w:val="right"/>
              <w:rPr>
                <w:rFonts w:ascii="Calibri" w:hAnsi="Calibri" w:cs="Calibri"/>
                <w:color w:val="000000"/>
                <w:sz w:val="20"/>
                <w:szCs w:val="20"/>
              </w:rPr>
            </w:pPr>
            <w:r w:rsidRPr="00BE230D">
              <w:rPr>
                <w:rFonts w:ascii="Calibri" w:hAnsi="Calibri" w:cs="Calibri"/>
                <w:color w:val="000000"/>
                <w:sz w:val="20"/>
                <w:szCs w:val="20"/>
              </w:rPr>
              <w:t>1</w:t>
            </w:r>
          </w:p>
        </w:tc>
        <w:tc>
          <w:tcPr>
            <w:tcW w:w="1158" w:type="pct"/>
            <w:tcBorders>
              <w:top w:val="single" w:sz="4" w:space="0" w:color="auto"/>
              <w:left w:val="single" w:sz="4" w:space="0" w:color="auto"/>
              <w:bottom w:val="single" w:sz="4" w:space="0" w:color="auto"/>
              <w:right w:val="single" w:sz="4" w:space="0" w:color="auto"/>
            </w:tcBorders>
            <w:noWrap/>
            <w:vAlign w:val="bottom"/>
            <w:hideMark/>
          </w:tcPr>
          <w:p w:rsidR="009E35BE" w:rsidRPr="00BE230D" w:rsidRDefault="009E35BE" w:rsidP="00832031">
            <w:pPr>
              <w:spacing w:after="0"/>
              <w:jc w:val="right"/>
              <w:rPr>
                <w:rFonts w:ascii="Calibri" w:hAnsi="Calibri" w:cs="Calibri"/>
                <w:color w:val="000000"/>
                <w:sz w:val="20"/>
                <w:szCs w:val="20"/>
              </w:rPr>
            </w:pPr>
            <w:r w:rsidRPr="00BE230D">
              <w:rPr>
                <w:rFonts w:ascii="Calibri" w:hAnsi="Calibri" w:cs="Calibri"/>
                <w:color w:val="000000"/>
                <w:sz w:val="20"/>
                <w:szCs w:val="20"/>
              </w:rPr>
              <w:t>0%</w:t>
            </w:r>
          </w:p>
        </w:tc>
      </w:tr>
      <w:tr w:rsidR="009E35BE" w:rsidRPr="00BE230D" w:rsidTr="00832031">
        <w:trPr>
          <w:trHeight w:val="300"/>
        </w:trPr>
        <w:tc>
          <w:tcPr>
            <w:tcW w:w="1526" w:type="pct"/>
            <w:tcBorders>
              <w:top w:val="single" w:sz="4" w:space="0" w:color="auto"/>
              <w:left w:val="single" w:sz="4" w:space="0" w:color="auto"/>
              <w:bottom w:val="single" w:sz="4" w:space="0" w:color="auto"/>
              <w:right w:val="single" w:sz="4" w:space="0" w:color="auto"/>
            </w:tcBorders>
            <w:noWrap/>
            <w:vAlign w:val="bottom"/>
            <w:hideMark/>
          </w:tcPr>
          <w:p w:rsidR="009E35BE" w:rsidRPr="00BE230D" w:rsidRDefault="009E35BE" w:rsidP="00832031">
            <w:pPr>
              <w:spacing w:after="0"/>
              <w:rPr>
                <w:rFonts w:ascii="Calibri" w:hAnsi="Calibri" w:cs="Calibri"/>
                <w:color w:val="000000"/>
                <w:sz w:val="20"/>
                <w:szCs w:val="20"/>
              </w:rPr>
            </w:pPr>
            <w:r w:rsidRPr="00BE230D">
              <w:rPr>
                <w:rFonts w:ascii="Calibri" w:hAnsi="Calibri" w:cs="Calibri"/>
                <w:color w:val="000000"/>
                <w:sz w:val="20"/>
                <w:szCs w:val="20"/>
              </w:rPr>
              <w:t>PERUVIANA</w:t>
            </w:r>
          </w:p>
        </w:tc>
        <w:tc>
          <w:tcPr>
            <w:tcW w:w="1158" w:type="pct"/>
            <w:tcBorders>
              <w:top w:val="single" w:sz="4" w:space="0" w:color="auto"/>
              <w:left w:val="single" w:sz="4" w:space="0" w:color="auto"/>
              <w:bottom w:val="single" w:sz="4" w:space="0" w:color="auto"/>
              <w:right w:val="single" w:sz="4" w:space="0" w:color="auto"/>
            </w:tcBorders>
            <w:noWrap/>
            <w:vAlign w:val="bottom"/>
            <w:hideMark/>
          </w:tcPr>
          <w:p w:rsidR="009E35BE" w:rsidRPr="00BE230D" w:rsidRDefault="009E35BE" w:rsidP="00832031">
            <w:pPr>
              <w:spacing w:after="0"/>
              <w:jc w:val="right"/>
              <w:rPr>
                <w:rFonts w:ascii="Calibri" w:hAnsi="Calibri" w:cs="Calibri"/>
                <w:color w:val="000000"/>
                <w:sz w:val="20"/>
                <w:szCs w:val="20"/>
              </w:rPr>
            </w:pPr>
            <w:r w:rsidRPr="00BE230D">
              <w:rPr>
                <w:rFonts w:ascii="Calibri" w:hAnsi="Calibri" w:cs="Calibri"/>
                <w:color w:val="000000"/>
                <w:sz w:val="20"/>
                <w:szCs w:val="20"/>
              </w:rPr>
              <w:t>1</w:t>
            </w:r>
          </w:p>
        </w:tc>
        <w:tc>
          <w:tcPr>
            <w:tcW w:w="1158" w:type="pct"/>
            <w:tcBorders>
              <w:top w:val="single" w:sz="4" w:space="0" w:color="auto"/>
              <w:left w:val="single" w:sz="4" w:space="0" w:color="auto"/>
              <w:bottom w:val="single" w:sz="4" w:space="0" w:color="auto"/>
              <w:right w:val="single" w:sz="4" w:space="0" w:color="auto"/>
            </w:tcBorders>
            <w:noWrap/>
            <w:vAlign w:val="bottom"/>
            <w:hideMark/>
          </w:tcPr>
          <w:p w:rsidR="009E35BE" w:rsidRPr="00BE230D" w:rsidRDefault="009E35BE" w:rsidP="00832031">
            <w:pPr>
              <w:spacing w:after="0"/>
              <w:jc w:val="right"/>
              <w:rPr>
                <w:rFonts w:ascii="Calibri" w:hAnsi="Calibri" w:cs="Calibri"/>
                <w:color w:val="000000"/>
                <w:sz w:val="20"/>
                <w:szCs w:val="20"/>
              </w:rPr>
            </w:pPr>
            <w:r w:rsidRPr="00BE230D">
              <w:rPr>
                <w:rFonts w:ascii="Calibri" w:hAnsi="Calibri" w:cs="Calibri"/>
                <w:color w:val="000000"/>
                <w:sz w:val="20"/>
                <w:szCs w:val="20"/>
              </w:rPr>
              <w:t>0</w:t>
            </w:r>
          </w:p>
        </w:tc>
        <w:tc>
          <w:tcPr>
            <w:tcW w:w="1158" w:type="pct"/>
            <w:tcBorders>
              <w:top w:val="single" w:sz="4" w:space="0" w:color="auto"/>
              <w:left w:val="single" w:sz="4" w:space="0" w:color="auto"/>
              <w:bottom w:val="single" w:sz="4" w:space="0" w:color="auto"/>
              <w:right w:val="single" w:sz="4" w:space="0" w:color="auto"/>
            </w:tcBorders>
            <w:noWrap/>
            <w:vAlign w:val="bottom"/>
            <w:hideMark/>
          </w:tcPr>
          <w:p w:rsidR="009E35BE" w:rsidRPr="00BE230D" w:rsidRDefault="009E35BE" w:rsidP="00832031">
            <w:pPr>
              <w:spacing w:after="0"/>
              <w:jc w:val="right"/>
              <w:rPr>
                <w:rFonts w:ascii="Calibri" w:hAnsi="Calibri" w:cs="Calibri"/>
                <w:color w:val="000000"/>
                <w:sz w:val="20"/>
                <w:szCs w:val="20"/>
              </w:rPr>
            </w:pPr>
            <w:r w:rsidRPr="00BE230D">
              <w:rPr>
                <w:rFonts w:ascii="Calibri" w:hAnsi="Calibri" w:cs="Calibri"/>
                <w:color w:val="000000"/>
                <w:sz w:val="20"/>
                <w:szCs w:val="20"/>
              </w:rPr>
              <w:t>100%</w:t>
            </w:r>
          </w:p>
        </w:tc>
      </w:tr>
      <w:tr w:rsidR="009E35BE" w:rsidRPr="00BE230D" w:rsidTr="00832031">
        <w:trPr>
          <w:trHeight w:val="300"/>
        </w:trPr>
        <w:tc>
          <w:tcPr>
            <w:tcW w:w="1526" w:type="pct"/>
            <w:tcBorders>
              <w:top w:val="single" w:sz="4" w:space="0" w:color="auto"/>
              <w:left w:val="single" w:sz="4" w:space="0" w:color="auto"/>
              <w:bottom w:val="single" w:sz="4" w:space="0" w:color="auto"/>
              <w:right w:val="single" w:sz="4" w:space="0" w:color="auto"/>
            </w:tcBorders>
            <w:noWrap/>
            <w:vAlign w:val="bottom"/>
            <w:hideMark/>
          </w:tcPr>
          <w:p w:rsidR="009E35BE" w:rsidRPr="00BE230D" w:rsidRDefault="009E35BE" w:rsidP="00832031">
            <w:pPr>
              <w:spacing w:after="0"/>
              <w:rPr>
                <w:rFonts w:ascii="Calibri" w:hAnsi="Calibri" w:cs="Calibri"/>
                <w:color w:val="000000"/>
                <w:sz w:val="20"/>
                <w:szCs w:val="20"/>
              </w:rPr>
            </w:pPr>
            <w:r w:rsidRPr="00BE230D">
              <w:rPr>
                <w:rFonts w:ascii="Calibri" w:hAnsi="Calibri" w:cs="Calibri"/>
                <w:color w:val="000000"/>
                <w:sz w:val="20"/>
                <w:szCs w:val="20"/>
              </w:rPr>
              <w:t>POLACCA</w:t>
            </w:r>
          </w:p>
        </w:tc>
        <w:tc>
          <w:tcPr>
            <w:tcW w:w="1158" w:type="pct"/>
            <w:tcBorders>
              <w:top w:val="single" w:sz="4" w:space="0" w:color="auto"/>
              <w:left w:val="single" w:sz="4" w:space="0" w:color="auto"/>
              <w:bottom w:val="single" w:sz="4" w:space="0" w:color="auto"/>
              <w:right w:val="single" w:sz="4" w:space="0" w:color="auto"/>
            </w:tcBorders>
            <w:noWrap/>
            <w:vAlign w:val="bottom"/>
            <w:hideMark/>
          </w:tcPr>
          <w:p w:rsidR="009E35BE" w:rsidRPr="00BE230D" w:rsidRDefault="009E35BE" w:rsidP="00832031">
            <w:pPr>
              <w:spacing w:after="0"/>
              <w:jc w:val="right"/>
              <w:rPr>
                <w:rFonts w:ascii="Calibri" w:hAnsi="Calibri" w:cs="Calibri"/>
                <w:color w:val="000000"/>
                <w:sz w:val="20"/>
                <w:szCs w:val="20"/>
              </w:rPr>
            </w:pPr>
            <w:r w:rsidRPr="00BE230D">
              <w:rPr>
                <w:rFonts w:ascii="Calibri" w:hAnsi="Calibri" w:cs="Calibri"/>
                <w:color w:val="000000"/>
                <w:sz w:val="20"/>
                <w:szCs w:val="20"/>
              </w:rPr>
              <w:t>1</w:t>
            </w:r>
          </w:p>
        </w:tc>
        <w:tc>
          <w:tcPr>
            <w:tcW w:w="1158" w:type="pct"/>
            <w:tcBorders>
              <w:top w:val="single" w:sz="4" w:space="0" w:color="auto"/>
              <w:left w:val="single" w:sz="4" w:space="0" w:color="auto"/>
              <w:bottom w:val="single" w:sz="4" w:space="0" w:color="auto"/>
              <w:right w:val="single" w:sz="4" w:space="0" w:color="auto"/>
            </w:tcBorders>
            <w:noWrap/>
            <w:vAlign w:val="bottom"/>
            <w:hideMark/>
          </w:tcPr>
          <w:p w:rsidR="009E35BE" w:rsidRPr="00BE230D" w:rsidRDefault="009E35BE" w:rsidP="00832031">
            <w:pPr>
              <w:spacing w:after="0"/>
              <w:jc w:val="right"/>
              <w:rPr>
                <w:rFonts w:ascii="Calibri" w:hAnsi="Calibri" w:cs="Calibri"/>
                <w:color w:val="000000"/>
                <w:sz w:val="20"/>
                <w:szCs w:val="20"/>
              </w:rPr>
            </w:pPr>
            <w:r w:rsidRPr="00BE230D">
              <w:rPr>
                <w:rFonts w:ascii="Calibri" w:hAnsi="Calibri" w:cs="Calibri"/>
                <w:color w:val="000000"/>
                <w:sz w:val="20"/>
                <w:szCs w:val="20"/>
              </w:rPr>
              <w:t>1</w:t>
            </w:r>
          </w:p>
        </w:tc>
        <w:tc>
          <w:tcPr>
            <w:tcW w:w="1158" w:type="pct"/>
            <w:tcBorders>
              <w:top w:val="single" w:sz="4" w:space="0" w:color="auto"/>
              <w:left w:val="single" w:sz="4" w:space="0" w:color="auto"/>
              <w:bottom w:val="single" w:sz="4" w:space="0" w:color="auto"/>
              <w:right w:val="single" w:sz="4" w:space="0" w:color="auto"/>
            </w:tcBorders>
            <w:noWrap/>
            <w:vAlign w:val="bottom"/>
            <w:hideMark/>
          </w:tcPr>
          <w:p w:rsidR="009E35BE" w:rsidRPr="00BE230D" w:rsidRDefault="009E35BE" w:rsidP="00832031">
            <w:pPr>
              <w:spacing w:after="0"/>
              <w:jc w:val="right"/>
              <w:rPr>
                <w:rFonts w:ascii="Calibri" w:hAnsi="Calibri" w:cs="Calibri"/>
                <w:color w:val="000000"/>
                <w:sz w:val="20"/>
                <w:szCs w:val="20"/>
              </w:rPr>
            </w:pPr>
            <w:r w:rsidRPr="00BE230D">
              <w:rPr>
                <w:rFonts w:ascii="Calibri" w:hAnsi="Calibri" w:cs="Calibri"/>
                <w:color w:val="000000"/>
                <w:sz w:val="20"/>
                <w:szCs w:val="20"/>
              </w:rPr>
              <w:t>0%</w:t>
            </w:r>
          </w:p>
        </w:tc>
      </w:tr>
      <w:tr w:rsidR="009E35BE" w:rsidRPr="00BE230D" w:rsidTr="00832031">
        <w:trPr>
          <w:trHeight w:val="300"/>
        </w:trPr>
        <w:tc>
          <w:tcPr>
            <w:tcW w:w="1526" w:type="pct"/>
            <w:tcBorders>
              <w:top w:val="single" w:sz="4" w:space="0" w:color="auto"/>
              <w:left w:val="single" w:sz="4" w:space="0" w:color="auto"/>
              <w:bottom w:val="single" w:sz="4" w:space="0" w:color="auto"/>
              <w:right w:val="single" w:sz="4" w:space="0" w:color="auto"/>
            </w:tcBorders>
            <w:noWrap/>
            <w:vAlign w:val="bottom"/>
            <w:hideMark/>
          </w:tcPr>
          <w:p w:rsidR="009E35BE" w:rsidRPr="00BE230D" w:rsidRDefault="009E35BE" w:rsidP="00832031">
            <w:pPr>
              <w:spacing w:after="0"/>
              <w:rPr>
                <w:rFonts w:ascii="Calibri" w:hAnsi="Calibri" w:cs="Calibri"/>
                <w:color w:val="000000"/>
                <w:sz w:val="20"/>
                <w:szCs w:val="20"/>
              </w:rPr>
            </w:pPr>
            <w:r w:rsidRPr="00BE230D">
              <w:rPr>
                <w:rFonts w:ascii="Calibri" w:hAnsi="Calibri" w:cs="Calibri"/>
                <w:color w:val="000000"/>
                <w:sz w:val="20"/>
                <w:szCs w:val="20"/>
              </w:rPr>
              <w:t>CINESE</w:t>
            </w:r>
          </w:p>
        </w:tc>
        <w:tc>
          <w:tcPr>
            <w:tcW w:w="1158" w:type="pct"/>
            <w:tcBorders>
              <w:top w:val="single" w:sz="4" w:space="0" w:color="auto"/>
              <w:left w:val="single" w:sz="4" w:space="0" w:color="auto"/>
              <w:bottom w:val="single" w:sz="4" w:space="0" w:color="auto"/>
              <w:right w:val="single" w:sz="4" w:space="0" w:color="auto"/>
            </w:tcBorders>
            <w:noWrap/>
            <w:vAlign w:val="bottom"/>
            <w:hideMark/>
          </w:tcPr>
          <w:p w:rsidR="009E35BE" w:rsidRPr="00BE230D" w:rsidRDefault="009E35BE" w:rsidP="00832031">
            <w:pPr>
              <w:spacing w:after="0"/>
              <w:jc w:val="right"/>
              <w:rPr>
                <w:rFonts w:ascii="Calibri" w:hAnsi="Calibri" w:cs="Calibri"/>
                <w:color w:val="000000"/>
                <w:sz w:val="20"/>
                <w:szCs w:val="20"/>
              </w:rPr>
            </w:pPr>
            <w:r>
              <w:rPr>
                <w:rFonts w:ascii="Calibri" w:hAnsi="Calibri" w:cs="Calibri"/>
                <w:color w:val="000000"/>
                <w:sz w:val="20"/>
                <w:szCs w:val="20"/>
              </w:rPr>
              <w:t>0</w:t>
            </w:r>
          </w:p>
        </w:tc>
        <w:tc>
          <w:tcPr>
            <w:tcW w:w="1158" w:type="pct"/>
            <w:tcBorders>
              <w:top w:val="single" w:sz="4" w:space="0" w:color="auto"/>
              <w:left w:val="single" w:sz="4" w:space="0" w:color="auto"/>
              <w:bottom w:val="single" w:sz="4" w:space="0" w:color="auto"/>
              <w:right w:val="single" w:sz="4" w:space="0" w:color="auto"/>
            </w:tcBorders>
            <w:noWrap/>
            <w:vAlign w:val="bottom"/>
            <w:hideMark/>
          </w:tcPr>
          <w:p w:rsidR="009E35BE" w:rsidRPr="00BE230D" w:rsidRDefault="009E35BE" w:rsidP="00832031">
            <w:pPr>
              <w:spacing w:after="0"/>
              <w:jc w:val="right"/>
              <w:rPr>
                <w:rFonts w:ascii="Calibri" w:hAnsi="Calibri" w:cs="Calibri"/>
                <w:color w:val="000000"/>
                <w:sz w:val="20"/>
                <w:szCs w:val="20"/>
              </w:rPr>
            </w:pPr>
            <w:r w:rsidRPr="00BE230D">
              <w:rPr>
                <w:rFonts w:ascii="Calibri" w:hAnsi="Calibri" w:cs="Calibri"/>
                <w:color w:val="000000"/>
                <w:sz w:val="20"/>
                <w:szCs w:val="20"/>
              </w:rPr>
              <w:t>1</w:t>
            </w:r>
          </w:p>
        </w:tc>
        <w:tc>
          <w:tcPr>
            <w:tcW w:w="1158" w:type="pct"/>
            <w:tcBorders>
              <w:top w:val="single" w:sz="4" w:space="0" w:color="auto"/>
              <w:left w:val="single" w:sz="4" w:space="0" w:color="auto"/>
              <w:bottom w:val="single" w:sz="4" w:space="0" w:color="auto"/>
              <w:right w:val="single" w:sz="4" w:space="0" w:color="auto"/>
            </w:tcBorders>
            <w:noWrap/>
            <w:vAlign w:val="bottom"/>
            <w:hideMark/>
          </w:tcPr>
          <w:p w:rsidR="009E35BE" w:rsidRPr="00BE230D" w:rsidRDefault="009E35BE" w:rsidP="00832031">
            <w:pPr>
              <w:spacing w:after="0"/>
              <w:jc w:val="right"/>
              <w:rPr>
                <w:rFonts w:ascii="Calibri" w:hAnsi="Calibri" w:cs="Calibri"/>
                <w:color w:val="000000"/>
                <w:sz w:val="20"/>
                <w:szCs w:val="20"/>
              </w:rPr>
            </w:pPr>
            <w:r w:rsidRPr="00BE230D">
              <w:rPr>
                <w:rFonts w:ascii="Calibri" w:hAnsi="Calibri" w:cs="Calibri"/>
                <w:color w:val="000000"/>
                <w:sz w:val="20"/>
                <w:szCs w:val="20"/>
              </w:rPr>
              <w:t>-100%</w:t>
            </w:r>
          </w:p>
        </w:tc>
      </w:tr>
      <w:tr w:rsidR="009E35BE" w:rsidRPr="00BE230D" w:rsidTr="00832031">
        <w:trPr>
          <w:trHeight w:val="300"/>
        </w:trPr>
        <w:tc>
          <w:tcPr>
            <w:tcW w:w="1526" w:type="pct"/>
            <w:tcBorders>
              <w:top w:val="single" w:sz="4" w:space="0" w:color="auto"/>
              <w:left w:val="single" w:sz="4" w:space="0" w:color="auto"/>
              <w:bottom w:val="single" w:sz="4" w:space="0" w:color="auto"/>
              <w:right w:val="single" w:sz="4" w:space="0" w:color="auto"/>
            </w:tcBorders>
            <w:noWrap/>
            <w:vAlign w:val="bottom"/>
            <w:hideMark/>
          </w:tcPr>
          <w:p w:rsidR="009E35BE" w:rsidRPr="00BE230D" w:rsidRDefault="009E35BE" w:rsidP="00832031">
            <w:pPr>
              <w:spacing w:after="0"/>
              <w:rPr>
                <w:rFonts w:ascii="Calibri" w:hAnsi="Calibri" w:cs="Calibri"/>
                <w:color w:val="000000"/>
                <w:sz w:val="20"/>
                <w:szCs w:val="20"/>
              </w:rPr>
            </w:pPr>
            <w:r w:rsidRPr="00BE230D">
              <w:rPr>
                <w:rFonts w:ascii="Calibri" w:hAnsi="Calibri" w:cs="Calibri"/>
                <w:color w:val="000000"/>
                <w:sz w:val="20"/>
                <w:szCs w:val="20"/>
              </w:rPr>
              <w:t>FRANCESE</w:t>
            </w:r>
          </w:p>
        </w:tc>
        <w:tc>
          <w:tcPr>
            <w:tcW w:w="1158" w:type="pct"/>
            <w:tcBorders>
              <w:top w:val="single" w:sz="4" w:space="0" w:color="auto"/>
              <w:left w:val="single" w:sz="4" w:space="0" w:color="auto"/>
              <w:bottom w:val="single" w:sz="4" w:space="0" w:color="auto"/>
              <w:right w:val="single" w:sz="4" w:space="0" w:color="auto"/>
            </w:tcBorders>
            <w:noWrap/>
            <w:vAlign w:val="bottom"/>
            <w:hideMark/>
          </w:tcPr>
          <w:p w:rsidR="009E35BE" w:rsidRPr="00BE230D" w:rsidRDefault="009E35BE" w:rsidP="00832031">
            <w:pPr>
              <w:spacing w:after="0"/>
              <w:jc w:val="right"/>
              <w:rPr>
                <w:rFonts w:ascii="Calibri" w:hAnsi="Calibri" w:cs="Calibri"/>
                <w:color w:val="000000"/>
                <w:sz w:val="20"/>
                <w:szCs w:val="20"/>
              </w:rPr>
            </w:pPr>
            <w:r>
              <w:rPr>
                <w:rFonts w:ascii="Calibri" w:hAnsi="Calibri" w:cs="Calibri"/>
                <w:color w:val="000000"/>
                <w:sz w:val="20"/>
                <w:szCs w:val="20"/>
              </w:rPr>
              <w:t>0</w:t>
            </w:r>
          </w:p>
        </w:tc>
        <w:tc>
          <w:tcPr>
            <w:tcW w:w="1158" w:type="pct"/>
            <w:tcBorders>
              <w:top w:val="single" w:sz="4" w:space="0" w:color="auto"/>
              <w:left w:val="single" w:sz="4" w:space="0" w:color="auto"/>
              <w:bottom w:val="single" w:sz="4" w:space="0" w:color="auto"/>
              <w:right w:val="single" w:sz="4" w:space="0" w:color="auto"/>
            </w:tcBorders>
            <w:noWrap/>
            <w:vAlign w:val="bottom"/>
            <w:hideMark/>
          </w:tcPr>
          <w:p w:rsidR="009E35BE" w:rsidRPr="00BE230D" w:rsidRDefault="009E35BE" w:rsidP="00832031">
            <w:pPr>
              <w:spacing w:after="0"/>
              <w:jc w:val="right"/>
              <w:rPr>
                <w:rFonts w:ascii="Calibri" w:hAnsi="Calibri" w:cs="Calibri"/>
                <w:color w:val="000000"/>
                <w:sz w:val="20"/>
                <w:szCs w:val="20"/>
              </w:rPr>
            </w:pPr>
            <w:r w:rsidRPr="00BE230D">
              <w:rPr>
                <w:rFonts w:ascii="Calibri" w:hAnsi="Calibri" w:cs="Calibri"/>
                <w:color w:val="000000"/>
                <w:sz w:val="20"/>
                <w:szCs w:val="20"/>
              </w:rPr>
              <w:t>1</w:t>
            </w:r>
          </w:p>
        </w:tc>
        <w:tc>
          <w:tcPr>
            <w:tcW w:w="1158" w:type="pct"/>
            <w:tcBorders>
              <w:top w:val="single" w:sz="4" w:space="0" w:color="auto"/>
              <w:left w:val="single" w:sz="4" w:space="0" w:color="auto"/>
              <w:bottom w:val="single" w:sz="4" w:space="0" w:color="auto"/>
              <w:right w:val="single" w:sz="4" w:space="0" w:color="auto"/>
            </w:tcBorders>
            <w:noWrap/>
            <w:vAlign w:val="bottom"/>
            <w:hideMark/>
          </w:tcPr>
          <w:p w:rsidR="009E35BE" w:rsidRPr="00BE230D" w:rsidRDefault="009E35BE" w:rsidP="00832031">
            <w:pPr>
              <w:spacing w:after="0"/>
              <w:jc w:val="right"/>
              <w:rPr>
                <w:rFonts w:ascii="Calibri" w:hAnsi="Calibri" w:cs="Calibri"/>
                <w:color w:val="000000"/>
                <w:sz w:val="20"/>
                <w:szCs w:val="20"/>
              </w:rPr>
            </w:pPr>
            <w:r w:rsidRPr="00BE230D">
              <w:rPr>
                <w:rFonts w:ascii="Calibri" w:hAnsi="Calibri" w:cs="Calibri"/>
                <w:color w:val="000000"/>
                <w:sz w:val="20"/>
                <w:szCs w:val="20"/>
              </w:rPr>
              <w:t>-100%</w:t>
            </w:r>
          </w:p>
        </w:tc>
      </w:tr>
      <w:tr w:rsidR="009E35BE" w:rsidRPr="00BE230D" w:rsidTr="00832031">
        <w:trPr>
          <w:trHeight w:val="300"/>
        </w:trPr>
        <w:tc>
          <w:tcPr>
            <w:tcW w:w="1526" w:type="pct"/>
            <w:tcBorders>
              <w:top w:val="single" w:sz="4" w:space="0" w:color="auto"/>
              <w:left w:val="single" w:sz="4" w:space="0" w:color="auto"/>
              <w:bottom w:val="single" w:sz="4" w:space="0" w:color="auto"/>
              <w:right w:val="single" w:sz="4" w:space="0" w:color="auto"/>
            </w:tcBorders>
            <w:noWrap/>
            <w:vAlign w:val="bottom"/>
            <w:hideMark/>
          </w:tcPr>
          <w:p w:rsidR="009E35BE" w:rsidRPr="00BE230D" w:rsidRDefault="009E35BE" w:rsidP="00832031">
            <w:pPr>
              <w:spacing w:after="0"/>
              <w:rPr>
                <w:rFonts w:ascii="Calibri" w:hAnsi="Calibri" w:cs="Calibri"/>
                <w:color w:val="000000"/>
                <w:sz w:val="20"/>
                <w:szCs w:val="20"/>
              </w:rPr>
            </w:pPr>
            <w:r w:rsidRPr="00BE230D">
              <w:rPr>
                <w:rFonts w:ascii="Calibri" w:hAnsi="Calibri" w:cs="Calibri"/>
                <w:color w:val="000000"/>
                <w:sz w:val="20"/>
                <w:szCs w:val="20"/>
              </w:rPr>
              <w:t>TEDESCA</w:t>
            </w:r>
          </w:p>
        </w:tc>
        <w:tc>
          <w:tcPr>
            <w:tcW w:w="1158" w:type="pct"/>
            <w:tcBorders>
              <w:top w:val="single" w:sz="4" w:space="0" w:color="auto"/>
              <w:left w:val="single" w:sz="4" w:space="0" w:color="auto"/>
              <w:bottom w:val="single" w:sz="4" w:space="0" w:color="auto"/>
              <w:right w:val="single" w:sz="4" w:space="0" w:color="auto"/>
            </w:tcBorders>
            <w:noWrap/>
            <w:vAlign w:val="bottom"/>
            <w:hideMark/>
          </w:tcPr>
          <w:p w:rsidR="009E35BE" w:rsidRPr="00BE230D" w:rsidRDefault="009E35BE" w:rsidP="00832031">
            <w:pPr>
              <w:spacing w:after="0"/>
              <w:jc w:val="right"/>
              <w:rPr>
                <w:rFonts w:ascii="Calibri" w:hAnsi="Calibri" w:cs="Calibri"/>
                <w:color w:val="000000"/>
                <w:sz w:val="20"/>
                <w:szCs w:val="20"/>
              </w:rPr>
            </w:pPr>
            <w:r>
              <w:rPr>
                <w:rFonts w:ascii="Calibri" w:hAnsi="Calibri" w:cs="Calibri"/>
                <w:color w:val="000000"/>
                <w:sz w:val="20"/>
                <w:szCs w:val="20"/>
              </w:rPr>
              <w:t>0</w:t>
            </w:r>
          </w:p>
        </w:tc>
        <w:tc>
          <w:tcPr>
            <w:tcW w:w="1158" w:type="pct"/>
            <w:tcBorders>
              <w:top w:val="single" w:sz="4" w:space="0" w:color="auto"/>
              <w:left w:val="single" w:sz="4" w:space="0" w:color="auto"/>
              <w:bottom w:val="single" w:sz="4" w:space="0" w:color="auto"/>
              <w:right w:val="single" w:sz="4" w:space="0" w:color="auto"/>
            </w:tcBorders>
            <w:noWrap/>
            <w:vAlign w:val="bottom"/>
            <w:hideMark/>
          </w:tcPr>
          <w:p w:rsidR="009E35BE" w:rsidRPr="00BE230D" w:rsidRDefault="009E35BE" w:rsidP="00832031">
            <w:pPr>
              <w:spacing w:after="0"/>
              <w:jc w:val="right"/>
              <w:rPr>
                <w:rFonts w:ascii="Calibri" w:hAnsi="Calibri" w:cs="Calibri"/>
                <w:color w:val="000000"/>
                <w:sz w:val="20"/>
                <w:szCs w:val="20"/>
              </w:rPr>
            </w:pPr>
            <w:r w:rsidRPr="00BE230D">
              <w:rPr>
                <w:rFonts w:ascii="Calibri" w:hAnsi="Calibri" w:cs="Calibri"/>
                <w:color w:val="000000"/>
                <w:sz w:val="20"/>
                <w:szCs w:val="20"/>
              </w:rPr>
              <w:t>1</w:t>
            </w:r>
          </w:p>
        </w:tc>
        <w:tc>
          <w:tcPr>
            <w:tcW w:w="1158" w:type="pct"/>
            <w:tcBorders>
              <w:top w:val="single" w:sz="4" w:space="0" w:color="auto"/>
              <w:left w:val="single" w:sz="4" w:space="0" w:color="auto"/>
              <w:bottom w:val="single" w:sz="4" w:space="0" w:color="auto"/>
              <w:right w:val="single" w:sz="4" w:space="0" w:color="auto"/>
            </w:tcBorders>
            <w:noWrap/>
            <w:vAlign w:val="bottom"/>
            <w:hideMark/>
          </w:tcPr>
          <w:p w:rsidR="009E35BE" w:rsidRPr="00BE230D" w:rsidRDefault="009E35BE" w:rsidP="00832031">
            <w:pPr>
              <w:spacing w:after="0"/>
              <w:jc w:val="right"/>
              <w:rPr>
                <w:rFonts w:ascii="Calibri" w:hAnsi="Calibri" w:cs="Calibri"/>
                <w:color w:val="000000"/>
                <w:sz w:val="20"/>
                <w:szCs w:val="20"/>
              </w:rPr>
            </w:pPr>
            <w:r w:rsidRPr="00BE230D">
              <w:rPr>
                <w:rFonts w:ascii="Calibri" w:hAnsi="Calibri" w:cs="Calibri"/>
                <w:color w:val="000000"/>
                <w:sz w:val="20"/>
                <w:szCs w:val="20"/>
              </w:rPr>
              <w:t>-100%</w:t>
            </w:r>
          </w:p>
        </w:tc>
      </w:tr>
      <w:tr w:rsidR="009E35BE" w:rsidRPr="00BE230D" w:rsidTr="00832031">
        <w:trPr>
          <w:trHeight w:val="300"/>
        </w:trPr>
        <w:tc>
          <w:tcPr>
            <w:tcW w:w="1526" w:type="pct"/>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9E35BE" w:rsidRPr="00BE230D" w:rsidRDefault="009E35BE" w:rsidP="00832031">
            <w:pPr>
              <w:spacing w:after="0"/>
              <w:rPr>
                <w:rFonts w:ascii="Calibri" w:hAnsi="Calibri" w:cs="Calibri"/>
                <w:b/>
                <w:bCs/>
                <w:color w:val="000000"/>
                <w:sz w:val="20"/>
                <w:szCs w:val="20"/>
              </w:rPr>
            </w:pPr>
            <w:r w:rsidRPr="00BE230D">
              <w:rPr>
                <w:rFonts w:ascii="Calibri" w:hAnsi="Calibri" w:cs="Calibri"/>
                <w:b/>
                <w:bCs/>
                <w:color w:val="000000"/>
                <w:sz w:val="20"/>
                <w:szCs w:val="20"/>
              </w:rPr>
              <w:t>Totale complessivo</w:t>
            </w:r>
          </w:p>
        </w:tc>
        <w:tc>
          <w:tcPr>
            <w:tcW w:w="1158" w:type="pct"/>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9E35BE" w:rsidRPr="00BE230D" w:rsidRDefault="009E35BE" w:rsidP="00832031">
            <w:pPr>
              <w:spacing w:after="0"/>
              <w:jc w:val="right"/>
              <w:rPr>
                <w:rFonts w:ascii="Calibri" w:hAnsi="Calibri" w:cs="Calibri"/>
                <w:b/>
                <w:bCs/>
                <w:color w:val="000000"/>
                <w:sz w:val="20"/>
                <w:szCs w:val="20"/>
              </w:rPr>
            </w:pPr>
            <w:r w:rsidRPr="00BE230D">
              <w:rPr>
                <w:rFonts w:ascii="Calibri" w:hAnsi="Calibri" w:cs="Calibri"/>
                <w:b/>
                <w:bCs/>
                <w:color w:val="000000"/>
                <w:sz w:val="20"/>
                <w:szCs w:val="20"/>
              </w:rPr>
              <w:t>532</w:t>
            </w:r>
          </w:p>
        </w:tc>
        <w:tc>
          <w:tcPr>
            <w:tcW w:w="1158" w:type="pct"/>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9E35BE" w:rsidRPr="00BE230D" w:rsidRDefault="009E35BE" w:rsidP="00832031">
            <w:pPr>
              <w:spacing w:after="0"/>
              <w:jc w:val="right"/>
              <w:rPr>
                <w:rFonts w:ascii="Calibri" w:hAnsi="Calibri" w:cs="Calibri"/>
                <w:b/>
                <w:bCs/>
                <w:color w:val="000000"/>
                <w:sz w:val="20"/>
                <w:szCs w:val="20"/>
              </w:rPr>
            </w:pPr>
            <w:r w:rsidRPr="00BE230D">
              <w:rPr>
                <w:rFonts w:ascii="Calibri" w:hAnsi="Calibri" w:cs="Calibri"/>
                <w:b/>
                <w:bCs/>
                <w:color w:val="000000"/>
                <w:sz w:val="20"/>
                <w:szCs w:val="20"/>
              </w:rPr>
              <w:t>384</w:t>
            </w:r>
          </w:p>
        </w:tc>
        <w:tc>
          <w:tcPr>
            <w:tcW w:w="1158" w:type="pct"/>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9E35BE" w:rsidRPr="00BE230D" w:rsidRDefault="009E35BE" w:rsidP="00832031">
            <w:pPr>
              <w:spacing w:after="0"/>
              <w:jc w:val="right"/>
              <w:rPr>
                <w:rFonts w:ascii="Calibri" w:hAnsi="Calibri" w:cs="Calibri"/>
                <w:b/>
                <w:bCs/>
                <w:color w:val="000000"/>
                <w:sz w:val="20"/>
                <w:szCs w:val="20"/>
              </w:rPr>
            </w:pPr>
            <w:r w:rsidRPr="00BE230D">
              <w:rPr>
                <w:rFonts w:ascii="Calibri" w:hAnsi="Calibri" w:cs="Calibri"/>
                <w:b/>
                <w:bCs/>
                <w:color w:val="000000"/>
                <w:sz w:val="20"/>
                <w:szCs w:val="20"/>
              </w:rPr>
              <w:t>16%</w:t>
            </w:r>
          </w:p>
        </w:tc>
      </w:tr>
    </w:tbl>
    <w:p w:rsidR="009E35BE" w:rsidRDefault="009E35BE" w:rsidP="009E35BE">
      <w:pPr>
        <w:jc w:val="both"/>
        <w:rPr>
          <w:sz w:val="20"/>
          <w:szCs w:val="20"/>
        </w:rPr>
      </w:pPr>
      <w:r w:rsidRPr="00712143">
        <w:rPr>
          <w:sz w:val="20"/>
          <w:szCs w:val="20"/>
        </w:rPr>
        <w:t xml:space="preserve">* </w:t>
      </w:r>
      <w:r>
        <w:rPr>
          <w:sz w:val="20"/>
          <w:szCs w:val="20"/>
        </w:rPr>
        <w:t xml:space="preserve">La definizione di δ è stata già proposta in nota </w:t>
      </w:r>
      <w:r w:rsidR="0029619D">
        <w:rPr>
          <w:sz w:val="20"/>
          <w:szCs w:val="20"/>
        </w:rPr>
        <w:t>25</w:t>
      </w:r>
      <w:r>
        <w:rPr>
          <w:sz w:val="20"/>
          <w:szCs w:val="20"/>
        </w:rPr>
        <w:t>.</w:t>
      </w:r>
    </w:p>
    <w:p w:rsidR="009E35BE" w:rsidRDefault="009E35BE" w:rsidP="009E35BE">
      <w:pPr>
        <w:jc w:val="both"/>
      </w:pPr>
      <w:r>
        <w:t>Dai dati riportati nella tabella precedente, fra le nazionalità dei lavoratori con un numero di avviamenti maggiore o uguale a 10, prevalgono i lavoratori italiani con una resilienza pari al 22%, seguiti dai pachistani (δ=11%) i bangladesi (δ=20%) e gli indiani (δ=9%). Queste ultime nazionalità sono caratterizzate dalla provenienza da regioni con secolari tradizioni nella lavorazione dell’oro e dei metalli preziosi in genere.</w:t>
      </w:r>
    </w:p>
    <w:p w:rsidR="009E35BE" w:rsidRDefault="009301B6" w:rsidP="00C81BFD">
      <w:pPr>
        <w:pStyle w:val="Titolo2"/>
      </w:pPr>
      <w:r>
        <w:t xml:space="preserve">3.7 </w:t>
      </w:r>
      <w:r w:rsidR="009E35BE">
        <w:t>Conclusioni</w:t>
      </w:r>
    </w:p>
    <w:p w:rsidR="009E35BE" w:rsidRDefault="009E35BE" w:rsidP="009E35BE">
      <w:pPr>
        <w:jc w:val="both"/>
      </w:pPr>
    </w:p>
    <w:p w:rsidR="00242B71" w:rsidRDefault="00242B71" w:rsidP="00242B71">
      <w:pPr>
        <w:jc w:val="both"/>
      </w:pPr>
      <w:r>
        <w:t>Dai dati esposti emerge quindi l’immagine di un settore piuttosto ancorato alle modalità produttive tradizionali: le figure professionali innovative (cognitive generative) – dal punto di vista quantitativo sono ben poche – e la maggior parte di esse tendono a collocarsi nei processi di progettazione da un lato e   razionalizzazione della distribuzione e delle vendite dall’altro.</w:t>
      </w:r>
    </w:p>
    <w:p w:rsidR="00242B71" w:rsidRDefault="00242B71" w:rsidP="00242B71">
      <w:pPr>
        <w:jc w:val="both"/>
      </w:pPr>
      <w:r>
        <w:t xml:space="preserve">Ben pochi profili cognitivo – generativi sono stati rilevati nelle fasi della produzione propriamente detta. Si tratta di una fase fortemente ancorata alle modalità produttive tradizionali che si avvalgono di figure produttive usuali, chiamate ad operare secondo criteri prevalentemente di tipo artigianale. E’ probabile che siano proprio tali figure professionali a rendere il settore permeabile alle innovazioni e – dunque – all’ingresso di professionalità con </w:t>
      </w:r>
      <w:proofErr w:type="spellStart"/>
      <w:r w:rsidRPr="0061541E">
        <w:rPr>
          <w:i/>
        </w:rPr>
        <w:t>skill</w:t>
      </w:r>
      <w:proofErr w:type="spellEnd"/>
      <w:r>
        <w:t xml:space="preserve"> professionali di tipo innovativo.</w:t>
      </w:r>
    </w:p>
    <w:p w:rsidR="00242B71" w:rsidRDefault="00242B71" w:rsidP="00242B71">
      <w:pPr>
        <w:jc w:val="both"/>
      </w:pPr>
      <w:r>
        <w:t>Tuttavia, qualche cambiamento, seppur ancora ben poco definito da un punto di vista quantitativo, è in atto: a partire dal 2011 nuovi profili professionali sono entrati nei processi produttivi collocandosi però, come si è detto, a monte e a valle dei processi produttivi propriamente detti. Dunque, se i processi di riaggiustamento industriale sono davvero in atto è ancora presto per determinarne portata ed effetti.</w:t>
      </w:r>
    </w:p>
    <w:p w:rsidR="00242B71" w:rsidRDefault="00242B71" w:rsidP="00242B71">
      <w:pPr>
        <w:jc w:val="both"/>
      </w:pPr>
      <w:r>
        <w:t>Dal punto di vista delle transizioni settoriali il settore orafo appare piuttosto chiuso: ben poco usuali risultano le fuoriuscite dal settore di forza lavoro successivamente impiegata in altri settori. Anche i processi di emigrazione da altri settori verso quello orafo risultano poco frequenti: chi opera nell’orafo – con buona probabilità, svolgerà tutta la propria carriera lavorativa al suo interno.</w:t>
      </w:r>
    </w:p>
    <w:p w:rsidR="00242B71" w:rsidRDefault="00242B71" w:rsidP="00242B71">
      <w:pPr>
        <w:jc w:val="both"/>
      </w:pPr>
      <w:r>
        <w:t xml:space="preserve">Dal punto di vista contrattuale il livello di protezione che assicurano i contratti che regolamentano il settore orafo è buono: la maggior parte degli avviati opera attraverso contratti a tempo determinato e indeterminato, tuttavia, i processi lineari di trasformazione contrattuale (dall’apprendistato al tempo indeterminato; dal tempo determinato al tempo indeterminato) sembrano essersi interrotti: </w:t>
      </w:r>
    </w:p>
    <w:p w:rsidR="00242B71" w:rsidRDefault="00242B71" w:rsidP="00242B71">
      <w:pPr>
        <w:pStyle w:val="Paragrafoelenco"/>
        <w:numPr>
          <w:ilvl w:val="0"/>
          <w:numId w:val="3"/>
        </w:numPr>
        <w:jc w:val="both"/>
      </w:pPr>
      <w:r>
        <w:t>I contratti di apprendistato solo nel 6,1% si trasformano – al termine – in contratti a tempo indeterminato. Nel periodo d’osservazione, infatti, prevale la situazione in base alla quale ad un’esperienza di apprendistato ne sussegue un’altra senza che il soggetto ottenga la stabilizzazione.</w:t>
      </w:r>
    </w:p>
    <w:p w:rsidR="00242B71" w:rsidRDefault="00242B71" w:rsidP="00242B71">
      <w:pPr>
        <w:pStyle w:val="Paragrafoelenco"/>
        <w:numPr>
          <w:ilvl w:val="0"/>
          <w:numId w:val="3"/>
        </w:numPr>
        <w:jc w:val="both"/>
      </w:pPr>
      <w:r>
        <w:t>Nel quinquennio d’osservazione i tempi determinati tendono a essere replicati in maniera indefinita. Il tempo determinato, dunque, diventa una sorta di gabbia contrattuale piuttosto vischiosa, dalla quale – solo in un limitato numero di casi, il 20,1% – si approda poi al tempo indeterminato.</w:t>
      </w:r>
    </w:p>
    <w:p w:rsidR="00242B71" w:rsidRDefault="00242B71" w:rsidP="00242B71">
      <w:pPr>
        <w:jc w:val="both"/>
      </w:pPr>
      <w:r>
        <w:t>In termini contrattuali, più tutelate degli uomini risultano le donne (in cui i contratti a tempo indeterminato prevalgono sulla componente maschile). Infine, le classi di età più vulnerabili risultano quelle degli over 50 e degli under 29, rispetto ai quali le forme contrattuali più precarie risultano piuttosto frequenti.</w:t>
      </w:r>
    </w:p>
    <w:p w:rsidR="00242B71" w:rsidRDefault="00242B71" w:rsidP="009E35BE">
      <w:pPr>
        <w:jc w:val="both"/>
      </w:pPr>
    </w:p>
    <w:p w:rsidR="009E35BE" w:rsidRDefault="009E35BE" w:rsidP="009E35BE">
      <w:pPr>
        <w:jc w:val="both"/>
      </w:pPr>
      <w:r>
        <w:t xml:space="preserve">Da quanto illustrato sin ora, appaiono evidenti le migliori “performances occupazionali” delle imprese appartenenti all’intero comparto orafo rispetto a quelle artigiane. In queste ultime, infatti, si assiste ad un turn over elevato della forza lavoro: l’incremento delle cessazioni, fra il 2011 e il 2015, delle imprese artigiane è di circa il 100%, mentre la variazione sul medesimo periodo dell’intero comparto (aziende artigiane e non) è pari a +19,7%. Si tratta, dunque, di un mercato del lavoro poco resiliente (come si è già detto, con tale termine si intende la capacità di un determinato </w:t>
      </w:r>
      <w:proofErr w:type="spellStart"/>
      <w:r>
        <w:t>MdL</w:t>
      </w:r>
      <w:proofErr w:type="spellEnd"/>
      <w:r>
        <w:t xml:space="preserve"> di assorbire le perturbazioni, riorganizzarsi, e continuare a funzionare senza perdita di posti di lavoro), dove la mobilità occupazionale risulta ampia. Si noti, tuttavia, che i saldi occupazionali del periodo 2011-2015 risultano positivi in ogni anno, sintomo della vivacità economica delle aziende orafe e della loro capacità di creare occupazione. </w:t>
      </w:r>
    </w:p>
    <w:p w:rsidR="009E35BE" w:rsidRDefault="009E35BE" w:rsidP="009E35BE">
      <w:pPr>
        <w:jc w:val="both"/>
      </w:pPr>
      <w:r>
        <w:t xml:space="preserve">Dal punto di vista qualitativo, invece, la qualità contrattuale offerta dalle imprese artigiane ai propri lavoratori risulta nettamente migliore in tutte le fasce di età. Inoltre, le donne in forza nelle imprese del campione </w:t>
      </w:r>
      <w:proofErr w:type="spellStart"/>
      <w:r>
        <w:t>Ebret</w:t>
      </w:r>
      <w:proofErr w:type="spellEnd"/>
      <w:r>
        <w:t xml:space="preserve"> sembrano essere contrattualizzate meglio di quelle dell’intero comparto orafo aretino.</w:t>
      </w:r>
    </w:p>
    <w:p w:rsidR="009E35BE" w:rsidRDefault="009E35BE" w:rsidP="009E35BE">
      <w:pPr>
        <w:jc w:val="both"/>
      </w:pPr>
      <w:r>
        <w:t xml:space="preserve">Sembra, quindi, che il turn over elevato (elevate cessazioni, ma anche alto numero di avviamenti) delle imprese artigiane, rispetto all’intero comparto orafo, siano il “prezzo” che viene pagato per avere contratti di qualità migliore, in cui le disparità legate all’età e al genere risultano ben meno marcate. </w:t>
      </w:r>
    </w:p>
    <w:p w:rsidR="009E35BE" w:rsidRDefault="009E35BE" w:rsidP="009E35BE">
      <w:pPr>
        <w:jc w:val="both"/>
      </w:pPr>
      <w:r>
        <w:t xml:space="preserve">Dal punto di vista della nazionalità dei lavoratori, I soggetti assunti sono in prevalenza italiani, tuttavia piuttosto numerosi risultano anche i bangladesi, gli indiani ed i pakistani. Pe tutte queste nazionalità di lavoratori la resilienza del </w:t>
      </w:r>
      <w:proofErr w:type="spellStart"/>
      <w:r>
        <w:t>MdL</w:t>
      </w:r>
      <w:proofErr w:type="spellEnd"/>
      <w:r>
        <w:t xml:space="preserve"> (indicatore δ) è piuttosto elevata (si va dal 22% degli italiani al 9% degli indiani, con un valore relativo all’intera popolazione degli avviati pari al 16%).</w:t>
      </w:r>
    </w:p>
    <w:p w:rsidR="009E35BE" w:rsidRDefault="009E35BE" w:rsidP="009E35BE">
      <w:pPr>
        <w:jc w:val="both"/>
      </w:pPr>
      <w:r>
        <w:t>In termini geografici, Il saldo assunzioni – cessazioni più elevato (relativo al periodo 2011-2015) lo si registra ad Arezzo (95) mentre quello più basso appartiene ai Comuni di Subbiano, Castiglion Fibocchi (-1). La maggiore resilienza (δ), tra i Comuni con un numero di assunzioni maggiore o uguale a 10 appartiene a Capolona (δ =67%), seguita da Monte San Savino (δ =29%) e Pergine Valdarno (δ=25%).</w:t>
      </w:r>
    </w:p>
    <w:p w:rsidR="002B14DE" w:rsidRDefault="002B14DE" w:rsidP="002B14DE"/>
    <w:p w:rsidR="00CD214C" w:rsidRDefault="00CD214C">
      <w:pPr>
        <w:rPr>
          <w:rFonts w:asciiTheme="majorHAnsi" w:eastAsiaTheme="majorEastAsia" w:hAnsiTheme="majorHAnsi" w:cstheme="majorBidi"/>
          <w:color w:val="2E74B5" w:themeColor="accent1" w:themeShade="BF"/>
          <w:sz w:val="32"/>
          <w:szCs w:val="32"/>
        </w:rPr>
      </w:pPr>
      <w:r>
        <w:br w:type="page"/>
      </w:r>
    </w:p>
    <w:p w:rsidR="00CD214C" w:rsidRDefault="00CD214C" w:rsidP="00CD214C">
      <w:pPr>
        <w:pStyle w:val="Titolo2"/>
      </w:pPr>
      <w:r>
        <w:t>Allegato 1 al cap. 3</w:t>
      </w:r>
    </w:p>
    <w:p w:rsidR="00CD214C" w:rsidRDefault="00CD214C" w:rsidP="00CD214C"/>
    <w:p w:rsidR="00CD214C" w:rsidRDefault="00CD214C" w:rsidP="00CD214C">
      <w:pPr>
        <w:rPr>
          <w:b/>
          <w:sz w:val="20"/>
          <w:szCs w:val="20"/>
        </w:rPr>
      </w:pPr>
      <w:r>
        <w:rPr>
          <w:b/>
          <w:sz w:val="20"/>
          <w:szCs w:val="20"/>
        </w:rPr>
        <w:t>Quadro sinottico di riclassificazione dei contratti e di attribuzione degli indici di qualità contrattuale</w:t>
      </w:r>
    </w:p>
    <w:tbl>
      <w:tblPr>
        <w:tblW w:w="5000" w:type="pct"/>
        <w:tblLayout w:type="fixed"/>
        <w:tblCellMar>
          <w:left w:w="70" w:type="dxa"/>
          <w:right w:w="70" w:type="dxa"/>
        </w:tblCellMar>
        <w:tblLook w:val="04A0" w:firstRow="1" w:lastRow="0" w:firstColumn="1" w:lastColumn="0" w:noHBand="0" w:noVBand="1"/>
      </w:tblPr>
      <w:tblGrid>
        <w:gridCol w:w="5240"/>
        <w:gridCol w:w="3545"/>
        <w:gridCol w:w="843"/>
      </w:tblGrid>
      <w:tr w:rsidR="00CD214C" w:rsidRPr="007E193F" w:rsidTr="00CD214C">
        <w:trPr>
          <w:trHeight w:val="300"/>
          <w:tblHeader/>
        </w:trPr>
        <w:tc>
          <w:tcPr>
            <w:tcW w:w="27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14C" w:rsidRPr="007E193F" w:rsidRDefault="00CD214C" w:rsidP="00CD214C">
            <w:pPr>
              <w:spacing w:after="0" w:line="240" w:lineRule="auto"/>
              <w:jc w:val="center"/>
              <w:rPr>
                <w:rFonts w:ascii="Calibri" w:eastAsia="Times New Roman" w:hAnsi="Calibri" w:cs="Times New Roman"/>
                <w:b/>
                <w:bCs/>
                <w:color w:val="000000"/>
                <w:sz w:val="18"/>
                <w:szCs w:val="18"/>
                <w:lang w:eastAsia="it-IT"/>
              </w:rPr>
            </w:pPr>
            <w:r w:rsidRPr="007E193F">
              <w:rPr>
                <w:rFonts w:ascii="Calibri" w:eastAsia="Times New Roman" w:hAnsi="Calibri" w:cs="Times New Roman"/>
                <w:b/>
                <w:bCs/>
                <w:color w:val="000000"/>
                <w:sz w:val="18"/>
                <w:szCs w:val="18"/>
                <w:lang w:eastAsia="it-IT"/>
              </w:rPr>
              <w:t>Classificazione originaria</w:t>
            </w:r>
          </w:p>
        </w:tc>
        <w:tc>
          <w:tcPr>
            <w:tcW w:w="1841" w:type="pct"/>
            <w:tcBorders>
              <w:top w:val="single" w:sz="4" w:space="0" w:color="auto"/>
              <w:left w:val="nil"/>
              <w:bottom w:val="single" w:sz="4" w:space="0" w:color="auto"/>
              <w:right w:val="single" w:sz="4" w:space="0" w:color="auto"/>
            </w:tcBorders>
            <w:shd w:val="clear" w:color="auto" w:fill="auto"/>
            <w:vAlign w:val="center"/>
            <w:hideMark/>
          </w:tcPr>
          <w:p w:rsidR="00CD214C" w:rsidRPr="007E193F" w:rsidRDefault="00CD214C" w:rsidP="00CD214C">
            <w:pPr>
              <w:spacing w:after="0" w:line="240" w:lineRule="auto"/>
              <w:jc w:val="center"/>
              <w:rPr>
                <w:rFonts w:ascii="Calibri" w:eastAsia="Times New Roman" w:hAnsi="Calibri" w:cs="Times New Roman"/>
                <w:b/>
                <w:bCs/>
                <w:color w:val="000000"/>
                <w:sz w:val="18"/>
                <w:szCs w:val="18"/>
                <w:lang w:eastAsia="it-IT"/>
              </w:rPr>
            </w:pPr>
            <w:r w:rsidRPr="007E193F">
              <w:rPr>
                <w:rFonts w:ascii="Calibri" w:eastAsia="Times New Roman" w:hAnsi="Calibri" w:cs="Times New Roman"/>
                <w:b/>
                <w:bCs/>
                <w:color w:val="000000"/>
                <w:sz w:val="18"/>
                <w:szCs w:val="18"/>
                <w:lang w:eastAsia="it-IT"/>
              </w:rPr>
              <w:t>Nuova classificazione</w:t>
            </w:r>
          </w:p>
        </w:tc>
        <w:tc>
          <w:tcPr>
            <w:tcW w:w="438" w:type="pct"/>
            <w:tcBorders>
              <w:top w:val="single" w:sz="4" w:space="0" w:color="auto"/>
              <w:left w:val="nil"/>
              <w:bottom w:val="single" w:sz="4" w:space="0" w:color="auto"/>
              <w:right w:val="single" w:sz="4" w:space="0" w:color="auto"/>
            </w:tcBorders>
            <w:shd w:val="clear" w:color="auto" w:fill="auto"/>
            <w:vAlign w:val="center"/>
            <w:hideMark/>
          </w:tcPr>
          <w:p w:rsidR="00CD214C" w:rsidRPr="007E193F" w:rsidRDefault="00CD214C" w:rsidP="00CD214C">
            <w:pPr>
              <w:spacing w:after="0" w:line="240" w:lineRule="auto"/>
              <w:jc w:val="center"/>
              <w:rPr>
                <w:rFonts w:ascii="Calibri" w:eastAsia="Times New Roman" w:hAnsi="Calibri" w:cs="Times New Roman"/>
                <w:b/>
                <w:bCs/>
                <w:color w:val="000000"/>
                <w:sz w:val="18"/>
                <w:szCs w:val="18"/>
                <w:lang w:eastAsia="it-IT"/>
              </w:rPr>
            </w:pPr>
            <w:r w:rsidRPr="00BC0A50">
              <w:rPr>
                <w:rFonts w:ascii="Calibri" w:eastAsia="Times New Roman" w:hAnsi="Calibri" w:cs="Times New Roman"/>
                <w:b/>
                <w:bCs/>
                <w:i/>
                <w:color w:val="000000"/>
                <w:sz w:val="18"/>
                <w:szCs w:val="18"/>
                <w:lang w:eastAsia="it-IT"/>
              </w:rPr>
              <w:t>Ranking</w:t>
            </w:r>
          </w:p>
        </w:tc>
      </w:tr>
      <w:tr w:rsidR="00CD214C" w:rsidRPr="007E193F" w:rsidTr="00CD214C">
        <w:trPr>
          <w:trHeight w:val="300"/>
        </w:trPr>
        <w:tc>
          <w:tcPr>
            <w:tcW w:w="2721" w:type="pct"/>
            <w:tcBorders>
              <w:top w:val="nil"/>
              <w:left w:val="single" w:sz="4" w:space="0" w:color="auto"/>
              <w:bottom w:val="single" w:sz="4" w:space="0" w:color="auto"/>
              <w:right w:val="single" w:sz="4" w:space="0" w:color="auto"/>
            </w:tcBorders>
            <w:shd w:val="clear" w:color="auto" w:fill="auto"/>
            <w:noWrap/>
            <w:vAlign w:val="bottom"/>
            <w:hideMark/>
          </w:tcPr>
          <w:p w:rsidR="00CD214C" w:rsidRPr="007E193F" w:rsidRDefault="00CD214C" w:rsidP="00CD214C">
            <w:pPr>
              <w:spacing w:after="0" w:line="240" w:lineRule="auto"/>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APPRENDISTATO DI ALTA FORMAZIONE E RICERCA</w:t>
            </w:r>
          </w:p>
        </w:tc>
        <w:tc>
          <w:tcPr>
            <w:tcW w:w="1841" w:type="pct"/>
            <w:tcBorders>
              <w:top w:val="nil"/>
              <w:left w:val="nil"/>
              <w:bottom w:val="single" w:sz="4" w:space="0" w:color="auto"/>
              <w:right w:val="single" w:sz="4" w:space="0" w:color="auto"/>
            </w:tcBorders>
            <w:shd w:val="clear" w:color="auto" w:fill="auto"/>
            <w:vAlign w:val="center"/>
            <w:hideMark/>
          </w:tcPr>
          <w:p w:rsidR="00CD214C" w:rsidRPr="007E193F" w:rsidRDefault="00CD214C" w:rsidP="00CD214C">
            <w:pPr>
              <w:spacing w:after="0" w:line="240" w:lineRule="auto"/>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APPRENDISTATO</w:t>
            </w:r>
          </w:p>
        </w:tc>
        <w:tc>
          <w:tcPr>
            <w:tcW w:w="438" w:type="pct"/>
            <w:tcBorders>
              <w:top w:val="nil"/>
              <w:left w:val="nil"/>
              <w:bottom w:val="single" w:sz="4" w:space="0" w:color="auto"/>
              <w:right w:val="single" w:sz="4" w:space="0" w:color="auto"/>
            </w:tcBorders>
            <w:shd w:val="clear" w:color="auto" w:fill="auto"/>
            <w:noWrap/>
            <w:vAlign w:val="bottom"/>
            <w:hideMark/>
          </w:tcPr>
          <w:p w:rsidR="00CD214C" w:rsidRPr="007E193F" w:rsidRDefault="00CD214C" w:rsidP="00CD214C">
            <w:pPr>
              <w:spacing w:after="0" w:line="240" w:lineRule="auto"/>
              <w:jc w:val="right"/>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2</w:t>
            </w:r>
          </w:p>
        </w:tc>
      </w:tr>
      <w:tr w:rsidR="00CD214C" w:rsidRPr="007E193F" w:rsidTr="00CD214C">
        <w:trPr>
          <w:trHeight w:val="300"/>
        </w:trPr>
        <w:tc>
          <w:tcPr>
            <w:tcW w:w="2721" w:type="pct"/>
            <w:tcBorders>
              <w:top w:val="nil"/>
              <w:left w:val="single" w:sz="4" w:space="0" w:color="auto"/>
              <w:bottom w:val="single" w:sz="4" w:space="0" w:color="auto"/>
              <w:right w:val="single" w:sz="4" w:space="0" w:color="auto"/>
            </w:tcBorders>
            <w:shd w:val="clear" w:color="auto" w:fill="auto"/>
            <w:noWrap/>
            <w:vAlign w:val="bottom"/>
            <w:hideMark/>
          </w:tcPr>
          <w:p w:rsidR="00CD214C" w:rsidRPr="007E193F" w:rsidRDefault="00CD214C" w:rsidP="00CD214C">
            <w:pPr>
              <w:spacing w:after="0" w:line="240" w:lineRule="auto"/>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APPRENDISTATO DI ALTA FORMAZIONE E RICERCA PER LAVORATORI IN MOBILITA'</w:t>
            </w:r>
          </w:p>
        </w:tc>
        <w:tc>
          <w:tcPr>
            <w:tcW w:w="1841" w:type="pct"/>
            <w:tcBorders>
              <w:top w:val="nil"/>
              <w:left w:val="nil"/>
              <w:bottom w:val="single" w:sz="4" w:space="0" w:color="auto"/>
              <w:right w:val="single" w:sz="4" w:space="0" w:color="auto"/>
            </w:tcBorders>
            <w:shd w:val="clear" w:color="auto" w:fill="auto"/>
            <w:vAlign w:val="center"/>
            <w:hideMark/>
          </w:tcPr>
          <w:p w:rsidR="00CD214C" w:rsidRPr="007E193F" w:rsidRDefault="00CD214C" w:rsidP="00CD214C">
            <w:pPr>
              <w:spacing w:after="0" w:line="240" w:lineRule="auto"/>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APPRENDISTATO</w:t>
            </w:r>
          </w:p>
        </w:tc>
        <w:tc>
          <w:tcPr>
            <w:tcW w:w="438" w:type="pct"/>
            <w:tcBorders>
              <w:top w:val="nil"/>
              <w:left w:val="nil"/>
              <w:bottom w:val="single" w:sz="4" w:space="0" w:color="auto"/>
              <w:right w:val="single" w:sz="4" w:space="0" w:color="auto"/>
            </w:tcBorders>
            <w:shd w:val="clear" w:color="auto" w:fill="auto"/>
            <w:noWrap/>
            <w:vAlign w:val="bottom"/>
            <w:hideMark/>
          </w:tcPr>
          <w:p w:rsidR="00CD214C" w:rsidRPr="007E193F" w:rsidRDefault="00CD214C" w:rsidP="00CD214C">
            <w:pPr>
              <w:spacing w:after="0" w:line="240" w:lineRule="auto"/>
              <w:jc w:val="right"/>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2</w:t>
            </w:r>
          </w:p>
        </w:tc>
      </w:tr>
      <w:tr w:rsidR="00CD214C" w:rsidRPr="007E193F" w:rsidTr="00CD214C">
        <w:trPr>
          <w:trHeight w:val="300"/>
        </w:trPr>
        <w:tc>
          <w:tcPr>
            <w:tcW w:w="2721" w:type="pct"/>
            <w:tcBorders>
              <w:top w:val="nil"/>
              <w:left w:val="single" w:sz="4" w:space="0" w:color="auto"/>
              <w:bottom w:val="single" w:sz="4" w:space="0" w:color="auto"/>
              <w:right w:val="single" w:sz="4" w:space="0" w:color="auto"/>
            </w:tcBorders>
            <w:shd w:val="clear" w:color="auto" w:fill="auto"/>
            <w:noWrap/>
            <w:vAlign w:val="bottom"/>
            <w:hideMark/>
          </w:tcPr>
          <w:p w:rsidR="00CD214C" w:rsidRPr="007E193F" w:rsidRDefault="00CD214C" w:rsidP="00CD214C">
            <w:pPr>
              <w:spacing w:after="0" w:line="240" w:lineRule="auto"/>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APPRENDISTATO EX ART.16 L. 196/97</w:t>
            </w:r>
          </w:p>
        </w:tc>
        <w:tc>
          <w:tcPr>
            <w:tcW w:w="1841" w:type="pct"/>
            <w:tcBorders>
              <w:top w:val="nil"/>
              <w:left w:val="nil"/>
              <w:bottom w:val="single" w:sz="4" w:space="0" w:color="auto"/>
              <w:right w:val="single" w:sz="4" w:space="0" w:color="auto"/>
            </w:tcBorders>
            <w:shd w:val="clear" w:color="auto" w:fill="auto"/>
            <w:vAlign w:val="center"/>
            <w:hideMark/>
          </w:tcPr>
          <w:p w:rsidR="00CD214C" w:rsidRPr="007E193F" w:rsidRDefault="00CD214C" w:rsidP="00CD214C">
            <w:pPr>
              <w:spacing w:after="0" w:line="240" w:lineRule="auto"/>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APPRENDISTATO</w:t>
            </w:r>
          </w:p>
        </w:tc>
        <w:tc>
          <w:tcPr>
            <w:tcW w:w="438" w:type="pct"/>
            <w:tcBorders>
              <w:top w:val="nil"/>
              <w:left w:val="nil"/>
              <w:bottom w:val="single" w:sz="4" w:space="0" w:color="auto"/>
              <w:right w:val="single" w:sz="4" w:space="0" w:color="auto"/>
            </w:tcBorders>
            <w:shd w:val="clear" w:color="auto" w:fill="auto"/>
            <w:noWrap/>
            <w:vAlign w:val="bottom"/>
            <w:hideMark/>
          </w:tcPr>
          <w:p w:rsidR="00CD214C" w:rsidRPr="007E193F" w:rsidRDefault="00CD214C" w:rsidP="00CD214C">
            <w:pPr>
              <w:spacing w:after="0" w:line="240" w:lineRule="auto"/>
              <w:jc w:val="right"/>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2</w:t>
            </w:r>
          </w:p>
        </w:tc>
      </w:tr>
      <w:tr w:rsidR="00CD214C" w:rsidRPr="007E193F" w:rsidTr="00CD214C">
        <w:trPr>
          <w:trHeight w:val="300"/>
        </w:trPr>
        <w:tc>
          <w:tcPr>
            <w:tcW w:w="2721" w:type="pct"/>
            <w:tcBorders>
              <w:top w:val="nil"/>
              <w:left w:val="single" w:sz="4" w:space="0" w:color="auto"/>
              <w:bottom w:val="single" w:sz="4" w:space="0" w:color="auto"/>
              <w:right w:val="single" w:sz="4" w:space="0" w:color="auto"/>
            </w:tcBorders>
            <w:shd w:val="clear" w:color="auto" w:fill="auto"/>
            <w:noWrap/>
            <w:vAlign w:val="bottom"/>
            <w:hideMark/>
          </w:tcPr>
          <w:p w:rsidR="00CD214C" w:rsidRPr="007E193F" w:rsidRDefault="00CD214C" w:rsidP="00CD214C">
            <w:pPr>
              <w:spacing w:after="0" w:line="240" w:lineRule="auto"/>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APPRENDISTATO PER LA QUALIFICA PROFESSIONALE E PER IL DIPLOMA PROFESSIONALE</w:t>
            </w:r>
          </w:p>
        </w:tc>
        <w:tc>
          <w:tcPr>
            <w:tcW w:w="1841" w:type="pct"/>
            <w:tcBorders>
              <w:top w:val="nil"/>
              <w:left w:val="nil"/>
              <w:bottom w:val="single" w:sz="4" w:space="0" w:color="auto"/>
              <w:right w:val="single" w:sz="4" w:space="0" w:color="auto"/>
            </w:tcBorders>
            <w:shd w:val="clear" w:color="auto" w:fill="auto"/>
            <w:vAlign w:val="center"/>
            <w:hideMark/>
          </w:tcPr>
          <w:p w:rsidR="00CD214C" w:rsidRPr="007E193F" w:rsidRDefault="00CD214C" w:rsidP="00CD214C">
            <w:pPr>
              <w:spacing w:after="0" w:line="240" w:lineRule="auto"/>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APPRENDISTATO</w:t>
            </w:r>
          </w:p>
        </w:tc>
        <w:tc>
          <w:tcPr>
            <w:tcW w:w="438" w:type="pct"/>
            <w:tcBorders>
              <w:top w:val="nil"/>
              <w:left w:val="nil"/>
              <w:bottom w:val="single" w:sz="4" w:space="0" w:color="auto"/>
              <w:right w:val="single" w:sz="4" w:space="0" w:color="auto"/>
            </w:tcBorders>
            <w:shd w:val="clear" w:color="auto" w:fill="auto"/>
            <w:noWrap/>
            <w:vAlign w:val="bottom"/>
            <w:hideMark/>
          </w:tcPr>
          <w:p w:rsidR="00CD214C" w:rsidRPr="007E193F" w:rsidRDefault="00CD214C" w:rsidP="00CD214C">
            <w:pPr>
              <w:spacing w:after="0" w:line="240" w:lineRule="auto"/>
              <w:jc w:val="right"/>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2</w:t>
            </w:r>
          </w:p>
        </w:tc>
      </w:tr>
      <w:tr w:rsidR="00CD214C" w:rsidRPr="007E193F" w:rsidTr="00CD214C">
        <w:trPr>
          <w:trHeight w:val="300"/>
        </w:trPr>
        <w:tc>
          <w:tcPr>
            <w:tcW w:w="2721" w:type="pct"/>
            <w:tcBorders>
              <w:top w:val="nil"/>
              <w:left w:val="single" w:sz="4" w:space="0" w:color="auto"/>
              <w:bottom w:val="single" w:sz="4" w:space="0" w:color="auto"/>
              <w:right w:val="single" w:sz="4" w:space="0" w:color="auto"/>
            </w:tcBorders>
            <w:shd w:val="clear" w:color="auto" w:fill="auto"/>
            <w:noWrap/>
            <w:vAlign w:val="bottom"/>
            <w:hideMark/>
          </w:tcPr>
          <w:p w:rsidR="00CD214C" w:rsidRPr="007E193F" w:rsidRDefault="00CD214C" w:rsidP="00CD214C">
            <w:pPr>
              <w:spacing w:after="0" w:line="240" w:lineRule="auto"/>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APPRENDISTATO PER LA QUALIFICA PROFESSIONALE E PER IL DIPLOMA PROFESSIONALE PER LAVORATORI IN MOBILITA'</w:t>
            </w:r>
          </w:p>
        </w:tc>
        <w:tc>
          <w:tcPr>
            <w:tcW w:w="1841" w:type="pct"/>
            <w:tcBorders>
              <w:top w:val="nil"/>
              <w:left w:val="nil"/>
              <w:bottom w:val="single" w:sz="4" w:space="0" w:color="auto"/>
              <w:right w:val="single" w:sz="4" w:space="0" w:color="auto"/>
            </w:tcBorders>
            <w:shd w:val="clear" w:color="auto" w:fill="auto"/>
            <w:vAlign w:val="center"/>
            <w:hideMark/>
          </w:tcPr>
          <w:p w:rsidR="00CD214C" w:rsidRPr="007E193F" w:rsidRDefault="00CD214C" w:rsidP="00CD214C">
            <w:pPr>
              <w:spacing w:after="0" w:line="240" w:lineRule="auto"/>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APPRENDISTATO</w:t>
            </w:r>
          </w:p>
        </w:tc>
        <w:tc>
          <w:tcPr>
            <w:tcW w:w="438" w:type="pct"/>
            <w:tcBorders>
              <w:top w:val="nil"/>
              <w:left w:val="nil"/>
              <w:bottom w:val="single" w:sz="4" w:space="0" w:color="auto"/>
              <w:right w:val="single" w:sz="4" w:space="0" w:color="auto"/>
            </w:tcBorders>
            <w:shd w:val="clear" w:color="auto" w:fill="auto"/>
            <w:noWrap/>
            <w:vAlign w:val="bottom"/>
            <w:hideMark/>
          </w:tcPr>
          <w:p w:rsidR="00CD214C" w:rsidRPr="007E193F" w:rsidRDefault="00CD214C" w:rsidP="00CD214C">
            <w:pPr>
              <w:spacing w:after="0" w:line="240" w:lineRule="auto"/>
              <w:jc w:val="right"/>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2</w:t>
            </w:r>
          </w:p>
        </w:tc>
      </w:tr>
      <w:tr w:rsidR="00CD214C" w:rsidRPr="007E193F" w:rsidTr="00CD214C">
        <w:trPr>
          <w:trHeight w:val="300"/>
        </w:trPr>
        <w:tc>
          <w:tcPr>
            <w:tcW w:w="2721" w:type="pct"/>
            <w:tcBorders>
              <w:top w:val="nil"/>
              <w:left w:val="single" w:sz="4" w:space="0" w:color="auto"/>
              <w:bottom w:val="single" w:sz="4" w:space="0" w:color="auto"/>
              <w:right w:val="single" w:sz="4" w:space="0" w:color="auto"/>
            </w:tcBorders>
            <w:shd w:val="clear" w:color="auto" w:fill="auto"/>
            <w:noWrap/>
            <w:vAlign w:val="bottom"/>
            <w:hideMark/>
          </w:tcPr>
          <w:p w:rsidR="00CD214C" w:rsidRPr="007E193F" w:rsidRDefault="00CD214C" w:rsidP="00CD214C">
            <w:pPr>
              <w:spacing w:after="0" w:line="240" w:lineRule="auto"/>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APPRENDISTATO PER L'ACQUISIZIONE DI DIPLOMA O PER PERCORSI DI ALTA FORMAZIONE</w:t>
            </w:r>
          </w:p>
        </w:tc>
        <w:tc>
          <w:tcPr>
            <w:tcW w:w="1841" w:type="pct"/>
            <w:tcBorders>
              <w:top w:val="nil"/>
              <w:left w:val="nil"/>
              <w:bottom w:val="single" w:sz="4" w:space="0" w:color="auto"/>
              <w:right w:val="single" w:sz="4" w:space="0" w:color="auto"/>
            </w:tcBorders>
            <w:shd w:val="clear" w:color="auto" w:fill="auto"/>
            <w:vAlign w:val="center"/>
            <w:hideMark/>
          </w:tcPr>
          <w:p w:rsidR="00CD214C" w:rsidRPr="007E193F" w:rsidRDefault="00CD214C" w:rsidP="00CD214C">
            <w:pPr>
              <w:spacing w:after="0" w:line="240" w:lineRule="auto"/>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APPRENDISTATO</w:t>
            </w:r>
          </w:p>
        </w:tc>
        <w:tc>
          <w:tcPr>
            <w:tcW w:w="438" w:type="pct"/>
            <w:tcBorders>
              <w:top w:val="nil"/>
              <w:left w:val="nil"/>
              <w:bottom w:val="single" w:sz="4" w:space="0" w:color="auto"/>
              <w:right w:val="single" w:sz="4" w:space="0" w:color="auto"/>
            </w:tcBorders>
            <w:shd w:val="clear" w:color="auto" w:fill="auto"/>
            <w:noWrap/>
            <w:vAlign w:val="bottom"/>
            <w:hideMark/>
          </w:tcPr>
          <w:p w:rsidR="00CD214C" w:rsidRPr="007E193F" w:rsidRDefault="00CD214C" w:rsidP="00CD214C">
            <w:pPr>
              <w:spacing w:after="0" w:line="240" w:lineRule="auto"/>
              <w:jc w:val="right"/>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2</w:t>
            </w:r>
          </w:p>
        </w:tc>
      </w:tr>
      <w:tr w:rsidR="00CD214C" w:rsidRPr="007E193F" w:rsidTr="00CD214C">
        <w:trPr>
          <w:trHeight w:val="300"/>
        </w:trPr>
        <w:tc>
          <w:tcPr>
            <w:tcW w:w="2721" w:type="pct"/>
            <w:tcBorders>
              <w:top w:val="nil"/>
              <w:left w:val="single" w:sz="4" w:space="0" w:color="auto"/>
              <w:bottom w:val="single" w:sz="4" w:space="0" w:color="auto"/>
              <w:right w:val="single" w:sz="4" w:space="0" w:color="auto"/>
            </w:tcBorders>
            <w:shd w:val="clear" w:color="auto" w:fill="auto"/>
            <w:noWrap/>
            <w:vAlign w:val="bottom"/>
            <w:hideMark/>
          </w:tcPr>
          <w:p w:rsidR="00CD214C" w:rsidRPr="007E193F" w:rsidRDefault="00CD214C" w:rsidP="00CD214C">
            <w:pPr>
              <w:spacing w:after="0" w:line="240" w:lineRule="auto"/>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APPRENDISTATO PER L'ESPLETAMENTO DEL DIRITTO DOVERE DI ISTRUZIONE FORMAZIONE</w:t>
            </w:r>
          </w:p>
        </w:tc>
        <w:tc>
          <w:tcPr>
            <w:tcW w:w="1841" w:type="pct"/>
            <w:tcBorders>
              <w:top w:val="nil"/>
              <w:left w:val="nil"/>
              <w:bottom w:val="single" w:sz="4" w:space="0" w:color="auto"/>
              <w:right w:val="single" w:sz="4" w:space="0" w:color="auto"/>
            </w:tcBorders>
            <w:shd w:val="clear" w:color="auto" w:fill="auto"/>
            <w:vAlign w:val="center"/>
            <w:hideMark/>
          </w:tcPr>
          <w:p w:rsidR="00CD214C" w:rsidRPr="007E193F" w:rsidRDefault="00CD214C" w:rsidP="00CD214C">
            <w:pPr>
              <w:spacing w:after="0" w:line="240" w:lineRule="auto"/>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APPRENDISTATO</w:t>
            </w:r>
          </w:p>
        </w:tc>
        <w:tc>
          <w:tcPr>
            <w:tcW w:w="438" w:type="pct"/>
            <w:tcBorders>
              <w:top w:val="nil"/>
              <w:left w:val="nil"/>
              <w:bottom w:val="single" w:sz="4" w:space="0" w:color="auto"/>
              <w:right w:val="single" w:sz="4" w:space="0" w:color="auto"/>
            </w:tcBorders>
            <w:shd w:val="clear" w:color="auto" w:fill="auto"/>
            <w:noWrap/>
            <w:vAlign w:val="bottom"/>
            <w:hideMark/>
          </w:tcPr>
          <w:p w:rsidR="00CD214C" w:rsidRPr="007E193F" w:rsidRDefault="00CD214C" w:rsidP="00CD214C">
            <w:pPr>
              <w:spacing w:after="0" w:line="240" w:lineRule="auto"/>
              <w:jc w:val="right"/>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2</w:t>
            </w:r>
          </w:p>
        </w:tc>
      </w:tr>
      <w:tr w:rsidR="00CD214C" w:rsidRPr="007E193F" w:rsidTr="00CD214C">
        <w:trPr>
          <w:trHeight w:val="300"/>
        </w:trPr>
        <w:tc>
          <w:tcPr>
            <w:tcW w:w="2721" w:type="pct"/>
            <w:tcBorders>
              <w:top w:val="nil"/>
              <w:left w:val="single" w:sz="4" w:space="0" w:color="auto"/>
              <w:bottom w:val="single" w:sz="4" w:space="0" w:color="auto"/>
              <w:right w:val="single" w:sz="4" w:space="0" w:color="auto"/>
            </w:tcBorders>
            <w:shd w:val="clear" w:color="auto" w:fill="auto"/>
            <w:noWrap/>
            <w:vAlign w:val="bottom"/>
            <w:hideMark/>
          </w:tcPr>
          <w:p w:rsidR="00CD214C" w:rsidRPr="007E193F" w:rsidRDefault="00CD214C" w:rsidP="00CD214C">
            <w:pPr>
              <w:spacing w:after="0" w:line="240" w:lineRule="auto"/>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APPRENDISTATO PROFESSIONALIZZANTE</w:t>
            </w:r>
          </w:p>
        </w:tc>
        <w:tc>
          <w:tcPr>
            <w:tcW w:w="1841" w:type="pct"/>
            <w:tcBorders>
              <w:top w:val="nil"/>
              <w:left w:val="nil"/>
              <w:bottom w:val="single" w:sz="4" w:space="0" w:color="auto"/>
              <w:right w:val="single" w:sz="4" w:space="0" w:color="auto"/>
            </w:tcBorders>
            <w:shd w:val="clear" w:color="auto" w:fill="auto"/>
            <w:vAlign w:val="center"/>
            <w:hideMark/>
          </w:tcPr>
          <w:p w:rsidR="00CD214C" w:rsidRPr="007E193F" w:rsidRDefault="00CD214C" w:rsidP="00CD214C">
            <w:pPr>
              <w:spacing w:after="0" w:line="240" w:lineRule="auto"/>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APPRENDISTATO</w:t>
            </w:r>
          </w:p>
        </w:tc>
        <w:tc>
          <w:tcPr>
            <w:tcW w:w="438" w:type="pct"/>
            <w:tcBorders>
              <w:top w:val="nil"/>
              <w:left w:val="nil"/>
              <w:bottom w:val="single" w:sz="4" w:space="0" w:color="auto"/>
              <w:right w:val="single" w:sz="4" w:space="0" w:color="auto"/>
            </w:tcBorders>
            <w:shd w:val="clear" w:color="auto" w:fill="auto"/>
            <w:noWrap/>
            <w:vAlign w:val="bottom"/>
            <w:hideMark/>
          </w:tcPr>
          <w:p w:rsidR="00CD214C" w:rsidRPr="007E193F" w:rsidRDefault="00CD214C" w:rsidP="00CD214C">
            <w:pPr>
              <w:spacing w:after="0" w:line="240" w:lineRule="auto"/>
              <w:jc w:val="right"/>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2</w:t>
            </w:r>
          </w:p>
        </w:tc>
      </w:tr>
      <w:tr w:rsidR="00CD214C" w:rsidRPr="007E193F" w:rsidTr="00CD214C">
        <w:trPr>
          <w:trHeight w:val="300"/>
        </w:trPr>
        <w:tc>
          <w:tcPr>
            <w:tcW w:w="2721" w:type="pct"/>
            <w:tcBorders>
              <w:top w:val="nil"/>
              <w:left w:val="single" w:sz="4" w:space="0" w:color="auto"/>
              <w:bottom w:val="single" w:sz="4" w:space="0" w:color="auto"/>
              <w:right w:val="single" w:sz="4" w:space="0" w:color="auto"/>
            </w:tcBorders>
            <w:shd w:val="clear" w:color="auto" w:fill="auto"/>
            <w:noWrap/>
            <w:vAlign w:val="bottom"/>
            <w:hideMark/>
          </w:tcPr>
          <w:p w:rsidR="00CD214C" w:rsidRPr="007E193F" w:rsidRDefault="00CD214C" w:rsidP="00CD214C">
            <w:pPr>
              <w:spacing w:after="0" w:line="240" w:lineRule="auto"/>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APPRENDISTATO PROFESSIONALIZZANTE O CONTRATTO DI MESTIERE</w:t>
            </w:r>
          </w:p>
        </w:tc>
        <w:tc>
          <w:tcPr>
            <w:tcW w:w="1841" w:type="pct"/>
            <w:tcBorders>
              <w:top w:val="nil"/>
              <w:left w:val="nil"/>
              <w:bottom w:val="single" w:sz="4" w:space="0" w:color="auto"/>
              <w:right w:val="single" w:sz="4" w:space="0" w:color="auto"/>
            </w:tcBorders>
            <w:shd w:val="clear" w:color="auto" w:fill="auto"/>
            <w:vAlign w:val="center"/>
            <w:hideMark/>
          </w:tcPr>
          <w:p w:rsidR="00CD214C" w:rsidRPr="007E193F" w:rsidRDefault="00CD214C" w:rsidP="00CD214C">
            <w:pPr>
              <w:spacing w:after="0" w:line="240" w:lineRule="auto"/>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APPRENDISTATO</w:t>
            </w:r>
          </w:p>
        </w:tc>
        <w:tc>
          <w:tcPr>
            <w:tcW w:w="438" w:type="pct"/>
            <w:tcBorders>
              <w:top w:val="nil"/>
              <w:left w:val="nil"/>
              <w:bottom w:val="single" w:sz="4" w:space="0" w:color="auto"/>
              <w:right w:val="single" w:sz="4" w:space="0" w:color="auto"/>
            </w:tcBorders>
            <w:shd w:val="clear" w:color="auto" w:fill="auto"/>
            <w:noWrap/>
            <w:vAlign w:val="bottom"/>
            <w:hideMark/>
          </w:tcPr>
          <w:p w:rsidR="00CD214C" w:rsidRPr="007E193F" w:rsidRDefault="00CD214C" w:rsidP="00CD214C">
            <w:pPr>
              <w:spacing w:after="0" w:line="240" w:lineRule="auto"/>
              <w:jc w:val="right"/>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2</w:t>
            </w:r>
          </w:p>
        </w:tc>
      </w:tr>
      <w:tr w:rsidR="00CD214C" w:rsidRPr="007E193F" w:rsidTr="00CD214C">
        <w:trPr>
          <w:trHeight w:val="300"/>
        </w:trPr>
        <w:tc>
          <w:tcPr>
            <w:tcW w:w="2721" w:type="pct"/>
            <w:tcBorders>
              <w:top w:val="nil"/>
              <w:left w:val="single" w:sz="4" w:space="0" w:color="auto"/>
              <w:bottom w:val="single" w:sz="4" w:space="0" w:color="auto"/>
              <w:right w:val="single" w:sz="4" w:space="0" w:color="auto"/>
            </w:tcBorders>
            <w:shd w:val="clear" w:color="auto" w:fill="auto"/>
            <w:noWrap/>
            <w:vAlign w:val="bottom"/>
            <w:hideMark/>
          </w:tcPr>
          <w:p w:rsidR="00CD214C" w:rsidRPr="007E193F" w:rsidRDefault="00CD214C" w:rsidP="00CD214C">
            <w:pPr>
              <w:spacing w:after="0" w:line="240" w:lineRule="auto"/>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APPRENDISTATO PROFESSIONALIZZANTE O CONTRATTO DI MESTIERE PER LAVORATORI IN MOBILITA'</w:t>
            </w:r>
          </w:p>
        </w:tc>
        <w:tc>
          <w:tcPr>
            <w:tcW w:w="1841" w:type="pct"/>
            <w:tcBorders>
              <w:top w:val="nil"/>
              <w:left w:val="nil"/>
              <w:bottom w:val="single" w:sz="4" w:space="0" w:color="auto"/>
              <w:right w:val="single" w:sz="4" w:space="0" w:color="auto"/>
            </w:tcBorders>
            <w:shd w:val="clear" w:color="auto" w:fill="auto"/>
            <w:vAlign w:val="center"/>
            <w:hideMark/>
          </w:tcPr>
          <w:p w:rsidR="00CD214C" w:rsidRPr="007E193F" w:rsidRDefault="00CD214C" w:rsidP="00CD214C">
            <w:pPr>
              <w:spacing w:after="0" w:line="240" w:lineRule="auto"/>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APPRENDISTATO</w:t>
            </w:r>
          </w:p>
        </w:tc>
        <w:tc>
          <w:tcPr>
            <w:tcW w:w="438" w:type="pct"/>
            <w:tcBorders>
              <w:top w:val="nil"/>
              <w:left w:val="nil"/>
              <w:bottom w:val="single" w:sz="4" w:space="0" w:color="auto"/>
              <w:right w:val="single" w:sz="4" w:space="0" w:color="auto"/>
            </w:tcBorders>
            <w:shd w:val="clear" w:color="auto" w:fill="auto"/>
            <w:noWrap/>
            <w:vAlign w:val="bottom"/>
            <w:hideMark/>
          </w:tcPr>
          <w:p w:rsidR="00CD214C" w:rsidRPr="007E193F" w:rsidRDefault="00CD214C" w:rsidP="00CD214C">
            <w:pPr>
              <w:spacing w:after="0" w:line="240" w:lineRule="auto"/>
              <w:jc w:val="right"/>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2</w:t>
            </w:r>
          </w:p>
        </w:tc>
      </w:tr>
      <w:tr w:rsidR="00CD214C" w:rsidRPr="007E193F" w:rsidTr="00CD214C">
        <w:trPr>
          <w:trHeight w:val="300"/>
        </w:trPr>
        <w:tc>
          <w:tcPr>
            <w:tcW w:w="2721" w:type="pct"/>
            <w:tcBorders>
              <w:top w:val="nil"/>
              <w:left w:val="single" w:sz="4" w:space="0" w:color="auto"/>
              <w:bottom w:val="single" w:sz="4" w:space="0" w:color="auto"/>
              <w:right w:val="single" w:sz="4" w:space="0" w:color="auto"/>
            </w:tcBorders>
            <w:shd w:val="clear" w:color="auto" w:fill="auto"/>
            <w:noWrap/>
            <w:vAlign w:val="bottom"/>
            <w:hideMark/>
          </w:tcPr>
          <w:p w:rsidR="00CD214C" w:rsidRPr="007E193F" w:rsidRDefault="00CD214C" w:rsidP="00CD214C">
            <w:pPr>
              <w:spacing w:after="0" w:line="240" w:lineRule="auto"/>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APPRENDISTATO PROFESSIONALIZZANTE O CONTRATTO DI MESTIERE PER LAVORATORI STAGIONALI</w:t>
            </w:r>
          </w:p>
        </w:tc>
        <w:tc>
          <w:tcPr>
            <w:tcW w:w="1841" w:type="pct"/>
            <w:tcBorders>
              <w:top w:val="nil"/>
              <w:left w:val="nil"/>
              <w:bottom w:val="single" w:sz="4" w:space="0" w:color="auto"/>
              <w:right w:val="single" w:sz="4" w:space="0" w:color="auto"/>
            </w:tcBorders>
            <w:shd w:val="clear" w:color="auto" w:fill="auto"/>
            <w:vAlign w:val="center"/>
            <w:hideMark/>
          </w:tcPr>
          <w:p w:rsidR="00CD214C" w:rsidRPr="007E193F" w:rsidRDefault="00CD214C" w:rsidP="00CD214C">
            <w:pPr>
              <w:spacing w:after="0" w:line="240" w:lineRule="auto"/>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APPRENDISTATO</w:t>
            </w:r>
          </w:p>
        </w:tc>
        <w:tc>
          <w:tcPr>
            <w:tcW w:w="438" w:type="pct"/>
            <w:tcBorders>
              <w:top w:val="nil"/>
              <w:left w:val="nil"/>
              <w:bottom w:val="single" w:sz="4" w:space="0" w:color="auto"/>
              <w:right w:val="single" w:sz="4" w:space="0" w:color="auto"/>
            </w:tcBorders>
            <w:shd w:val="clear" w:color="auto" w:fill="auto"/>
            <w:noWrap/>
            <w:vAlign w:val="bottom"/>
            <w:hideMark/>
          </w:tcPr>
          <w:p w:rsidR="00CD214C" w:rsidRPr="007E193F" w:rsidRDefault="00CD214C" w:rsidP="00CD214C">
            <w:pPr>
              <w:spacing w:after="0" w:line="240" w:lineRule="auto"/>
              <w:jc w:val="right"/>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2</w:t>
            </w:r>
          </w:p>
        </w:tc>
      </w:tr>
      <w:tr w:rsidR="00CD214C" w:rsidRPr="007E193F" w:rsidTr="00CD214C">
        <w:trPr>
          <w:trHeight w:val="300"/>
        </w:trPr>
        <w:tc>
          <w:tcPr>
            <w:tcW w:w="2721" w:type="pct"/>
            <w:tcBorders>
              <w:top w:val="nil"/>
              <w:left w:val="single" w:sz="4" w:space="0" w:color="auto"/>
              <w:bottom w:val="single" w:sz="4" w:space="0" w:color="auto"/>
              <w:right w:val="single" w:sz="4" w:space="0" w:color="auto"/>
            </w:tcBorders>
            <w:shd w:val="clear" w:color="auto" w:fill="auto"/>
            <w:noWrap/>
            <w:vAlign w:val="bottom"/>
            <w:hideMark/>
          </w:tcPr>
          <w:p w:rsidR="00CD214C" w:rsidRPr="007E193F" w:rsidRDefault="00CD214C" w:rsidP="00CD214C">
            <w:pPr>
              <w:spacing w:after="0" w:line="240" w:lineRule="auto"/>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ASSOCIAZIONE IN PARTECIPAZIONE</w:t>
            </w:r>
          </w:p>
        </w:tc>
        <w:tc>
          <w:tcPr>
            <w:tcW w:w="1841" w:type="pct"/>
            <w:tcBorders>
              <w:top w:val="nil"/>
              <w:left w:val="nil"/>
              <w:bottom w:val="nil"/>
              <w:right w:val="single" w:sz="4" w:space="0" w:color="auto"/>
            </w:tcBorders>
            <w:shd w:val="clear" w:color="auto" w:fill="auto"/>
            <w:vAlign w:val="center"/>
            <w:hideMark/>
          </w:tcPr>
          <w:p w:rsidR="00CD214C" w:rsidRPr="007E193F" w:rsidRDefault="00CD214C" w:rsidP="00CD214C">
            <w:pPr>
              <w:spacing w:after="0" w:line="240" w:lineRule="auto"/>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ASSOCIAZIONE IN PARTECIPAZIONE</w:t>
            </w:r>
          </w:p>
        </w:tc>
        <w:tc>
          <w:tcPr>
            <w:tcW w:w="438" w:type="pct"/>
            <w:tcBorders>
              <w:top w:val="nil"/>
              <w:left w:val="nil"/>
              <w:bottom w:val="single" w:sz="4" w:space="0" w:color="auto"/>
              <w:right w:val="single" w:sz="4" w:space="0" w:color="auto"/>
            </w:tcBorders>
            <w:shd w:val="clear" w:color="auto" w:fill="auto"/>
            <w:noWrap/>
            <w:vAlign w:val="bottom"/>
            <w:hideMark/>
          </w:tcPr>
          <w:p w:rsidR="00CD214C" w:rsidRPr="007E193F" w:rsidRDefault="00CD214C" w:rsidP="00CD214C">
            <w:pPr>
              <w:spacing w:after="0" w:line="240" w:lineRule="auto"/>
              <w:jc w:val="right"/>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2</w:t>
            </w:r>
          </w:p>
        </w:tc>
      </w:tr>
      <w:tr w:rsidR="00CD214C" w:rsidRPr="007E193F" w:rsidTr="00CD214C">
        <w:trPr>
          <w:trHeight w:val="300"/>
        </w:trPr>
        <w:tc>
          <w:tcPr>
            <w:tcW w:w="2721" w:type="pct"/>
            <w:tcBorders>
              <w:top w:val="nil"/>
              <w:left w:val="single" w:sz="4" w:space="0" w:color="auto"/>
              <w:bottom w:val="single" w:sz="4" w:space="0" w:color="auto"/>
              <w:right w:val="single" w:sz="4" w:space="0" w:color="auto"/>
            </w:tcBorders>
            <w:shd w:val="clear" w:color="auto" w:fill="auto"/>
            <w:noWrap/>
            <w:vAlign w:val="bottom"/>
            <w:hideMark/>
          </w:tcPr>
          <w:p w:rsidR="00CD214C" w:rsidRPr="007E193F" w:rsidRDefault="00CD214C" w:rsidP="00CD214C">
            <w:pPr>
              <w:spacing w:after="0" w:line="240" w:lineRule="auto"/>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ASSOCIAZIONE IN PARTECIPAZIONE A TEMPO DETERMINATO</w:t>
            </w:r>
          </w:p>
        </w:tc>
        <w:tc>
          <w:tcPr>
            <w:tcW w:w="1841" w:type="pct"/>
            <w:tcBorders>
              <w:top w:val="single" w:sz="4" w:space="0" w:color="auto"/>
              <w:left w:val="nil"/>
              <w:bottom w:val="nil"/>
              <w:right w:val="single" w:sz="4" w:space="0" w:color="auto"/>
            </w:tcBorders>
            <w:shd w:val="clear" w:color="auto" w:fill="auto"/>
            <w:vAlign w:val="center"/>
            <w:hideMark/>
          </w:tcPr>
          <w:p w:rsidR="00CD214C" w:rsidRPr="007E193F" w:rsidRDefault="00CD214C" w:rsidP="00CD214C">
            <w:pPr>
              <w:spacing w:after="0" w:line="240" w:lineRule="auto"/>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ASSOCIAZIONE IN PARTECIPAZIONE</w:t>
            </w:r>
          </w:p>
        </w:tc>
        <w:tc>
          <w:tcPr>
            <w:tcW w:w="438" w:type="pct"/>
            <w:tcBorders>
              <w:top w:val="nil"/>
              <w:left w:val="nil"/>
              <w:bottom w:val="single" w:sz="4" w:space="0" w:color="auto"/>
              <w:right w:val="single" w:sz="4" w:space="0" w:color="auto"/>
            </w:tcBorders>
            <w:shd w:val="clear" w:color="auto" w:fill="auto"/>
            <w:noWrap/>
            <w:vAlign w:val="bottom"/>
            <w:hideMark/>
          </w:tcPr>
          <w:p w:rsidR="00CD214C" w:rsidRPr="007E193F" w:rsidRDefault="00CD214C" w:rsidP="00CD214C">
            <w:pPr>
              <w:spacing w:after="0" w:line="240" w:lineRule="auto"/>
              <w:jc w:val="right"/>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2</w:t>
            </w:r>
          </w:p>
        </w:tc>
      </w:tr>
      <w:tr w:rsidR="00CD214C" w:rsidRPr="007E193F" w:rsidTr="00CD214C">
        <w:trPr>
          <w:trHeight w:val="300"/>
        </w:trPr>
        <w:tc>
          <w:tcPr>
            <w:tcW w:w="2721" w:type="pct"/>
            <w:tcBorders>
              <w:top w:val="nil"/>
              <w:left w:val="single" w:sz="4" w:space="0" w:color="auto"/>
              <w:bottom w:val="single" w:sz="4" w:space="0" w:color="auto"/>
              <w:right w:val="single" w:sz="4" w:space="0" w:color="auto"/>
            </w:tcBorders>
            <w:shd w:val="clear" w:color="auto" w:fill="auto"/>
            <w:noWrap/>
            <w:vAlign w:val="bottom"/>
            <w:hideMark/>
          </w:tcPr>
          <w:p w:rsidR="00CD214C" w:rsidRPr="007E193F" w:rsidRDefault="00CD214C" w:rsidP="00CD214C">
            <w:pPr>
              <w:spacing w:after="0" w:line="240" w:lineRule="auto"/>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CONTRATTO DI AGENZIA</w:t>
            </w:r>
          </w:p>
        </w:tc>
        <w:tc>
          <w:tcPr>
            <w:tcW w:w="1841" w:type="pct"/>
            <w:tcBorders>
              <w:top w:val="single" w:sz="4" w:space="0" w:color="auto"/>
              <w:left w:val="nil"/>
              <w:bottom w:val="nil"/>
              <w:right w:val="single" w:sz="4" w:space="0" w:color="auto"/>
            </w:tcBorders>
            <w:shd w:val="clear" w:color="auto" w:fill="auto"/>
            <w:vAlign w:val="center"/>
            <w:hideMark/>
          </w:tcPr>
          <w:p w:rsidR="00CD214C" w:rsidRPr="007E193F" w:rsidRDefault="00CD214C" w:rsidP="00CD214C">
            <w:pPr>
              <w:spacing w:after="0" w:line="240" w:lineRule="auto"/>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CONTRATTO DI AGENZIA</w:t>
            </w:r>
          </w:p>
        </w:tc>
        <w:tc>
          <w:tcPr>
            <w:tcW w:w="438" w:type="pct"/>
            <w:tcBorders>
              <w:top w:val="nil"/>
              <w:left w:val="nil"/>
              <w:bottom w:val="single" w:sz="4" w:space="0" w:color="auto"/>
              <w:right w:val="single" w:sz="4" w:space="0" w:color="auto"/>
            </w:tcBorders>
            <w:shd w:val="clear" w:color="auto" w:fill="auto"/>
            <w:noWrap/>
            <w:vAlign w:val="bottom"/>
            <w:hideMark/>
          </w:tcPr>
          <w:p w:rsidR="00CD214C" w:rsidRPr="007E193F" w:rsidRDefault="00CD214C" w:rsidP="00CD214C">
            <w:pPr>
              <w:spacing w:after="0" w:line="240" w:lineRule="auto"/>
              <w:jc w:val="right"/>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1</w:t>
            </w:r>
          </w:p>
        </w:tc>
      </w:tr>
      <w:tr w:rsidR="00CD214C" w:rsidRPr="007E193F" w:rsidTr="00CD214C">
        <w:trPr>
          <w:trHeight w:val="300"/>
        </w:trPr>
        <w:tc>
          <w:tcPr>
            <w:tcW w:w="2721" w:type="pct"/>
            <w:tcBorders>
              <w:top w:val="nil"/>
              <w:left w:val="single" w:sz="4" w:space="0" w:color="auto"/>
              <w:bottom w:val="single" w:sz="4" w:space="0" w:color="auto"/>
              <w:right w:val="single" w:sz="4" w:space="0" w:color="auto"/>
            </w:tcBorders>
            <w:shd w:val="clear" w:color="auto" w:fill="auto"/>
            <w:noWrap/>
            <w:vAlign w:val="bottom"/>
            <w:hideMark/>
          </w:tcPr>
          <w:p w:rsidR="00CD214C" w:rsidRPr="007E193F" w:rsidRDefault="00CD214C" w:rsidP="00CD214C">
            <w:pPr>
              <w:spacing w:after="0" w:line="240" w:lineRule="auto"/>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CONTRATTO DI AGENZIA A TEMPO DETERMINATO</w:t>
            </w:r>
          </w:p>
        </w:tc>
        <w:tc>
          <w:tcPr>
            <w:tcW w:w="1841" w:type="pct"/>
            <w:tcBorders>
              <w:top w:val="single" w:sz="4" w:space="0" w:color="auto"/>
              <w:left w:val="nil"/>
              <w:bottom w:val="nil"/>
              <w:right w:val="single" w:sz="4" w:space="0" w:color="auto"/>
            </w:tcBorders>
            <w:shd w:val="clear" w:color="auto" w:fill="auto"/>
            <w:vAlign w:val="center"/>
            <w:hideMark/>
          </w:tcPr>
          <w:p w:rsidR="00CD214C" w:rsidRPr="007E193F" w:rsidRDefault="00CD214C" w:rsidP="00CD214C">
            <w:pPr>
              <w:spacing w:after="0" w:line="240" w:lineRule="auto"/>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CONTRATTO DI AGENZIA</w:t>
            </w:r>
          </w:p>
        </w:tc>
        <w:tc>
          <w:tcPr>
            <w:tcW w:w="438" w:type="pct"/>
            <w:tcBorders>
              <w:top w:val="nil"/>
              <w:left w:val="nil"/>
              <w:bottom w:val="single" w:sz="4" w:space="0" w:color="auto"/>
              <w:right w:val="single" w:sz="4" w:space="0" w:color="auto"/>
            </w:tcBorders>
            <w:shd w:val="clear" w:color="auto" w:fill="auto"/>
            <w:noWrap/>
            <w:vAlign w:val="bottom"/>
            <w:hideMark/>
          </w:tcPr>
          <w:p w:rsidR="00CD214C" w:rsidRPr="007E193F" w:rsidRDefault="00CD214C" w:rsidP="00CD214C">
            <w:pPr>
              <w:spacing w:after="0" w:line="240" w:lineRule="auto"/>
              <w:jc w:val="right"/>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1</w:t>
            </w:r>
          </w:p>
        </w:tc>
      </w:tr>
      <w:tr w:rsidR="00CD214C" w:rsidRPr="007E193F" w:rsidTr="00CD214C">
        <w:trPr>
          <w:trHeight w:val="300"/>
        </w:trPr>
        <w:tc>
          <w:tcPr>
            <w:tcW w:w="2721" w:type="pct"/>
            <w:tcBorders>
              <w:top w:val="nil"/>
              <w:left w:val="single" w:sz="4" w:space="0" w:color="auto"/>
              <w:bottom w:val="single" w:sz="4" w:space="0" w:color="auto"/>
              <w:right w:val="single" w:sz="4" w:space="0" w:color="auto"/>
            </w:tcBorders>
            <w:shd w:val="clear" w:color="auto" w:fill="auto"/>
            <w:vAlign w:val="center"/>
            <w:hideMark/>
          </w:tcPr>
          <w:p w:rsidR="00CD214C" w:rsidRPr="007E193F" w:rsidRDefault="00CD214C" w:rsidP="00CD214C">
            <w:pPr>
              <w:spacing w:after="0" w:line="240" w:lineRule="auto"/>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LAVORO INTERINALE (O A SCOPO DI SOMMINISTRAZIONE) A TEMPO DETERMINATO</w:t>
            </w:r>
          </w:p>
        </w:tc>
        <w:tc>
          <w:tcPr>
            <w:tcW w:w="1841" w:type="pct"/>
            <w:tcBorders>
              <w:top w:val="single" w:sz="4" w:space="0" w:color="auto"/>
              <w:left w:val="nil"/>
              <w:bottom w:val="nil"/>
              <w:right w:val="single" w:sz="4" w:space="0" w:color="auto"/>
            </w:tcBorders>
            <w:shd w:val="clear" w:color="auto" w:fill="auto"/>
            <w:vAlign w:val="center"/>
            <w:hideMark/>
          </w:tcPr>
          <w:p w:rsidR="00CD214C" w:rsidRPr="007E193F" w:rsidRDefault="00CD214C" w:rsidP="00CD214C">
            <w:pPr>
              <w:spacing w:after="0" w:line="240" w:lineRule="auto"/>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CONTRATTO DI AGENZIA</w:t>
            </w:r>
          </w:p>
        </w:tc>
        <w:tc>
          <w:tcPr>
            <w:tcW w:w="438" w:type="pct"/>
            <w:tcBorders>
              <w:top w:val="nil"/>
              <w:left w:val="nil"/>
              <w:bottom w:val="single" w:sz="4" w:space="0" w:color="auto"/>
              <w:right w:val="single" w:sz="4" w:space="0" w:color="auto"/>
            </w:tcBorders>
            <w:shd w:val="clear" w:color="auto" w:fill="auto"/>
            <w:noWrap/>
            <w:vAlign w:val="bottom"/>
            <w:hideMark/>
          </w:tcPr>
          <w:p w:rsidR="00CD214C" w:rsidRPr="007E193F" w:rsidRDefault="00CD214C" w:rsidP="00CD214C">
            <w:pPr>
              <w:spacing w:after="0" w:line="240" w:lineRule="auto"/>
              <w:jc w:val="right"/>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1</w:t>
            </w:r>
          </w:p>
        </w:tc>
      </w:tr>
      <w:tr w:rsidR="00CD214C" w:rsidRPr="007E193F" w:rsidTr="00CD214C">
        <w:trPr>
          <w:trHeight w:val="600"/>
        </w:trPr>
        <w:tc>
          <w:tcPr>
            <w:tcW w:w="2721" w:type="pct"/>
            <w:tcBorders>
              <w:top w:val="nil"/>
              <w:left w:val="single" w:sz="4" w:space="0" w:color="auto"/>
              <w:bottom w:val="single" w:sz="4" w:space="0" w:color="auto"/>
              <w:right w:val="single" w:sz="4" w:space="0" w:color="auto"/>
            </w:tcBorders>
            <w:shd w:val="clear" w:color="auto" w:fill="auto"/>
            <w:noWrap/>
            <w:vAlign w:val="bottom"/>
            <w:hideMark/>
          </w:tcPr>
          <w:p w:rsidR="00CD214C" w:rsidRPr="007E193F" w:rsidRDefault="00CD214C" w:rsidP="00CD214C">
            <w:pPr>
              <w:spacing w:after="0" w:line="240" w:lineRule="auto"/>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CONTRATTO DI FORMAZIONE LAVORO (SOLO PUBBLICA AMMINISTRAZIONE)</w:t>
            </w:r>
          </w:p>
        </w:tc>
        <w:tc>
          <w:tcPr>
            <w:tcW w:w="1841" w:type="pct"/>
            <w:tcBorders>
              <w:top w:val="single" w:sz="4" w:space="0" w:color="auto"/>
              <w:left w:val="nil"/>
              <w:bottom w:val="single" w:sz="4" w:space="0" w:color="auto"/>
              <w:right w:val="single" w:sz="4" w:space="0" w:color="auto"/>
            </w:tcBorders>
            <w:shd w:val="clear" w:color="auto" w:fill="auto"/>
            <w:vAlign w:val="center"/>
            <w:hideMark/>
          </w:tcPr>
          <w:p w:rsidR="00CD214C" w:rsidRPr="007E193F" w:rsidRDefault="00CD214C" w:rsidP="00CD214C">
            <w:pPr>
              <w:spacing w:after="0" w:line="240" w:lineRule="auto"/>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CONTRATTO DI FORMAZIONE LAVORO (SOLO PUBBLICA AMMINISTRAZIONE)</w:t>
            </w:r>
          </w:p>
        </w:tc>
        <w:tc>
          <w:tcPr>
            <w:tcW w:w="438" w:type="pct"/>
            <w:tcBorders>
              <w:top w:val="nil"/>
              <w:left w:val="nil"/>
              <w:bottom w:val="single" w:sz="4" w:space="0" w:color="auto"/>
              <w:right w:val="single" w:sz="4" w:space="0" w:color="auto"/>
            </w:tcBorders>
            <w:shd w:val="clear" w:color="auto" w:fill="auto"/>
            <w:noWrap/>
            <w:vAlign w:val="bottom"/>
            <w:hideMark/>
          </w:tcPr>
          <w:p w:rsidR="00CD214C" w:rsidRPr="007E193F" w:rsidRDefault="00CD214C" w:rsidP="00CD214C">
            <w:pPr>
              <w:spacing w:after="0" w:line="240" w:lineRule="auto"/>
              <w:jc w:val="right"/>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2</w:t>
            </w:r>
          </w:p>
        </w:tc>
      </w:tr>
      <w:tr w:rsidR="00CD214C" w:rsidRPr="007E193F" w:rsidTr="00CD214C">
        <w:trPr>
          <w:trHeight w:val="300"/>
        </w:trPr>
        <w:tc>
          <w:tcPr>
            <w:tcW w:w="2721" w:type="pct"/>
            <w:tcBorders>
              <w:top w:val="nil"/>
              <w:left w:val="single" w:sz="4" w:space="0" w:color="auto"/>
              <w:bottom w:val="single" w:sz="4" w:space="0" w:color="auto"/>
              <w:right w:val="single" w:sz="4" w:space="0" w:color="auto"/>
            </w:tcBorders>
            <w:shd w:val="clear" w:color="auto" w:fill="auto"/>
            <w:noWrap/>
            <w:vAlign w:val="bottom"/>
            <w:hideMark/>
          </w:tcPr>
          <w:p w:rsidR="00CD214C" w:rsidRPr="007E193F" w:rsidRDefault="00CD214C" w:rsidP="00CD214C">
            <w:pPr>
              <w:spacing w:after="0" w:line="240" w:lineRule="auto"/>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CONTRATTO DI INSERIMENTO LAVORATIVO</w:t>
            </w:r>
          </w:p>
        </w:tc>
        <w:tc>
          <w:tcPr>
            <w:tcW w:w="1841" w:type="pct"/>
            <w:tcBorders>
              <w:top w:val="nil"/>
              <w:left w:val="nil"/>
              <w:bottom w:val="single" w:sz="4" w:space="0" w:color="auto"/>
              <w:right w:val="single" w:sz="4" w:space="0" w:color="auto"/>
            </w:tcBorders>
            <w:shd w:val="clear" w:color="auto" w:fill="auto"/>
            <w:vAlign w:val="center"/>
            <w:hideMark/>
          </w:tcPr>
          <w:p w:rsidR="00CD214C" w:rsidRPr="007E193F" w:rsidRDefault="00CD214C" w:rsidP="00CD214C">
            <w:pPr>
              <w:spacing w:after="0" w:line="240" w:lineRule="auto"/>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CONTRATTO DI INSERIMENTO LAVORATIVO</w:t>
            </w:r>
          </w:p>
        </w:tc>
        <w:tc>
          <w:tcPr>
            <w:tcW w:w="438" w:type="pct"/>
            <w:tcBorders>
              <w:top w:val="nil"/>
              <w:left w:val="nil"/>
              <w:bottom w:val="single" w:sz="4" w:space="0" w:color="auto"/>
              <w:right w:val="single" w:sz="4" w:space="0" w:color="auto"/>
            </w:tcBorders>
            <w:shd w:val="clear" w:color="auto" w:fill="auto"/>
            <w:noWrap/>
            <w:vAlign w:val="bottom"/>
            <w:hideMark/>
          </w:tcPr>
          <w:p w:rsidR="00CD214C" w:rsidRPr="007E193F" w:rsidRDefault="00CD214C" w:rsidP="00CD214C">
            <w:pPr>
              <w:spacing w:after="0" w:line="240" w:lineRule="auto"/>
              <w:jc w:val="right"/>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2</w:t>
            </w:r>
          </w:p>
        </w:tc>
      </w:tr>
      <w:tr w:rsidR="00CD214C" w:rsidRPr="007E193F" w:rsidTr="00CD214C">
        <w:trPr>
          <w:trHeight w:val="300"/>
        </w:trPr>
        <w:tc>
          <w:tcPr>
            <w:tcW w:w="2721" w:type="pct"/>
            <w:tcBorders>
              <w:top w:val="nil"/>
              <w:left w:val="single" w:sz="4" w:space="0" w:color="auto"/>
              <w:bottom w:val="single" w:sz="4" w:space="0" w:color="auto"/>
              <w:right w:val="single" w:sz="4" w:space="0" w:color="auto"/>
            </w:tcBorders>
            <w:shd w:val="clear" w:color="auto" w:fill="auto"/>
            <w:noWrap/>
            <w:vAlign w:val="bottom"/>
            <w:hideMark/>
          </w:tcPr>
          <w:p w:rsidR="00CD214C" w:rsidRPr="007E193F" w:rsidRDefault="00CD214C" w:rsidP="00CD214C">
            <w:pPr>
              <w:spacing w:after="0" w:line="240" w:lineRule="auto"/>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LAVORO A DOMICILIO</w:t>
            </w:r>
          </w:p>
        </w:tc>
        <w:tc>
          <w:tcPr>
            <w:tcW w:w="1841" w:type="pct"/>
            <w:tcBorders>
              <w:top w:val="nil"/>
              <w:left w:val="nil"/>
              <w:bottom w:val="single" w:sz="4" w:space="0" w:color="auto"/>
              <w:right w:val="single" w:sz="4" w:space="0" w:color="auto"/>
            </w:tcBorders>
            <w:shd w:val="clear" w:color="auto" w:fill="auto"/>
            <w:vAlign w:val="center"/>
            <w:hideMark/>
          </w:tcPr>
          <w:p w:rsidR="00CD214C" w:rsidRPr="007E193F" w:rsidRDefault="00CD214C" w:rsidP="00CD214C">
            <w:pPr>
              <w:spacing w:after="0" w:line="240" w:lineRule="auto"/>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LAVORO A DOMICILIO</w:t>
            </w:r>
          </w:p>
        </w:tc>
        <w:tc>
          <w:tcPr>
            <w:tcW w:w="438" w:type="pct"/>
            <w:tcBorders>
              <w:top w:val="nil"/>
              <w:left w:val="nil"/>
              <w:bottom w:val="single" w:sz="4" w:space="0" w:color="auto"/>
              <w:right w:val="single" w:sz="4" w:space="0" w:color="auto"/>
            </w:tcBorders>
            <w:shd w:val="clear" w:color="auto" w:fill="auto"/>
            <w:noWrap/>
            <w:vAlign w:val="bottom"/>
            <w:hideMark/>
          </w:tcPr>
          <w:p w:rsidR="00CD214C" w:rsidRPr="007E193F" w:rsidRDefault="00CD214C" w:rsidP="00CD214C">
            <w:pPr>
              <w:spacing w:after="0" w:line="240" w:lineRule="auto"/>
              <w:jc w:val="right"/>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2</w:t>
            </w:r>
          </w:p>
        </w:tc>
      </w:tr>
      <w:tr w:rsidR="00CD214C" w:rsidRPr="007E193F" w:rsidTr="00CD214C">
        <w:trPr>
          <w:trHeight w:val="300"/>
        </w:trPr>
        <w:tc>
          <w:tcPr>
            <w:tcW w:w="2721" w:type="pct"/>
            <w:tcBorders>
              <w:top w:val="nil"/>
              <w:left w:val="single" w:sz="4" w:space="0" w:color="auto"/>
              <w:bottom w:val="single" w:sz="4" w:space="0" w:color="auto"/>
              <w:right w:val="single" w:sz="4" w:space="0" w:color="auto"/>
            </w:tcBorders>
            <w:shd w:val="clear" w:color="auto" w:fill="auto"/>
            <w:noWrap/>
            <w:vAlign w:val="bottom"/>
            <w:hideMark/>
          </w:tcPr>
          <w:p w:rsidR="00CD214C" w:rsidRPr="007E193F" w:rsidRDefault="00CD214C" w:rsidP="00CD214C">
            <w:pPr>
              <w:spacing w:after="0" w:line="240" w:lineRule="auto"/>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LAVORO A DOMICILIO A TEMPO DETERMINATO</w:t>
            </w:r>
          </w:p>
        </w:tc>
        <w:tc>
          <w:tcPr>
            <w:tcW w:w="1841" w:type="pct"/>
            <w:tcBorders>
              <w:top w:val="nil"/>
              <w:left w:val="nil"/>
              <w:bottom w:val="single" w:sz="4" w:space="0" w:color="auto"/>
              <w:right w:val="single" w:sz="4" w:space="0" w:color="auto"/>
            </w:tcBorders>
            <w:shd w:val="clear" w:color="auto" w:fill="auto"/>
            <w:vAlign w:val="center"/>
            <w:hideMark/>
          </w:tcPr>
          <w:p w:rsidR="00CD214C" w:rsidRPr="007E193F" w:rsidRDefault="00CD214C" w:rsidP="00CD214C">
            <w:pPr>
              <w:spacing w:after="0" w:line="240" w:lineRule="auto"/>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LAVORO A DOMICILIO</w:t>
            </w:r>
          </w:p>
        </w:tc>
        <w:tc>
          <w:tcPr>
            <w:tcW w:w="438" w:type="pct"/>
            <w:tcBorders>
              <w:top w:val="nil"/>
              <w:left w:val="nil"/>
              <w:bottom w:val="single" w:sz="4" w:space="0" w:color="auto"/>
              <w:right w:val="single" w:sz="4" w:space="0" w:color="auto"/>
            </w:tcBorders>
            <w:shd w:val="clear" w:color="auto" w:fill="auto"/>
            <w:noWrap/>
            <w:vAlign w:val="bottom"/>
            <w:hideMark/>
          </w:tcPr>
          <w:p w:rsidR="00CD214C" w:rsidRPr="007E193F" w:rsidRDefault="00CD214C" w:rsidP="00CD214C">
            <w:pPr>
              <w:spacing w:after="0" w:line="240" w:lineRule="auto"/>
              <w:jc w:val="right"/>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2</w:t>
            </w:r>
          </w:p>
        </w:tc>
      </w:tr>
      <w:tr w:rsidR="00CD214C" w:rsidRPr="007E193F" w:rsidTr="00CD214C">
        <w:trPr>
          <w:trHeight w:val="300"/>
        </w:trPr>
        <w:tc>
          <w:tcPr>
            <w:tcW w:w="2721" w:type="pct"/>
            <w:tcBorders>
              <w:top w:val="nil"/>
              <w:left w:val="single" w:sz="4" w:space="0" w:color="auto"/>
              <w:bottom w:val="single" w:sz="4" w:space="0" w:color="auto"/>
              <w:right w:val="single" w:sz="4" w:space="0" w:color="auto"/>
            </w:tcBorders>
            <w:shd w:val="clear" w:color="auto" w:fill="auto"/>
            <w:noWrap/>
            <w:vAlign w:val="bottom"/>
            <w:hideMark/>
          </w:tcPr>
          <w:p w:rsidR="00CD214C" w:rsidRPr="007E193F" w:rsidRDefault="00CD214C" w:rsidP="00CD214C">
            <w:pPr>
              <w:spacing w:after="0" w:line="240" w:lineRule="auto"/>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LAVORO A DOMICILIO A TEMPO INDETERMINATO</w:t>
            </w:r>
          </w:p>
        </w:tc>
        <w:tc>
          <w:tcPr>
            <w:tcW w:w="1841" w:type="pct"/>
            <w:tcBorders>
              <w:top w:val="nil"/>
              <w:left w:val="nil"/>
              <w:bottom w:val="single" w:sz="4" w:space="0" w:color="auto"/>
              <w:right w:val="single" w:sz="4" w:space="0" w:color="auto"/>
            </w:tcBorders>
            <w:shd w:val="clear" w:color="auto" w:fill="auto"/>
            <w:vAlign w:val="center"/>
            <w:hideMark/>
          </w:tcPr>
          <w:p w:rsidR="00CD214C" w:rsidRPr="007E193F" w:rsidRDefault="00CD214C" w:rsidP="00CD214C">
            <w:pPr>
              <w:spacing w:after="0" w:line="240" w:lineRule="auto"/>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LAVORO A DOMICILIO</w:t>
            </w:r>
          </w:p>
        </w:tc>
        <w:tc>
          <w:tcPr>
            <w:tcW w:w="438" w:type="pct"/>
            <w:tcBorders>
              <w:top w:val="nil"/>
              <w:left w:val="nil"/>
              <w:bottom w:val="single" w:sz="4" w:space="0" w:color="auto"/>
              <w:right w:val="single" w:sz="4" w:space="0" w:color="auto"/>
            </w:tcBorders>
            <w:shd w:val="clear" w:color="auto" w:fill="auto"/>
            <w:noWrap/>
            <w:vAlign w:val="bottom"/>
            <w:hideMark/>
          </w:tcPr>
          <w:p w:rsidR="00CD214C" w:rsidRPr="007E193F" w:rsidRDefault="00CD214C" w:rsidP="00CD214C">
            <w:pPr>
              <w:spacing w:after="0" w:line="240" w:lineRule="auto"/>
              <w:jc w:val="right"/>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2</w:t>
            </w:r>
          </w:p>
        </w:tc>
      </w:tr>
      <w:tr w:rsidR="00CD214C" w:rsidRPr="007E193F" w:rsidTr="00CD214C">
        <w:trPr>
          <w:trHeight w:val="300"/>
        </w:trPr>
        <w:tc>
          <w:tcPr>
            <w:tcW w:w="2721" w:type="pct"/>
            <w:tcBorders>
              <w:top w:val="nil"/>
              <w:left w:val="single" w:sz="4" w:space="0" w:color="auto"/>
              <w:bottom w:val="single" w:sz="4" w:space="0" w:color="auto"/>
              <w:right w:val="single" w:sz="4" w:space="0" w:color="auto"/>
            </w:tcBorders>
            <w:shd w:val="clear" w:color="auto" w:fill="auto"/>
            <w:noWrap/>
            <w:vAlign w:val="bottom"/>
            <w:hideMark/>
          </w:tcPr>
          <w:p w:rsidR="00CD214C" w:rsidRPr="007E193F" w:rsidRDefault="00CD214C" w:rsidP="00CD214C">
            <w:pPr>
              <w:spacing w:after="0" w:line="240" w:lineRule="auto"/>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LAVORO A PROGETTO / COLLABORAZIONE COORDINATA E CONTINUATIVA</w:t>
            </w:r>
          </w:p>
        </w:tc>
        <w:tc>
          <w:tcPr>
            <w:tcW w:w="1841" w:type="pct"/>
            <w:tcBorders>
              <w:top w:val="nil"/>
              <w:left w:val="nil"/>
              <w:bottom w:val="single" w:sz="4" w:space="0" w:color="auto"/>
              <w:right w:val="single" w:sz="4" w:space="0" w:color="auto"/>
            </w:tcBorders>
            <w:shd w:val="clear" w:color="auto" w:fill="auto"/>
            <w:vAlign w:val="center"/>
            <w:hideMark/>
          </w:tcPr>
          <w:p w:rsidR="00CD214C" w:rsidRPr="007E193F" w:rsidRDefault="00CD214C" w:rsidP="00CD214C">
            <w:pPr>
              <w:spacing w:after="0" w:line="240" w:lineRule="auto"/>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LAVORO A PROGETTO / COLLABORAZIONE COORDINATA E CONTINUATIVA</w:t>
            </w:r>
          </w:p>
        </w:tc>
        <w:tc>
          <w:tcPr>
            <w:tcW w:w="438" w:type="pct"/>
            <w:tcBorders>
              <w:top w:val="nil"/>
              <w:left w:val="nil"/>
              <w:bottom w:val="single" w:sz="4" w:space="0" w:color="auto"/>
              <w:right w:val="single" w:sz="4" w:space="0" w:color="auto"/>
            </w:tcBorders>
            <w:shd w:val="clear" w:color="auto" w:fill="auto"/>
            <w:noWrap/>
            <w:vAlign w:val="bottom"/>
            <w:hideMark/>
          </w:tcPr>
          <w:p w:rsidR="00CD214C" w:rsidRPr="007E193F" w:rsidRDefault="00CD214C" w:rsidP="00CD214C">
            <w:pPr>
              <w:spacing w:after="0" w:line="240" w:lineRule="auto"/>
              <w:jc w:val="right"/>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1</w:t>
            </w:r>
          </w:p>
        </w:tc>
      </w:tr>
      <w:tr w:rsidR="00CD214C" w:rsidRPr="007E193F" w:rsidTr="00CD214C">
        <w:trPr>
          <w:trHeight w:val="300"/>
        </w:trPr>
        <w:tc>
          <w:tcPr>
            <w:tcW w:w="2721" w:type="pct"/>
            <w:tcBorders>
              <w:top w:val="nil"/>
              <w:left w:val="single" w:sz="4" w:space="0" w:color="auto"/>
              <w:bottom w:val="single" w:sz="4" w:space="0" w:color="auto"/>
              <w:right w:val="single" w:sz="4" w:space="0" w:color="auto"/>
            </w:tcBorders>
            <w:shd w:val="clear" w:color="auto" w:fill="auto"/>
            <w:noWrap/>
            <w:vAlign w:val="bottom"/>
            <w:hideMark/>
          </w:tcPr>
          <w:p w:rsidR="00CD214C" w:rsidRPr="007E193F" w:rsidRDefault="00CD214C" w:rsidP="00CD214C">
            <w:pPr>
              <w:spacing w:after="0" w:line="240" w:lineRule="auto"/>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LAVORO A TEMPO DETERMINATO</w:t>
            </w:r>
          </w:p>
        </w:tc>
        <w:tc>
          <w:tcPr>
            <w:tcW w:w="1841" w:type="pct"/>
            <w:tcBorders>
              <w:top w:val="nil"/>
              <w:left w:val="nil"/>
              <w:bottom w:val="nil"/>
              <w:right w:val="single" w:sz="4" w:space="0" w:color="auto"/>
            </w:tcBorders>
            <w:shd w:val="clear" w:color="auto" w:fill="auto"/>
            <w:vAlign w:val="center"/>
            <w:hideMark/>
          </w:tcPr>
          <w:p w:rsidR="00CD214C" w:rsidRPr="007E193F" w:rsidRDefault="00CD214C" w:rsidP="00CD214C">
            <w:pPr>
              <w:spacing w:after="0" w:line="240" w:lineRule="auto"/>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LAVORO A TEMPO DETERMINATO</w:t>
            </w:r>
          </w:p>
        </w:tc>
        <w:tc>
          <w:tcPr>
            <w:tcW w:w="438" w:type="pct"/>
            <w:tcBorders>
              <w:top w:val="nil"/>
              <w:left w:val="nil"/>
              <w:bottom w:val="single" w:sz="4" w:space="0" w:color="auto"/>
              <w:right w:val="single" w:sz="4" w:space="0" w:color="auto"/>
            </w:tcBorders>
            <w:shd w:val="clear" w:color="auto" w:fill="auto"/>
            <w:noWrap/>
            <w:vAlign w:val="bottom"/>
            <w:hideMark/>
          </w:tcPr>
          <w:p w:rsidR="00CD214C" w:rsidRPr="007E193F" w:rsidRDefault="00CD214C" w:rsidP="00CD214C">
            <w:pPr>
              <w:spacing w:after="0" w:line="240" w:lineRule="auto"/>
              <w:jc w:val="right"/>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2</w:t>
            </w:r>
          </w:p>
        </w:tc>
      </w:tr>
      <w:tr w:rsidR="00CD214C" w:rsidRPr="007E193F" w:rsidTr="00CD214C">
        <w:trPr>
          <w:trHeight w:val="300"/>
        </w:trPr>
        <w:tc>
          <w:tcPr>
            <w:tcW w:w="2721" w:type="pct"/>
            <w:tcBorders>
              <w:top w:val="nil"/>
              <w:left w:val="single" w:sz="4" w:space="0" w:color="auto"/>
              <w:bottom w:val="single" w:sz="4" w:space="0" w:color="auto"/>
              <w:right w:val="single" w:sz="4" w:space="0" w:color="auto"/>
            </w:tcBorders>
            <w:shd w:val="clear" w:color="auto" w:fill="auto"/>
            <w:noWrap/>
            <w:vAlign w:val="bottom"/>
            <w:hideMark/>
          </w:tcPr>
          <w:p w:rsidR="00CD214C" w:rsidRPr="007E193F" w:rsidRDefault="00CD214C" w:rsidP="00CD214C">
            <w:pPr>
              <w:spacing w:after="0" w:line="240" w:lineRule="auto"/>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LAVORO DIPENDENTE NELLA P.A. A TEMPO DETERMINATO</w:t>
            </w:r>
          </w:p>
        </w:tc>
        <w:tc>
          <w:tcPr>
            <w:tcW w:w="1841" w:type="pct"/>
            <w:tcBorders>
              <w:top w:val="single" w:sz="4" w:space="0" w:color="auto"/>
              <w:left w:val="nil"/>
              <w:bottom w:val="nil"/>
              <w:right w:val="single" w:sz="4" w:space="0" w:color="auto"/>
            </w:tcBorders>
            <w:shd w:val="clear" w:color="auto" w:fill="auto"/>
            <w:vAlign w:val="center"/>
            <w:hideMark/>
          </w:tcPr>
          <w:p w:rsidR="00CD214C" w:rsidRPr="007E193F" w:rsidRDefault="00CD214C" w:rsidP="00CD214C">
            <w:pPr>
              <w:spacing w:after="0" w:line="240" w:lineRule="auto"/>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LAVORO A TEMPO DETERMINATO</w:t>
            </w:r>
          </w:p>
        </w:tc>
        <w:tc>
          <w:tcPr>
            <w:tcW w:w="438" w:type="pct"/>
            <w:tcBorders>
              <w:top w:val="nil"/>
              <w:left w:val="nil"/>
              <w:bottom w:val="single" w:sz="4" w:space="0" w:color="auto"/>
              <w:right w:val="single" w:sz="4" w:space="0" w:color="auto"/>
            </w:tcBorders>
            <w:shd w:val="clear" w:color="auto" w:fill="auto"/>
            <w:noWrap/>
            <w:vAlign w:val="bottom"/>
            <w:hideMark/>
          </w:tcPr>
          <w:p w:rsidR="00CD214C" w:rsidRPr="007E193F" w:rsidRDefault="00CD214C" w:rsidP="00CD214C">
            <w:pPr>
              <w:spacing w:after="0" w:line="240" w:lineRule="auto"/>
              <w:jc w:val="right"/>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2</w:t>
            </w:r>
          </w:p>
        </w:tc>
      </w:tr>
      <w:tr w:rsidR="00CD214C" w:rsidRPr="007E193F" w:rsidTr="00CD214C">
        <w:trPr>
          <w:trHeight w:val="300"/>
        </w:trPr>
        <w:tc>
          <w:tcPr>
            <w:tcW w:w="2721" w:type="pct"/>
            <w:tcBorders>
              <w:top w:val="nil"/>
              <w:left w:val="single" w:sz="4" w:space="0" w:color="auto"/>
              <w:bottom w:val="single" w:sz="4" w:space="0" w:color="auto"/>
              <w:right w:val="single" w:sz="4" w:space="0" w:color="auto"/>
            </w:tcBorders>
            <w:shd w:val="clear" w:color="auto" w:fill="auto"/>
            <w:noWrap/>
            <w:vAlign w:val="bottom"/>
            <w:hideMark/>
          </w:tcPr>
          <w:p w:rsidR="00CD214C" w:rsidRPr="007E193F" w:rsidRDefault="00CD214C" w:rsidP="00CD214C">
            <w:pPr>
              <w:spacing w:after="0" w:line="240" w:lineRule="auto"/>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 xml:space="preserve">LAVORO A TEMPO </w:t>
            </w:r>
            <w:proofErr w:type="gramStart"/>
            <w:r w:rsidRPr="007E193F">
              <w:rPr>
                <w:rFonts w:ascii="Calibri" w:eastAsia="Times New Roman" w:hAnsi="Calibri" w:cs="Times New Roman"/>
                <w:color w:val="000000"/>
                <w:sz w:val="18"/>
                <w:szCs w:val="18"/>
                <w:lang w:eastAsia="it-IT"/>
              </w:rPr>
              <w:t>DETERMINATO  PER</w:t>
            </w:r>
            <w:proofErr w:type="gramEnd"/>
            <w:r w:rsidRPr="007E193F">
              <w:rPr>
                <w:rFonts w:ascii="Calibri" w:eastAsia="Times New Roman" w:hAnsi="Calibri" w:cs="Times New Roman"/>
                <w:color w:val="000000"/>
                <w:sz w:val="18"/>
                <w:szCs w:val="18"/>
                <w:lang w:eastAsia="it-IT"/>
              </w:rPr>
              <w:t xml:space="preserve"> SOSTITUZIONE</w:t>
            </w:r>
          </w:p>
        </w:tc>
        <w:tc>
          <w:tcPr>
            <w:tcW w:w="1841" w:type="pct"/>
            <w:tcBorders>
              <w:top w:val="single" w:sz="4" w:space="0" w:color="auto"/>
              <w:left w:val="nil"/>
              <w:bottom w:val="nil"/>
              <w:right w:val="single" w:sz="4" w:space="0" w:color="auto"/>
            </w:tcBorders>
            <w:shd w:val="clear" w:color="auto" w:fill="auto"/>
            <w:vAlign w:val="center"/>
            <w:hideMark/>
          </w:tcPr>
          <w:p w:rsidR="00CD214C" w:rsidRPr="007E193F" w:rsidRDefault="00CD214C" w:rsidP="00CD214C">
            <w:pPr>
              <w:spacing w:after="0" w:line="240" w:lineRule="auto"/>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LAVORO A TEMPO DETERMINATO</w:t>
            </w:r>
          </w:p>
        </w:tc>
        <w:tc>
          <w:tcPr>
            <w:tcW w:w="438" w:type="pct"/>
            <w:tcBorders>
              <w:top w:val="nil"/>
              <w:left w:val="nil"/>
              <w:bottom w:val="single" w:sz="4" w:space="0" w:color="auto"/>
              <w:right w:val="single" w:sz="4" w:space="0" w:color="auto"/>
            </w:tcBorders>
            <w:shd w:val="clear" w:color="auto" w:fill="auto"/>
            <w:noWrap/>
            <w:vAlign w:val="bottom"/>
            <w:hideMark/>
          </w:tcPr>
          <w:p w:rsidR="00CD214C" w:rsidRPr="007E193F" w:rsidRDefault="00CD214C" w:rsidP="00CD214C">
            <w:pPr>
              <w:spacing w:after="0" w:line="240" w:lineRule="auto"/>
              <w:jc w:val="right"/>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2</w:t>
            </w:r>
          </w:p>
        </w:tc>
      </w:tr>
      <w:tr w:rsidR="00CD214C" w:rsidRPr="007E193F" w:rsidTr="00CD214C">
        <w:trPr>
          <w:trHeight w:val="300"/>
        </w:trPr>
        <w:tc>
          <w:tcPr>
            <w:tcW w:w="2721" w:type="pct"/>
            <w:tcBorders>
              <w:top w:val="nil"/>
              <w:left w:val="single" w:sz="4" w:space="0" w:color="auto"/>
              <w:bottom w:val="single" w:sz="4" w:space="0" w:color="auto"/>
              <w:right w:val="single" w:sz="4" w:space="0" w:color="auto"/>
            </w:tcBorders>
            <w:shd w:val="clear" w:color="auto" w:fill="auto"/>
            <w:noWrap/>
            <w:vAlign w:val="bottom"/>
            <w:hideMark/>
          </w:tcPr>
          <w:p w:rsidR="00CD214C" w:rsidRPr="007E193F" w:rsidRDefault="00CD214C" w:rsidP="00CD214C">
            <w:pPr>
              <w:spacing w:after="0" w:line="240" w:lineRule="auto"/>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LAVORO MARITTIMO A TEMPO DETERMINATO</w:t>
            </w:r>
          </w:p>
        </w:tc>
        <w:tc>
          <w:tcPr>
            <w:tcW w:w="1841" w:type="pct"/>
            <w:tcBorders>
              <w:top w:val="single" w:sz="4" w:space="0" w:color="auto"/>
              <w:left w:val="nil"/>
              <w:bottom w:val="nil"/>
              <w:right w:val="single" w:sz="4" w:space="0" w:color="auto"/>
            </w:tcBorders>
            <w:shd w:val="clear" w:color="auto" w:fill="auto"/>
            <w:vAlign w:val="center"/>
            <w:hideMark/>
          </w:tcPr>
          <w:p w:rsidR="00CD214C" w:rsidRPr="007E193F" w:rsidRDefault="00CD214C" w:rsidP="00CD214C">
            <w:pPr>
              <w:spacing w:after="0" w:line="240" w:lineRule="auto"/>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LAVORO A TEMPO DETERMINATO</w:t>
            </w:r>
          </w:p>
        </w:tc>
        <w:tc>
          <w:tcPr>
            <w:tcW w:w="438" w:type="pct"/>
            <w:tcBorders>
              <w:top w:val="nil"/>
              <w:left w:val="nil"/>
              <w:bottom w:val="single" w:sz="4" w:space="0" w:color="auto"/>
              <w:right w:val="single" w:sz="4" w:space="0" w:color="auto"/>
            </w:tcBorders>
            <w:shd w:val="clear" w:color="auto" w:fill="auto"/>
            <w:noWrap/>
            <w:vAlign w:val="bottom"/>
            <w:hideMark/>
          </w:tcPr>
          <w:p w:rsidR="00CD214C" w:rsidRPr="007E193F" w:rsidRDefault="00CD214C" w:rsidP="00CD214C">
            <w:pPr>
              <w:spacing w:after="0" w:line="240" w:lineRule="auto"/>
              <w:jc w:val="right"/>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2</w:t>
            </w:r>
          </w:p>
        </w:tc>
      </w:tr>
      <w:tr w:rsidR="00CD214C" w:rsidRPr="007E193F" w:rsidTr="00CD214C">
        <w:trPr>
          <w:trHeight w:val="300"/>
        </w:trPr>
        <w:tc>
          <w:tcPr>
            <w:tcW w:w="2721" w:type="pct"/>
            <w:tcBorders>
              <w:top w:val="nil"/>
              <w:left w:val="single" w:sz="4" w:space="0" w:color="auto"/>
              <w:bottom w:val="single" w:sz="4" w:space="0" w:color="auto"/>
              <w:right w:val="single" w:sz="4" w:space="0" w:color="auto"/>
            </w:tcBorders>
            <w:shd w:val="clear" w:color="auto" w:fill="auto"/>
            <w:noWrap/>
            <w:vAlign w:val="bottom"/>
            <w:hideMark/>
          </w:tcPr>
          <w:p w:rsidR="00CD214C" w:rsidRPr="007E193F" w:rsidRDefault="00CD214C" w:rsidP="00CD214C">
            <w:pPr>
              <w:spacing w:after="0" w:line="240" w:lineRule="auto"/>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LAVORO NELLO SPETTACOLO A TEMPO DETERMINATO</w:t>
            </w:r>
          </w:p>
        </w:tc>
        <w:tc>
          <w:tcPr>
            <w:tcW w:w="1841" w:type="pct"/>
            <w:tcBorders>
              <w:top w:val="single" w:sz="4" w:space="0" w:color="auto"/>
              <w:left w:val="nil"/>
              <w:bottom w:val="nil"/>
              <w:right w:val="single" w:sz="4" w:space="0" w:color="auto"/>
            </w:tcBorders>
            <w:shd w:val="clear" w:color="auto" w:fill="auto"/>
            <w:vAlign w:val="center"/>
            <w:hideMark/>
          </w:tcPr>
          <w:p w:rsidR="00CD214C" w:rsidRPr="007E193F" w:rsidRDefault="00CD214C" w:rsidP="00CD214C">
            <w:pPr>
              <w:spacing w:after="0" w:line="240" w:lineRule="auto"/>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LAVORO A TEMPO DETERMINATO</w:t>
            </w:r>
          </w:p>
        </w:tc>
        <w:tc>
          <w:tcPr>
            <w:tcW w:w="438" w:type="pct"/>
            <w:tcBorders>
              <w:top w:val="nil"/>
              <w:left w:val="nil"/>
              <w:bottom w:val="single" w:sz="4" w:space="0" w:color="auto"/>
              <w:right w:val="single" w:sz="4" w:space="0" w:color="auto"/>
            </w:tcBorders>
            <w:shd w:val="clear" w:color="auto" w:fill="auto"/>
            <w:noWrap/>
            <w:vAlign w:val="bottom"/>
            <w:hideMark/>
          </w:tcPr>
          <w:p w:rsidR="00CD214C" w:rsidRPr="007E193F" w:rsidRDefault="00CD214C" w:rsidP="00CD214C">
            <w:pPr>
              <w:spacing w:after="0" w:line="240" w:lineRule="auto"/>
              <w:jc w:val="right"/>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2</w:t>
            </w:r>
          </w:p>
        </w:tc>
      </w:tr>
      <w:tr w:rsidR="00CD214C" w:rsidRPr="007E193F" w:rsidTr="00CD214C">
        <w:trPr>
          <w:trHeight w:val="300"/>
        </w:trPr>
        <w:tc>
          <w:tcPr>
            <w:tcW w:w="2721" w:type="pct"/>
            <w:tcBorders>
              <w:top w:val="nil"/>
              <w:left w:val="single" w:sz="4" w:space="0" w:color="auto"/>
              <w:bottom w:val="single" w:sz="4" w:space="0" w:color="auto"/>
              <w:right w:val="single" w:sz="4" w:space="0" w:color="auto"/>
            </w:tcBorders>
            <w:shd w:val="clear" w:color="auto" w:fill="auto"/>
            <w:noWrap/>
            <w:vAlign w:val="bottom"/>
            <w:hideMark/>
          </w:tcPr>
          <w:p w:rsidR="00CD214C" w:rsidRPr="007E193F" w:rsidRDefault="00CD214C" w:rsidP="00CD214C">
            <w:pPr>
              <w:spacing w:after="0" w:line="240" w:lineRule="auto"/>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LAVORO DOMESTICO</w:t>
            </w:r>
          </w:p>
        </w:tc>
        <w:tc>
          <w:tcPr>
            <w:tcW w:w="1841" w:type="pct"/>
            <w:tcBorders>
              <w:top w:val="single" w:sz="4" w:space="0" w:color="auto"/>
              <w:left w:val="nil"/>
              <w:bottom w:val="nil"/>
              <w:right w:val="single" w:sz="4" w:space="0" w:color="auto"/>
            </w:tcBorders>
            <w:shd w:val="clear" w:color="auto" w:fill="auto"/>
            <w:vAlign w:val="center"/>
            <w:hideMark/>
          </w:tcPr>
          <w:p w:rsidR="00CD214C" w:rsidRPr="007E193F" w:rsidRDefault="00CD214C" w:rsidP="00CD214C">
            <w:pPr>
              <w:spacing w:after="0" w:line="240" w:lineRule="auto"/>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LAVORO A TEMPO DETERMINATO</w:t>
            </w:r>
          </w:p>
        </w:tc>
        <w:tc>
          <w:tcPr>
            <w:tcW w:w="438" w:type="pct"/>
            <w:tcBorders>
              <w:top w:val="nil"/>
              <w:left w:val="nil"/>
              <w:bottom w:val="single" w:sz="4" w:space="0" w:color="auto"/>
              <w:right w:val="single" w:sz="4" w:space="0" w:color="auto"/>
            </w:tcBorders>
            <w:shd w:val="clear" w:color="auto" w:fill="auto"/>
            <w:noWrap/>
            <w:vAlign w:val="bottom"/>
            <w:hideMark/>
          </w:tcPr>
          <w:p w:rsidR="00CD214C" w:rsidRPr="007E193F" w:rsidRDefault="00CD214C" w:rsidP="00CD214C">
            <w:pPr>
              <w:spacing w:after="0" w:line="240" w:lineRule="auto"/>
              <w:jc w:val="right"/>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2</w:t>
            </w:r>
          </w:p>
        </w:tc>
      </w:tr>
      <w:tr w:rsidR="00CD214C" w:rsidRPr="007E193F" w:rsidTr="00CD214C">
        <w:trPr>
          <w:trHeight w:val="300"/>
        </w:trPr>
        <w:tc>
          <w:tcPr>
            <w:tcW w:w="2721" w:type="pct"/>
            <w:tcBorders>
              <w:top w:val="nil"/>
              <w:left w:val="single" w:sz="4" w:space="0" w:color="auto"/>
              <w:bottom w:val="single" w:sz="4" w:space="0" w:color="auto"/>
              <w:right w:val="single" w:sz="4" w:space="0" w:color="auto"/>
            </w:tcBorders>
            <w:shd w:val="clear" w:color="auto" w:fill="auto"/>
            <w:noWrap/>
            <w:vAlign w:val="bottom"/>
            <w:hideMark/>
          </w:tcPr>
          <w:p w:rsidR="00CD214C" w:rsidRPr="007E193F" w:rsidRDefault="00CD214C" w:rsidP="00CD214C">
            <w:pPr>
              <w:spacing w:after="0" w:line="240" w:lineRule="auto"/>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LAVORO DOMESTICO A TEMPO DETERMINATO</w:t>
            </w:r>
          </w:p>
        </w:tc>
        <w:tc>
          <w:tcPr>
            <w:tcW w:w="1841" w:type="pct"/>
            <w:tcBorders>
              <w:top w:val="single" w:sz="4" w:space="0" w:color="auto"/>
              <w:left w:val="nil"/>
              <w:bottom w:val="nil"/>
              <w:right w:val="single" w:sz="4" w:space="0" w:color="auto"/>
            </w:tcBorders>
            <w:shd w:val="clear" w:color="auto" w:fill="auto"/>
            <w:vAlign w:val="center"/>
            <w:hideMark/>
          </w:tcPr>
          <w:p w:rsidR="00CD214C" w:rsidRPr="007E193F" w:rsidRDefault="00CD214C" w:rsidP="00CD214C">
            <w:pPr>
              <w:spacing w:after="0" w:line="240" w:lineRule="auto"/>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LAVORO A TEMPO DETERMINATO</w:t>
            </w:r>
          </w:p>
        </w:tc>
        <w:tc>
          <w:tcPr>
            <w:tcW w:w="438" w:type="pct"/>
            <w:tcBorders>
              <w:top w:val="nil"/>
              <w:left w:val="nil"/>
              <w:bottom w:val="single" w:sz="4" w:space="0" w:color="auto"/>
              <w:right w:val="single" w:sz="4" w:space="0" w:color="auto"/>
            </w:tcBorders>
            <w:shd w:val="clear" w:color="auto" w:fill="auto"/>
            <w:noWrap/>
            <w:vAlign w:val="bottom"/>
            <w:hideMark/>
          </w:tcPr>
          <w:p w:rsidR="00CD214C" w:rsidRPr="007E193F" w:rsidRDefault="00CD214C" w:rsidP="00CD214C">
            <w:pPr>
              <w:spacing w:after="0" w:line="240" w:lineRule="auto"/>
              <w:jc w:val="right"/>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2</w:t>
            </w:r>
          </w:p>
        </w:tc>
      </w:tr>
      <w:tr w:rsidR="00CD214C" w:rsidRPr="007E193F" w:rsidTr="00CD214C">
        <w:trPr>
          <w:trHeight w:val="300"/>
        </w:trPr>
        <w:tc>
          <w:tcPr>
            <w:tcW w:w="2721" w:type="pct"/>
            <w:tcBorders>
              <w:top w:val="nil"/>
              <w:left w:val="single" w:sz="4" w:space="0" w:color="auto"/>
              <w:bottom w:val="single" w:sz="4" w:space="0" w:color="auto"/>
              <w:right w:val="single" w:sz="4" w:space="0" w:color="auto"/>
            </w:tcBorders>
            <w:shd w:val="clear" w:color="auto" w:fill="auto"/>
            <w:noWrap/>
            <w:vAlign w:val="bottom"/>
            <w:hideMark/>
          </w:tcPr>
          <w:p w:rsidR="00CD214C" w:rsidRPr="007E193F" w:rsidRDefault="00CD214C" w:rsidP="00CD214C">
            <w:pPr>
              <w:spacing w:after="0" w:line="240" w:lineRule="auto"/>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LAVORO A TEMPO INDETERMINATO</w:t>
            </w:r>
          </w:p>
        </w:tc>
        <w:tc>
          <w:tcPr>
            <w:tcW w:w="1841" w:type="pct"/>
            <w:tcBorders>
              <w:top w:val="single" w:sz="4" w:space="0" w:color="auto"/>
              <w:left w:val="nil"/>
              <w:bottom w:val="nil"/>
              <w:right w:val="single" w:sz="4" w:space="0" w:color="auto"/>
            </w:tcBorders>
            <w:shd w:val="clear" w:color="auto" w:fill="auto"/>
            <w:vAlign w:val="center"/>
            <w:hideMark/>
          </w:tcPr>
          <w:p w:rsidR="00CD214C" w:rsidRPr="007E193F" w:rsidRDefault="00CD214C" w:rsidP="00CD214C">
            <w:pPr>
              <w:spacing w:after="0" w:line="240" w:lineRule="auto"/>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LAVORO A TEMPO INDETERMINATO</w:t>
            </w:r>
          </w:p>
        </w:tc>
        <w:tc>
          <w:tcPr>
            <w:tcW w:w="438" w:type="pct"/>
            <w:tcBorders>
              <w:top w:val="nil"/>
              <w:left w:val="nil"/>
              <w:bottom w:val="single" w:sz="4" w:space="0" w:color="auto"/>
              <w:right w:val="single" w:sz="4" w:space="0" w:color="auto"/>
            </w:tcBorders>
            <w:shd w:val="clear" w:color="auto" w:fill="auto"/>
            <w:noWrap/>
            <w:vAlign w:val="bottom"/>
            <w:hideMark/>
          </w:tcPr>
          <w:p w:rsidR="00CD214C" w:rsidRPr="007E193F" w:rsidRDefault="00CD214C" w:rsidP="00CD214C">
            <w:pPr>
              <w:spacing w:after="0" w:line="240" w:lineRule="auto"/>
              <w:jc w:val="right"/>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3</w:t>
            </w:r>
          </w:p>
        </w:tc>
      </w:tr>
      <w:tr w:rsidR="00CD214C" w:rsidRPr="007E193F" w:rsidTr="00CD214C">
        <w:trPr>
          <w:trHeight w:val="300"/>
        </w:trPr>
        <w:tc>
          <w:tcPr>
            <w:tcW w:w="2721" w:type="pct"/>
            <w:tcBorders>
              <w:top w:val="nil"/>
              <w:left w:val="single" w:sz="4" w:space="0" w:color="auto"/>
              <w:bottom w:val="single" w:sz="4" w:space="0" w:color="auto"/>
              <w:right w:val="single" w:sz="4" w:space="0" w:color="auto"/>
            </w:tcBorders>
            <w:shd w:val="clear" w:color="auto" w:fill="auto"/>
            <w:noWrap/>
            <w:vAlign w:val="bottom"/>
            <w:hideMark/>
          </w:tcPr>
          <w:p w:rsidR="00CD214C" w:rsidRPr="007E193F" w:rsidRDefault="00CD214C" w:rsidP="00CD214C">
            <w:pPr>
              <w:spacing w:after="0" w:line="240" w:lineRule="auto"/>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LAVORO NELLO SPETTACOLO A TEMPO INDETERMINATO</w:t>
            </w:r>
          </w:p>
        </w:tc>
        <w:tc>
          <w:tcPr>
            <w:tcW w:w="1841" w:type="pct"/>
            <w:tcBorders>
              <w:top w:val="single" w:sz="4" w:space="0" w:color="auto"/>
              <w:left w:val="nil"/>
              <w:bottom w:val="nil"/>
              <w:right w:val="single" w:sz="4" w:space="0" w:color="auto"/>
            </w:tcBorders>
            <w:shd w:val="clear" w:color="auto" w:fill="auto"/>
            <w:vAlign w:val="center"/>
            <w:hideMark/>
          </w:tcPr>
          <w:p w:rsidR="00CD214C" w:rsidRPr="007E193F" w:rsidRDefault="00CD214C" w:rsidP="00CD214C">
            <w:pPr>
              <w:spacing w:after="0" w:line="240" w:lineRule="auto"/>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LAVORO A TEMPO INDETERMINATO</w:t>
            </w:r>
          </w:p>
        </w:tc>
        <w:tc>
          <w:tcPr>
            <w:tcW w:w="438" w:type="pct"/>
            <w:tcBorders>
              <w:top w:val="nil"/>
              <w:left w:val="nil"/>
              <w:bottom w:val="single" w:sz="4" w:space="0" w:color="auto"/>
              <w:right w:val="single" w:sz="4" w:space="0" w:color="auto"/>
            </w:tcBorders>
            <w:shd w:val="clear" w:color="auto" w:fill="auto"/>
            <w:noWrap/>
            <w:vAlign w:val="bottom"/>
            <w:hideMark/>
          </w:tcPr>
          <w:p w:rsidR="00CD214C" w:rsidRPr="007E193F" w:rsidRDefault="00CD214C" w:rsidP="00CD214C">
            <w:pPr>
              <w:spacing w:after="0" w:line="240" w:lineRule="auto"/>
              <w:jc w:val="right"/>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3</w:t>
            </w:r>
          </w:p>
        </w:tc>
      </w:tr>
      <w:tr w:rsidR="00CD214C" w:rsidRPr="007E193F" w:rsidTr="00CD214C">
        <w:trPr>
          <w:trHeight w:val="300"/>
        </w:trPr>
        <w:tc>
          <w:tcPr>
            <w:tcW w:w="2721" w:type="pct"/>
            <w:tcBorders>
              <w:top w:val="nil"/>
              <w:left w:val="single" w:sz="4" w:space="0" w:color="auto"/>
              <w:bottom w:val="single" w:sz="4" w:space="0" w:color="auto"/>
              <w:right w:val="single" w:sz="4" w:space="0" w:color="auto"/>
            </w:tcBorders>
            <w:shd w:val="clear" w:color="auto" w:fill="auto"/>
            <w:noWrap/>
            <w:vAlign w:val="bottom"/>
            <w:hideMark/>
          </w:tcPr>
          <w:p w:rsidR="00CD214C" w:rsidRPr="007E193F" w:rsidRDefault="00CD214C" w:rsidP="00CD214C">
            <w:pPr>
              <w:spacing w:after="0" w:line="240" w:lineRule="auto"/>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LAVORO DOMESTICO A TEMPO INDETERMINATO</w:t>
            </w:r>
          </w:p>
        </w:tc>
        <w:tc>
          <w:tcPr>
            <w:tcW w:w="1841" w:type="pct"/>
            <w:tcBorders>
              <w:top w:val="single" w:sz="4" w:space="0" w:color="auto"/>
              <w:left w:val="nil"/>
              <w:bottom w:val="nil"/>
              <w:right w:val="single" w:sz="4" w:space="0" w:color="auto"/>
            </w:tcBorders>
            <w:shd w:val="clear" w:color="auto" w:fill="auto"/>
            <w:vAlign w:val="center"/>
            <w:hideMark/>
          </w:tcPr>
          <w:p w:rsidR="00CD214C" w:rsidRPr="007E193F" w:rsidRDefault="00CD214C" w:rsidP="00CD214C">
            <w:pPr>
              <w:spacing w:after="0" w:line="240" w:lineRule="auto"/>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LAVORO A TEMPO INDETERMINATO</w:t>
            </w:r>
          </w:p>
        </w:tc>
        <w:tc>
          <w:tcPr>
            <w:tcW w:w="438" w:type="pct"/>
            <w:tcBorders>
              <w:top w:val="nil"/>
              <w:left w:val="nil"/>
              <w:bottom w:val="single" w:sz="4" w:space="0" w:color="auto"/>
              <w:right w:val="single" w:sz="4" w:space="0" w:color="auto"/>
            </w:tcBorders>
            <w:shd w:val="clear" w:color="auto" w:fill="auto"/>
            <w:noWrap/>
            <w:vAlign w:val="bottom"/>
            <w:hideMark/>
          </w:tcPr>
          <w:p w:rsidR="00CD214C" w:rsidRPr="007E193F" w:rsidRDefault="00CD214C" w:rsidP="00CD214C">
            <w:pPr>
              <w:spacing w:after="0" w:line="240" w:lineRule="auto"/>
              <w:jc w:val="right"/>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3</w:t>
            </w:r>
          </w:p>
        </w:tc>
      </w:tr>
      <w:tr w:rsidR="00CD214C" w:rsidRPr="007E193F" w:rsidTr="00CD214C">
        <w:trPr>
          <w:trHeight w:val="300"/>
        </w:trPr>
        <w:tc>
          <w:tcPr>
            <w:tcW w:w="2721" w:type="pct"/>
            <w:tcBorders>
              <w:top w:val="nil"/>
              <w:left w:val="single" w:sz="4" w:space="0" w:color="auto"/>
              <w:bottom w:val="single" w:sz="4" w:space="0" w:color="auto"/>
              <w:right w:val="single" w:sz="4" w:space="0" w:color="auto"/>
            </w:tcBorders>
            <w:shd w:val="clear" w:color="auto" w:fill="auto"/>
            <w:noWrap/>
            <w:vAlign w:val="bottom"/>
            <w:hideMark/>
          </w:tcPr>
          <w:p w:rsidR="00CD214C" w:rsidRPr="007E193F" w:rsidRDefault="00CD214C" w:rsidP="00CD214C">
            <w:pPr>
              <w:spacing w:after="0" w:line="240" w:lineRule="auto"/>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CONTRATTO DI AGENZIA A TEMPO INDETERMINATO</w:t>
            </w:r>
          </w:p>
        </w:tc>
        <w:tc>
          <w:tcPr>
            <w:tcW w:w="1841" w:type="pct"/>
            <w:tcBorders>
              <w:top w:val="single" w:sz="4" w:space="0" w:color="auto"/>
              <w:left w:val="nil"/>
              <w:bottom w:val="nil"/>
              <w:right w:val="single" w:sz="4" w:space="0" w:color="auto"/>
            </w:tcBorders>
            <w:shd w:val="clear" w:color="auto" w:fill="auto"/>
            <w:vAlign w:val="center"/>
            <w:hideMark/>
          </w:tcPr>
          <w:p w:rsidR="00CD214C" w:rsidRPr="007E193F" w:rsidRDefault="00CD214C" w:rsidP="00CD214C">
            <w:pPr>
              <w:spacing w:after="0" w:line="240" w:lineRule="auto"/>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LAVORO A TEMPO INDETERMINATO</w:t>
            </w:r>
          </w:p>
        </w:tc>
        <w:tc>
          <w:tcPr>
            <w:tcW w:w="438" w:type="pct"/>
            <w:tcBorders>
              <w:top w:val="nil"/>
              <w:left w:val="nil"/>
              <w:bottom w:val="single" w:sz="4" w:space="0" w:color="auto"/>
              <w:right w:val="single" w:sz="4" w:space="0" w:color="auto"/>
            </w:tcBorders>
            <w:shd w:val="clear" w:color="auto" w:fill="auto"/>
            <w:noWrap/>
            <w:vAlign w:val="bottom"/>
            <w:hideMark/>
          </w:tcPr>
          <w:p w:rsidR="00CD214C" w:rsidRPr="007E193F" w:rsidRDefault="00CD214C" w:rsidP="00CD214C">
            <w:pPr>
              <w:spacing w:after="0" w:line="240" w:lineRule="auto"/>
              <w:jc w:val="right"/>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3</w:t>
            </w:r>
          </w:p>
        </w:tc>
      </w:tr>
      <w:tr w:rsidR="00CD214C" w:rsidRPr="007E193F" w:rsidTr="00CD214C">
        <w:trPr>
          <w:trHeight w:val="300"/>
        </w:trPr>
        <w:tc>
          <w:tcPr>
            <w:tcW w:w="2721" w:type="pct"/>
            <w:tcBorders>
              <w:top w:val="nil"/>
              <w:left w:val="single" w:sz="4" w:space="0" w:color="auto"/>
              <w:bottom w:val="single" w:sz="4" w:space="0" w:color="auto"/>
              <w:right w:val="single" w:sz="4" w:space="0" w:color="auto"/>
            </w:tcBorders>
            <w:shd w:val="clear" w:color="auto" w:fill="auto"/>
            <w:noWrap/>
            <w:vAlign w:val="bottom"/>
            <w:hideMark/>
          </w:tcPr>
          <w:p w:rsidR="00CD214C" w:rsidRPr="007E193F" w:rsidRDefault="00CD214C" w:rsidP="00CD214C">
            <w:pPr>
              <w:spacing w:after="0" w:line="240" w:lineRule="auto"/>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LAVORO DIPENDENTE NELLA P.A. A TEMPO INDETERMINATO</w:t>
            </w:r>
          </w:p>
        </w:tc>
        <w:tc>
          <w:tcPr>
            <w:tcW w:w="1841" w:type="pct"/>
            <w:tcBorders>
              <w:top w:val="single" w:sz="4" w:space="0" w:color="auto"/>
              <w:left w:val="nil"/>
              <w:bottom w:val="nil"/>
              <w:right w:val="single" w:sz="4" w:space="0" w:color="auto"/>
            </w:tcBorders>
            <w:shd w:val="clear" w:color="auto" w:fill="auto"/>
            <w:vAlign w:val="center"/>
            <w:hideMark/>
          </w:tcPr>
          <w:p w:rsidR="00CD214C" w:rsidRPr="007E193F" w:rsidRDefault="00CD214C" w:rsidP="00CD214C">
            <w:pPr>
              <w:spacing w:after="0" w:line="240" w:lineRule="auto"/>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LAVORO A TEMPO INDETERMINATO</w:t>
            </w:r>
          </w:p>
        </w:tc>
        <w:tc>
          <w:tcPr>
            <w:tcW w:w="438" w:type="pct"/>
            <w:tcBorders>
              <w:top w:val="nil"/>
              <w:left w:val="nil"/>
              <w:bottom w:val="single" w:sz="4" w:space="0" w:color="auto"/>
              <w:right w:val="single" w:sz="4" w:space="0" w:color="auto"/>
            </w:tcBorders>
            <w:shd w:val="clear" w:color="auto" w:fill="auto"/>
            <w:noWrap/>
            <w:vAlign w:val="bottom"/>
            <w:hideMark/>
          </w:tcPr>
          <w:p w:rsidR="00CD214C" w:rsidRPr="007E193F" w:rsidRDefault="00CD214C" w:rsidP="00CD214C">
            <w:pPr>
              <w:spacing w:after="0" w:line="240" w:lineRule="auto"/>
              <w:jc w:val="right"/>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3</w:t>
            </w:r>
          </w:p>
        </w:tc>
      </w:tr>
      <w:tr w:rsidR="00CD214C" w:rsidRPr="007E193F" w:rsidTr="00CD214C">
        <w:trPr>
          <w:trHeight w:val="300"/>
        </w:trPr>
        <w:tc>
          <w:tcPr>
            <w:tcW w:w="2721" w:type="pct"/>
            <w:tcBorders>
              <w:top w:val="nil"/>
              <w:left w:val="single" w:sz="4" w:space="0" w:color="auto"/>
              <w:bottom w:val="single" w:sz="4" w:space="0" w:color="auto"/>
              <w:right w:val="single" w:sz="4" w:space="0" w:color="auto"/>
            </w:tcBorders>
            <w:shd w:val="clear" w:color="auto" w:fill="auto"/>
            <w:noWrap/>
            <w:vAlign w:val="bottom"/>
            <w:hideMark/>
          </w:tcPr>
          <w:p w:rsidR="00CD214C" w:rsidRPr="007E193F" w:rsidRDefault="00CD214C" w:rsidP="00CD214C">
            <w:pPr>
              <w:spacing w:after="0" w:line="240" w:lineRule="auto"/>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ASSOCIAZIONE IN PARTECIPAZIONE A TEMPO INDETERMINATO</w:t>
            </w:r>
          </w:p>
        </w:tc>
        <w:tc>
          <w:tcPr>
            <w:tcW w:w="1841" w:type="pct"/>
            <w:tcBorders>
              <w:top w:val="single" w:sz="4" w:space="0" w:color="auto"/>
              <w:left w:val="nil"/>
              <w:bottom w:val="nil"/>
              <w:right w:val="single" w:sz="4" w:space="0" w:color="auto"/>
            </w:tcBorders>
            <w:shd w:val="clear" w:color="auto" w:fill="auto"/>
            <w:vAlign w:val="center"/>
            <w:hideMark/>
          </w:tcPr>
          <w:p w:rsidR="00CD214C" w:rsidRPr="007E193F" w:rsidRDefault="00CD214C" w:rsidP="00CD214C">
            <w:pPr>
              <w:spacing w:after="0" w:line="240" w:lineRule="auto"/>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LAVORO A TEMPO INDETERMINATO</w:t>
            </w:r>
          </w:p>
        </w:tc>
        <w:tc>
          <w:tcPr>
            <w:tcW w:w="438" w:type="pct"/>
            <w:tcBorders>
              <w:top w:val="nil"/>
              <w:left w:val="nil"/>
              <w:bottom w:val="single" w:sz="4" w:space="0" w:color="auto"/>
              <w:right w:val="single" w:sz="4" w:space="0" w:color="auto"/>
            </w:tcBorders>
            <w:shd w:val="clear" w:color="auto" w:fill="auto"/>
            <w:noWrap/>
            <w:vAlign w:val="bottom"/>
            <w:hideMark/>
          </w:tcPr>
          <w:p w:rsidR="00CD214C" w:rsidRPr="007E193F" w:rsidRDefault="00CD214C" w:rsidP="00CD214C">
            <w:pPr>
              <w:spacing w:after="0" w:line="240" w:lineRule="auto"/>
              <w:jc w:val="right"/>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3</w:t>
            </w:r>
          </w:p>
        </w:tc>
      </w:tr>
      <w:tr w:rsidR="00CD214C" w:rsidRPr="007E193F" w:rsidTr="00CD214C">
        <w:trPr>
          <w:trHeight w:val="300"/>
        </w:trPr>
        <w:tc>
          <w:tcPr>
            <w:tcW w:w="2721" w:type="pct"/>
            <w:tcBorders>
              <w:top w:val="nil"/>
              <w:left w:val="single" w:sz="4" w:space="0" w:color="auto"/>
              <w:bottom w:val="single" w:sz="4" w:space="0" w:color="auto"/>
              <w:right w:val="single" w:sz="4" w:space="0" w:color="auto"/>
            </w:tcBorders>
            <w:shd w:val="clear" w:color="auto" w:fill="auto"/>
            <w:noWrap/>
            <w:vAlign w:val="bottom"/>
            <w:hideMark/>
          </w:tcPr>
          <w:p w:rsidR="00CD214C" w:rsidRPr="007E193F" w:rsidRDefault="00CD214C" w:rsidP="00CD214C">
            <w:pPr>
              <w:spacing w:after="0" w:line="240" w:lineRule="auto"/>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LAVORO AUTONOMO NELLO SPETTACOLO</w:t>
            </w:r>
          </w:p>
        </w:tc>
        <w:tc>
          <w:tcPr>
            <w:tcW w:w="1841" w:type="pct"/>
            <w:tcBorders>
              <w:top w:val="single" w:sz="4" w:space="0" w:color="auto"/>
              <w:left w:val="nil"/>
              <w:bottom w:val="single" w:sz="4" w:space="0" w:color="auto"/>
              <w:right w:val="single" w:sz="4" w:space="0" w:color="auto"/>
            </w:tcBorders>
            <w:shd w:val="clear" w:color="auto" w:fill="auto"/>
            <w:vAlign w:val="center"/>
            <w:hideMark/>
          </w:tcPr>
          <w:p w:rsidR="00CD214C" w:rsidRPr="007E193F" w:rsidRDefault="00CD214C" w:rsidP="00CD214C">
            <w:pPr>
              <w:spacing w:after="0" w:line="240" w:lineRule="auto"/>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LAVORO AUTONOMO NELLO SPETTACOLO</w:t>
            </w:r>
          </w:p>
        </w:tc>
        <w:tc>
          <w:tcPr>
            <w:tcW w:w="438" w:type="pct"/>
            <w:tcBorders>
              <w:top w:val="nil"/>
              <w:left w:val="nil"/>
              <w:bottom w:val="single" w:sz="4" w:space="0" w:color="auto"/>
              <w:right w:val="single" w:sz="4" w:space="0" w:color="auto"/>
            </w:tcBorders>
            <w:shd w:val="clear" w:color="auto" w:fill="auto"/>
            <w:noWrap/>
            <w:vAlign w:val="bottom"/>
            <w:hideMark/>
          </w:tcPr>
          <w:p w:rsidR="00CD214C" w:rsidRPr="007E193F" w:rsidRDefault="00CD214C" w:rsidP="00CD214C">
            <w:pPr>
              <w:spacing w:after="0" w:line="240" w:lineRule="auto"/>
              <w:jc w:val="right"/>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1</w:t>
            </w:r>
          </w:p>
        </w:tc>
      </w:tr>
      <w:tr w:rsidR="00CD214C" w:rsidRPr="007E193F" w:rsidTr="00CD214C">
        <w:trPr>
          <w:trHeight w:val="300"/>
        </w:trPr>
        <w:tc>
          <w:tcPr>
            <w:tcW w:w="2721" w:type="pct"/>
            <w:tcBorders>
              <w:top w:val="nil"/>
              <w:left w:val="single" w:sz="4" w:space="0" w:color="auto"/>
              <w:bottom w:val="single" w:sz="4" w:space="0" w:color="auto"/>
              <w:right w:val="single" w:sz="4" w:space="0" w:color="auto"/>
            </w:tcBorders>
            <w:shd w:val="clear" w:color="auto" w:fill="auto"/>
            <w:noWrap/>
            <w:vAlign w:val="bottom"/>
            <w:hideMark/>
          </w:tcPr>
          <w:p w:rsidR="00CD214C" w:rsidRPr="007E193F" w:rsidRDefault="00CD214C" w:rsidP="00CD214C">
            <w:pPr>
              <w:spacing w:after="0" w:line="240" w:lineRule="auto"/>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LAVORO IN AGRICOLTURA A TEMPO DETERMINATO</w:t>
            </w:r>
          </w:p>
        </w:tc>
        <w:tc>
          <w:tcPr>
            <w:tcW w:w="1841" w:type="pct"/>
            <w:tcBorders>
              <w:top w:val="nil"/>
              <w:left w:val="nil"/>
              <w:bottom w:val="single" w:sz="4" w:space="0" w:color="auto"/>
              <w:right w:val="single" w:sz="4" w:space="0" w:color="auto"/>
            </w:tcBorders>
            <w:shd w:val="clear" w:color="auto" w:fill="auto"/>
            <w:vAlign w:val="center"/>
            <w:hideMark/>
          </w:tcPr>
          <w:p w:rsidR="00CD214C" w:rsidRPr="007E193F" w:rsidRDefault="00CD214C" w:rsidP="00CD214C">
            <w:pPr>
              <w:spacing w:after="0" w:line="240" w:lineRule="auto"/>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LAVORO IN AGRICOLTURA A TEMPO DETERMINATO</w:t>
            </w:r>
          </w:p>
        </w:tc>
        <w:tc>
          <w:tcPr>
            <w:tcW w:w="438" w:type="pct"/>
            <w:tcBorders>
              <w:top w:val="nil"/>
              <w:left w:val="nil"/>
              <w:bottom w:val="single" w:sz="4" w:space="0" w:color="auto"/>
              <w:right w:val="single" w:sz="4" w:space="0" w:color="auto"/>
            </w:tcBorders>
            <w:shd w:val="clear" w:color="auto" w:fill="auto"/>
            <w:noWrap/>
            <w:vAlign w:val="bottom"/>
            <w:hideMark/>
          </w:tcPr>
          <w:p w:rsidR="00CD214C" w:rsidRPr="007E193F" w:rsidRDefault="00CD214C" w:rsidP="00CD214C">
            <w:pPr>
              <w:spacing w:after="0" w:line="240" w:lineRule="auto"/>
              <w:jc w:val="right"/>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1</w:t>
            </w:r>
          </w:p>
        </w:tc>
      </w:tr>
      <w:tr w:rsidR="00CD214C" w:rsidRPr="007E193F" w:rsidTr="00CD214C">
        <w:trPr>
          <w:trHeight w:val="300"/>
        </w:trPr>
        <w:tc>
          <w:tcPr>
            <w:tcW w:w="2721" w:type="pct"/>
            <w:tcBorders>
              <w:top w:val="nil"/>
              <w:left w:val="single" w:sz="4" w:space="0" w:color="auto"/>
              <w:bottom w:val="single" w:sz="4" w:space="0" w:color="auto"/>
              <w:right w:val="single" w:sz="4" w:space="0" w:color="auto"/>
            </w:tcBorders>
            <w:shd w:val="clear" w:color="auto" w:fill="auto"/>
            <w:noWrap/>
            <w:vAlign w:val="bottom"/>
            <w:hideMark/>
          </w:tcPr>
          <w:p w:rsidR="00CD214C" w:rsidRPr="007E193F" w:rsidRDefault="00CD214C" w:rsidP="00CD214C">
            <w:pPr>
              <w:spacing w:after="0" w:line="240" w:lineRule="auto"/>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LAVORO INTERMITTENTE</w:t>
            </w:r>
          </w:p>
        </w:tc>
        <w:tc>
          <w:tcPr>
            <w:tcW w:w="1841" w:type="pct"/>
            <w:tcBorders>
              <w:top w:val="nil"/>
              <w:left w:val="nil"/>
              <w:bottom w:val="single" w:sz="4" w:space="0" w:color="auto"/>
              <w:right w:val="single" w:sz="4" w:space="0" w:color="auto"/>
            </w:tcBorders>
            <w:shd w:val="clear" w:color="auto" w:fill="auto"/>
            <w:vAlign w:val="center"/>
            <w:hideMark/>
          </w:tcPr>
          <w:p w:rsidR="00CD214C" w:rsidRPr="007E193F" w:rsidRDefault="00CD214C" w:rsidP="00CD214C">
            <w:pPr>
              <w:spacing w:after="0" w:line="240" w:lineRule="auto"/>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LAVORO INTERMITTENTE</w:t>
            </w:r>
          </w:p>
        </w:tc>
        <w:tc>
          <w:tcPr>
            <w:tcW w:w="438" w:type="pct"/>
            <w:tcBorders>
              <w:top w:val="nil"/>
              <w:left w:val="nil"/>
              <w:bottom w:val="single" w:sz="4" w:space="0" w:color="auto"/>
              <w:right w:val="single" w:sz="4" w:space="0" w:color="auto"/>
            </w:tcBorders>
            <w:shd w:val="clear" w:color="auto" w:fill="auto"/>
            <w:noWrap/>
            <w:vAlign w:val="bottom"/>
            <w:hideMark/>
          </w:tcPr>
          <w:p w:rsidR="00CD214C" w:rsidRPr="007E193F" w:rsidRDefault="00CD214C" w:rsidP="00CD214C">
            <w:pPr>
              <w:spacing w:after="0" w:line="240" w:lineRule="auto"/>
              <w:jc w:val="right"/>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1</w:t>
            </w:r>
          </w:p>
        </w:tc>
      </w:tr>
      <w:tr w:rsidR="00CD214C" w:rsidRPr="007E193F" w:rsidTr="00CD214C">
        <w:trPr>
          <w:trHeight w:val="300"/>
        </w:trPr>
        <w:tc>
          <w:tcPr>
            <w:tcW w:w="2721" w:type="pct"/>
            <w:tcBorders>
              <w:top w:val="nil"/>
              <w:left w:val="single" w:sz="4" w:space="0" w:color="auto"/>
              <w:bottom w:val="single" w:sz="4" w:space="0" w:color="auto"/>
              <w:right w:val="single" w:sz="4" w:space="0" w:color="auto"/>
            </w:tcBorders>
            <w:shd w:val="clear" w:color="auto" w:fill="auto"/>
            <w:noWrap/>
            <w:vAlign w:val="bottom"/>
            <w:hideMark/>
          </w:tcPr>
          <w:p w:rsidR="00CD214C" w:rsidRPr="007E193F" w:rsidRDefault="00CD214C" w:rsidP="00CD214C">
            <w:pPr>
              <w:spacing w:after="0" w:line="240" w:lineRule="auto"/>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 xml:space="preserve">LAVORO </w:t>
            </w:r>
            <w:proofErr w:type="gramStart"/>
            <w:r w:rsidRPr="007E193F">
              <w:rPr>
                <w:rFonts w:ascii="Calibri" w:eastAsia="Times New Roman" w:hAnsi="Calibri" w:cs="Times New Roman"/>
                <w:color w:val="000000"/>
                <w:sz w:val="18"/>
                <w:szCs w:val="18"/>
                <w:lang w:eastAsia="it-IT"/>
              </w:rPr>
              <w:t>INTERMITTENTE  A</w:t>
            </w:r>
            <w:proofErr w:type="gramEnd"/>
            <w:r w:rsidRPr="007E193F">
              <w:rPr>
                <w:rFonts w:ascii="Calibri" w:eastAsia="Times New Roman" w:hAnsi="Calibri" w:cs="Times New Roman"/>
                <w:color w:val="000000"/>
                <w:sz w:val="18"/>
                <w:szCs w:val="18"/>
                <w:lang w:eastAsia="it-IT"/>
              </w:rPr>
              <w:t xml:space="preserve"> TEMPO INDETERMINATO</w:t>
            </w:r>
          </w:p>
        </w:tc>
        <w:tc>
          <w:tcPr>
            <w:tcW w:w="1841" w:type="pct"/>
            <w:tcBorders>
              <w:top w:val="nil"/>
              <w:left w:val="nil"/>
              <w:bottom w:val="single" w:sz="4" w:space="0" w:color="auto"/>
              <w:right w:val="single" w:sz="4" w:space="0" w:color="auto"/>
            </w:tcBorders>
            <w:shd w:val="clear" w:color="auto" w:fill="auto"/>
            <w:vAlign w:val="center"/>
            <w:hideMark/>
          </w:tcPr>
          <w:p w:rsidR="00CD214C" w:rsidRPr="007E193F" w:rsidRDefault="00CD214C" w:rsidP="00CD214C">
            <w:pPr>
              <w:spacing w:after="0" w:line="240" w:lineRule="auto"/>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LAVORO INTERMITTENTE</w:t>
            </w:r>
          </w:p>
        </w:tc>
        <w:tc>
          <w:tcPr>
            <w:tcW w:w="438" w:type="pct"/>
            <w:tcBorders>
              <w:top w:val="nil"/>
              <w:left w:val="nil"/>
              <w:bottom w:val="single" w:sz="4" w:space="0" w:color="auto"/>
              <w:right w:val="single" w:sz="4" w:space="0" w:color="auto"/>
            </w:tcBorders>
            <w:shd w:val="clear" w:color="auto" w:fill="auto"/>
            <w:noWrap/>
            <w:vAlign w:val="bottom"/>
            <w:hideMark/>
          </w:tcPr>
          <w:p w:rsidR="00CD214C" w:rsidRPr="007E193F" w:rsidRDefault="00CD214C" w:rsidP="00CD214C">
            <w:pPr>
              <w:spacing w:after="0" w:line="240" w:lineRule="auto"/>
              <w:jc w:val="right"/>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1</w:t>
            </w:r>
          </w:p>
        </w:tc>
      </w:tr>
      <w:tr w:rsidR="00CD214C" w:rsidRPr="007E193F" w:rsidTr="00CD214C">
        <w:trPr>
          <w:trHeight w:val="300"/>
        </w:trPr>
        <w:tc>
          <w:tcPr>
            <w:tcW w:w="2721" w:type="pct"/>
            <w:tcBorders>
              <w:top w:val="nil"/>
              <w:left w:val="single" w:sz="4" w:space="0" w:color="auto"/>
              <w:bottom w:val="single" w:sz="4" w:space="0" w:color="auto"/>
              <w:right w:val="single" w:sz="4" w:space="0" w:color="auto"/>
            </w:tcBorders>
            <w:shd w:val="clear" w:color="auto" w:fill="auto"/>
            <w:noWrap/>
            <w:vAlign w:val="bottom"/>
            <w:hideMark/>
          </w:tcPr>
          <w:p w:rsidR="00CD214C" w:rsidRPr="007E193F" w:rsidRDefault="00CD214C" w:rsidP="00CD214C">
            <w:pPr>
              <w:spacing w:after="0" w:line="240" w:lineRule="auto"/>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LAVORO INTERMITTENTE A TEMPO DETERMINATO</w:t>
            </w:r>
          </w:p>
        </w:tc>
        <w:tc>
          <w:tcPr>
            <w:tcW w:w="1841" w:type="pct"/>
            <w:tcBorders>
              <w:top w:val="nil"/>
              <w:left w:val="nil"/>
              <w:bottom w:val="single" w:sz="4" w:space="0" w:color="auto"/>
              <w:right w:val="single" w:sz="4" w:space="0" w:color="auto"/>
            </w:tcBorders>
            <w:shd w:val="clear" w:color="auto" w:fill="auto"/>
            <w:vAlign w:val="center"/>
            <w:hideMark/>
          </w:tcPr>
          <w:p w:rsidR="00CD214C" w:rsidRPr="007E193F" w:rsidRDefault="00CD214C" w:rsidP="00CD214C">
            <w:pPr>
              <w:spacing w:after="0" w:line="240" w:lineRule="auto"/>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LAVORO INTERMITTENTE</w:t>
            </w:r>
          </w:p>
        </w:tc>
        <w:tc>
          <w:tcPr>
            <w:tcW w:w="438" w:type="pct"/>
            <w:tcBorders>
              <w:top w:val="nil"/>
              <w:left w:val="nil"/>
              <w:bottom w:val="single" w:sz="4" w:space="0" w:color="auto"/>
              <w:right w:val="single" w:sz="4" w:space="0" w:color="auto"/>
            </w:tcBorders>
            <w:shd w:val="clear" w:color="auto" w:fill="auto"/>
            <w:noWrap/>
            <w:vAlign w:val="bottom"/>
            <w:hideMark/>
          </w:tcPr>
          <w:p w:rsidR="00CD214C" w:rsidRPr="007E193F" w:rsidRDefault="00CD214C" w:rsidP="00CD214C">
            <w:pPr>
              <w:spacing w:after="0" w:line="240" w:lineRule="auto"/>
              <w:jc w:val="right"/>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1</w:t>
            </w:r>
          </w:p>
        </w:tc>
      </w:tr>
      <w:tr w:rsidR="00CD214C" w:rsidRPr="007E193F" w:rsidTr="00CD214C">
        <w:trPr>
          <w:trHeight w:val="300"/>
        </w:trPr>
        <w:tc>
          <w:tcPr>
            <w:tcW w:w="2721" w:type="pct"/>
            <w:tcBorders>
              <w:top w:val="nil"/>
              <w:left w:val="single" w:sz="4" w:space="0" w:color="auto"/>
              <w:bottom w:val="single" w:sz="4" w:space="0" w:color="auto"/>
              <w:right w:val="single" w:sz="4" w:space="0" w:color="auto"/>
            </w:tcBorders>
            <w:shd w:val="clear" w:color="auto" w:fill="auto"/>
            <w:noWrap/>
            <w:vAlign w:val="bottom"/>
            <w:hideMark/>
          </w:tcPr>
          <w:p w:rsidR="00CD214C" w:rsidRPr="007E193F" w:rsidRDefault="00CD214C" w:rsidP="00CD214C">
            <w:pPr>
              <w:spacing w:after="0" w:line="240" w:lineRule="auto"/>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LAVORO O ATTIVITÀ SOCIALMENTE UTILE (LSU - ASU)</w:t>
            </w:r>
          </w:p>
        </w:tc>
        <w:tc>
          <w:tcPr>
            <w:tcW w:w="1841" w:type="pct"/>
            <w:tcBorders>
              <w:top w:val="nil"/>
              <w:left w:val="nil"/>
              <w:bottom w:val="single" w:sz="4" w:space="0" w:color="auto"/>
              <w:right w:val="single" w:sz="4" w:space="0" w:color="auto"/>
            </w:tcBorders>
            <w:shd w:val="clear" w:color="auto" w:fill="auto"/>
            <w:vAlign w:val="center"/>
            <w:hideMark/>
          </w:tcPr>
          <w:p w:rsidR="00CD214C" w:rsidRPr="007E193F" w:rsidRDefault="00CD214C" w:rsidP="00CD214C">
            <w:pPr>
              <w:spacing w:after="0" w:line="240" w:lineRule="auto"/>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LAVORO O ATTIVITÀ SOCIALMENTE UTILE (LSU - ASU)</w:t>
            </w:r>
          </w:p>
        </w:tc>
        <w:tc>
          <w:tcPr>
            <w:tcW w:w="438" w:type="pct"/>
            <w:tcBorders>
              <w:top w:val="nil"/>
              <w:left w:val="nil"/>
              <w:bottom w:val="single" w:sz="4" w:space="0" w:color="auto"/>
              <w:right w:val="single" w:sz="4" w:space="0" w:color="auto"/>
            </w:tcBorders>
            <w:shd w:val="clear" w:color="auto" w:fill="auto"/>
            <w:noWrap/>
            <w:vAlign w:val="bottom"/>
            <w:hideMark/>
          </w:tcPr>
          <w:p w:rsidR="00CD214C" w:rsidRPr="007E193F" w:rsidRDefault="00CD214C" w:rsidP="00CD214C">
            <w:pPr>
              <w:spacing w:after="0" w:line="240" w:lineRule="auto"/>
              <w:jc w:val="right"/>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1</w:t>
            </w:r>
          </w:p>
        </w:tc>
      </w:tr>
      <w:tr w:rsidR="00CD214C" w:rsidRPr="007E193F" w:rsidTr="00CD214C">
        <w:trPr>
          <w:trHeight w:val="300"/>
        </w:trPr>
        <w:tc>
          <w:tcPr>
            <w:tcW w:w="2721" w:type="pct"/>
            <w:tcBorders>
              <w:top w:val="nil"/>
              <w:left w:val="single" w:sz="4" w:space="0" w:color="auto"/>
              <w:bottom w:val="single" w:sz="4" w:space="0" w:color="auto"/>
              <w:right w:val="single" w:sz="4" w:space="0" w:color="auto"/>
            </w:tcBorders>
            <w:shd w:val="clear" w:color="auto" w:fill="auto"/>
            <w:noWrap/>
            <w:vAlign w:val="bottom"/>
            <w:hideMark/>
          </w:tcPr>
          <w:p w:rsidR="00CD214C" w:rsidRPr="007E193F" w:rsidRDefault="00CD214C" w:rsidP="00CD214C">
            <w:pPr>
              <w:spacing w:after="0" w:line="240" w:lineRule="auto"/>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LAVORO OCCASIONALE</w:t>
            </w:r>
          </w:p>
        </w:tc>
        <w:tc>
          <w:tcPr>
            <w:tcW w:w="1841" w:type="pct"/>
            <w:tcBorders>
              <w:top w:val="nil"/>
              <w:left w:val="nil"/>
              <w:bottom w:val="single" w:sz="4" w:space="0" w:color="auto"/>
              <w:right w:val="single" w:sz="4" w:space="0" w:color="auto"/>
            </w:tcBorders>
            <w:shd w:val="clear" w:color="auto" w:fill="auto"/>
            <w:vAlign w:val="center"/>
            <w:hideMark/>
          </w:tcPr>
          <w:p w:rsidR="00CD214C" w:rsidRPr="007E193F" w:rsidRDefault="00CD214C" w:rsidP="00CD214C">
            <w:pPr>
              <w:spacing w:after="0" w:line="240" w:lineRule="auto"/>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LAVORO OCCASIONALE</w:t>
            </w:r>
          </w:p>
        </w:tc>
        <w:tc>
          <w:tcPr>
            <w:tcW w:w="438" w:type="pct"/>
            <w:tcBorders>
              <w:top w:val="nil"/>
              <w:left w:val="nil"/>
              <w:bottom w:val="single" w:sz="4" w:space="0" w:color="auto"/>
              <w:right w:val="single" w:sz="4" w:space="0" w:color="auto"/>
            </w:tcBorders>
            <w:shd w:val="clear" w:color="auto" w:fill="auto"/>
            <w:noWrap/>
            <w:vAlign w:val="bottom"/>
            <w:hideMark/>
          </w:tcPr>
          <w:p w:rsidR="00CD214C" w:rsidRPr="007E193F" w:rsidRDefault="00CD214C" w:rsidP="00CD214C">
            <w:pPr>
              <w:spacing w:after="0" w:line="240" w:lineRule="auto"/>
              <w:jc w:val="right"/>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1</w:t>
            </w:r>
          </w:p>
        </w:tc>
      </w:tr>
      <w:tr w:rsidR="00CD214C" w:rsidRPr="007E193F" w:rsidTr="00CD214C">
        <w:trPr>
          <w:trHeight w:val="300"/>
        </w:trPr>
        <w:tc>
          <w:tcPr>
            <w:tcW w:w="2721" w:type="pct"/>
            <w:tcBorders>
              <w:top w:val="nil"/>
              <w:left w:val="single" w:sz="4" w:space="0" w:color="auto"/>
              <w:bottom w:val="single" w:sz="4" w:space="0" w:color="auto"/>
              <w:right w:val="single" w:sz="4" w:space="0" w:color="auto"/>
            </w:tcBorders>
            <w:shd w:val="clear" w:color="auto" w:fill="auto"/>
            <w:noWrap/>
            <w:vAlign w:val="bottom"/>
            <w:hideMark/>
          </w:tcPr>
          <w:p w:rsidR="00CD214C" w:rsidRPr="007E193F" w:rsidRDefault="00CD214C" w:rsidP="00CD214C">
            <w:pPr>
              <w:spacing w:after="0" w:line="240" w:lineRule="auto"/>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LAVORO RIPARTITO</w:t>
            </w:r>
          </w:p>
        </w:tc>
        <w:tc>
          <w:tcPr>
            <w:tcW w:w="1841" w:type="pct"/>
            <w:tcBorders>
              <w:top w:val="nil"/>
              <w:left w:val="nil"/>
              <w:bottom w:val="single" w:sz="4" w:space="0" w:color="auto"/>
              <w:right w:val="single" w:sz="4" w:space="0" w:color="auto"/>
            </w:tcBorders>
            <w:shd w:val="clear" w:color="auto" w:fill="auto"/>
            <w:vAlign w:val="center"/>
            <w:hideMark/>
          </w:tcPr>
          <w:p w:rsidR="00CD214C" w:rsidRPr="007E193F" w:rsidRDefault="00CD214C" w:rsidP="00CD214C">
            <w:pPr>
              <w:spacing w:after="0" w:line="240" w:lineRule="auto"/>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LAVORO RIPARTITO</w:t>
            </w:r>
          </w:p>
        </w:tc>
        <w:tc>
          <w:tcPr>
            <w:tcW w:w="438" w:type="pct"/>
            <w:tcBorders>
              <w:top w:val="nil"/>
              <w:left w:val="nil"/>
              <w:bottom w:val="single" w:sz="4" w:space="0" w:color="auto"/>
              <w:right w:val="single" w:sz="4" w:space="0" w:color="auto"/>
            </w:tcBorders>
            <w:shd w:val="clear" w:color="auto" w:fill="auto"/>
            <w:noWrap/>
            <w:vAlign w:val="bottom"/>
            <w:hideMark/>
          </w:tcPr>
          <w:p w:rsidR="00CD214C" w:rsidRPr="007E193F" w:rsidRDefault="00CD214C" w:rsidP="00CD214C">
            <w:pPr>
              <w:spacing w:after="0" w:line="240" w:lineRule="auto"/>
              <w:jc w:val="right"/>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1</w:t>
            </w:r>
          </w:p>
        </w:tc>
      </w:tr>
      <w:tr w:rsidR="00CD214C" w:rsidRPr="007E193F" w:rsidTr="00CD214C">
        <w:trPr>
          <w:trHeight w:val="300"/>
        </w:trPr>
        <w:tc>
          <w:tcPr>
            <w:tcW w:w="2721" w:type="pct"/>
            <w:tcBorders>
              <w:top w:val="nil"/>
              <w:left w:val="single" w:sz="4" w:space="0" w:color="auto"/>
              <w:bottom w:val="single" w:sz="4" w:space="0" w:color="auto"/>
              <w:right w:val="single" w:sz="4" w:space="0" w:color="auto"/>
            </w:tcBorders>
            <w:shd w:val="clear" w:color="auto" w:fill="auto"/>
            <w:noWrap/>
            <w:vAlign w:val="bottom"/>
            <w:hideMark/>
          </w:tcPr>
          <w:p w:rsidR="00CD214C" w:rsidRPr="007E193F" w:rsidRDefault="00CD214C" w:rsidP="00CD214C">
            <w:pPr>
              <w:spacing w:after="0" w:line="240" w:lineRule="auto"/>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LAVORO RIPARTITO A TEMPO DETERMINATO</w:t>
            </w:r>
          </w:p>
        </w:tc>
        <w:tc>
          <w:tcPr>
            <w:tcW w:w="1841" w:type="pct"/>
            <w:tcBorders>
              <w:top w:val="nil"/>
              <w:left w:val="nil"/>
              <w:bottom w:val="single" w:sz="4" w:space="0" w:color="auto"/>
              <w:right w:val="single" w:sz="4" w:space="0" w:color="auto"/>
            </w:tcBorders>
            <w:shd w:val="clear" w:color="auto" w:fill="auto"/>
            <w:vAlign w:val="center"/>
            <w:hideMark/>
          </w:tcPr>
          <w:p w:rsidR="00CD214C" w:rsidRPr="007E193F" w:rsidRDefault="00CD214C" w:rsidP="00CD214C">
            <w:pPr>
              <w:spacing w:after="0" w:line="240" w:lineRule="auto"/>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LAVORO RIPARTITO</w:t>
            </w:r>
          </w:p>
        </w:tc>
        <w:tc>
          <w:tcPr>
            <w:tcW w:w="438" w:type="pct"/>
            <w:tcBorders>
              <w:top w:val="nil"/>
              <w:left w:val="nil"/>
              <w:bottom w:val="single" w:sz="4" w:space="0" w:color="auto"/>
              <w:right w:val="single" w:sz="4" w:space="0" w:color="auto"/>
            </w:tcBorders>
            <w:shd w:val="clear" w:color="auto" w:fill="auto"/>
            <w:noWrap/>
            <w:vAlign w:val="bottom"/>
            <w:hideMark/>
          </w:tcPr>
          <w:p w:rsidR="00CD214C" w:rsidRPr="007E193F" w:rsidRDefault="00CD214C" w:rsidP="00CD214C">
            <w:pPr>
              <w:spacing w:after="0" w:line="240" w:lineRule="auto"/>
              <w:jc w:val="right"/>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1</w:t>
            </w:r>
          </w:p>
        </w:tc>
      </w:tr>
      <w:tr w:rsidR="00CD214C" w:rsidRPr="007E193F" w:rsidTr="00CD214C">
        <w:trPr>
          <w:trHeight w:val="300"/>
        </w:trPr>
        <w:tc>
          <w:tcPr>
            <w:tcW w:w="2721" w:type="pct"/>
            <w:tcBorders>
              <w:top w:val="nil"/>
              <w:left w:val="single" w:sz="4" w:space="0" w:color="auto"/>
              <w:bottom w:val="single" w:sz="4" w:space="0" w:color="auto"/>
              <w:right w:val="single" w:sz="4" w:space="0" w:color="auto"/>
            </w:tcBorders>
            <w:shd w:val="clear" w:color="auto" w:fill="auto"/>
            <w:noWrap/>
            <w:vAlign w:val="bottom"/>
            <w:hideMark/>
          </w:tcPr>
          <w:p w:rsidR="00CD214C" w:rsidRPr="007E193F" w:rsidRDefault="00CD214C" w:rsidP="00CD214C">
            <w:pPr>
              <w:spacing w:after="0" w:line="240" w:lineRule="auto"/>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LAVORO RIPARTITO A TEMPO INDETERMINATO</w:t>
            </w:r>
          </w:p>
        </w:tc>
        <w:tc>
          <w:tcPr>
            <w:tcW w:w="1841" w:type="pct"/>
            <w:tcBorders>
              <w:top w:val="nil"/>
              <w:left w:val="nil"/>
              <w:bottom w:val="single" w:sz="4" w:space="0" w:color="auto"/>
              <w:right w:val="single" w:sz="4" w:space="0" w:color="auto"/>
            </w:tcBorders>
            <w:shd w:val="clear" w:color="auto" w:fill="auto"/>
            <w:vAlign w:val="center"/>
            <w:hideMark/>
          </w:tcPr>
          <w:p w:rsidR="00CD214C" w:rsidRPr="007E193F" w:rsidRDefault="00CD214C" w:rsidP="00CD214C">
            <w:pPr>
              <w:spacing w:after="0" w:line="240" w:lineRule="auto"/>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LAVORO RIPARTITO</w:t>
            </w:r>
          </w:p>
        </w:tc>
        <w:tc>
          <w:tcPr>
            <w:tcW w:w="438" w:type="pct"/>
            <w:tcBorders>
              <w:top w:val="nil"/>
              <w:left w:val="nil"/>
              <w:bottom w:val="single" w:sz="4" w:space="0" w:color="auto"/>
              <w:right w:val="single" w:sz="4" w:space="0" w:color="auto"/>
            </w:tcBorders>
            <w:shd w:val="clear" w:color="auto" w:fill="auto"/>
            <w:noWrap/>
            <w:vAlign w:val="bottom"/>
            <w:hideMark/>
          </w:tcPr>
          <w:p w:rsidR="00CD214C" w:rsidRPr="007E193F" w:rsidRDefault="00CD214C" w:rsidP="00CD214C">
            <w:pPr>
              <w:spacing w:after="0" w:line="240" w:lineRule="auto"/>
              <w:jc w:val="right"/>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1</w:t>
            </w:r>
          </w:p>
        </w:tc>
      </w:tr>
      <w:tr w:rsidR="00CD214C" w:rsidRPr="007E193F" w:rsidTr="00CD214C">
        <w:trPr>
          <w:trHeight w:val="300"/>
        </w:trPr>
        <w:tc>
          <w:tcPr>
            <w:tcW w:w="2721" w:type="pct"/>
            <w:tcBorders>
              <w:top w:val="nil"/>
              <w:left w:val="single" w:sz="4" w:space="0" w:color="auto"/>
              <w:bottom w:val="single" w:sz="4" w:space="0" w:color="auto"/>
              <w:right w:val="single" w:sz="4" w:space="0" w:color="auto"/>
            </w:tcBorders>
            <w:shd w:val="clear" w:color="auto" w:fill="auto"/>
            <w:noWrap/>
            <w:vAlign w:val="bottom"/>
            <w:hideMark/>
          </w:tcPr>
          <w:p w:rsidR="00CD214C" w:rsidRPr="007E193F" w:rsidRDefault="00CD214C" w:rsidP="00CD214C">
            <w:pPr>
              <w:spacing w:after="0" w:line="240" w:lineRule="auto"/>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TIROCINIO</w:t>
            </w:r>
          </w:p>
        </w:tc>
        <w:tc>
          <w:tcPr>
            <w:tcW w:w="1841" w:type="pct"/>
            <w:tcBorders>
              <w:top w:val="nil"/>
              <w:left w:val="nil"/>
              <w:bottom w:val="single" w:sz="4" w:space="0" w:color="auto"/>
              <w:right w:val="single" w:sz="4" w:space="0" w:color="auto"/>
            </w:tcBorders>
            <w:shd w:val="clear" w:color="auto" w:fill="auto"/>
            <w:vAlign w:val="center"/>
            <w:hideMark/>
          </w:tcPr>
          <w:p w:rsidR="00CD214C" w:rsidRPr="007E193F" w:rsidRDefault="00CD214C" w:rsidP="00CD214C">
            <w:pPr>
              <w:spacing w:after="0" w:line="240" w:lineRule="auto"/>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TIROCINIO / BORSA LAVORO</w:t>
            </w:r>
          </w:p>
        </w:tc>
        <w:tc>
          <w:tcPr>
            <w:tcW w:w="438" w:type="pct"/>
            <w:tcBorders>
              <w:top w:val="nil"/>
              <w:left w:val="nil"/>
              <w:bottom w:val="single" w:sz="4" w:space="0" w:color="auto"/>
              <w:right w:val="single" w:sz="4" w:space="0" w:color="auto"/>
            </w:tcBorders>
            <w:shd w:val="clear" w:color="auto" w:fill="auto"/>
            <w:noWrap/>
            <w:vAlign w:val="bottom"/>
            <w:hideMark/>
          </w:tcPr>
          <w:p w:rsidR="00CD214C" w:rsidRPr="007E193F" w:rsidRDefault="00CD214C" w:rsidP="00CD214C">
            <w:pPr>
              <w:spacing w:after="0" w:line="240" w:lineRule="auto"/>
              <w:jc w:val="right"/>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1</w:t>
            </w:r>
          </w:p>
        </w:tc>
      </w:tr>
      <w:tr w:rsidR="00CD214C" w:rsidRPr="007E193F" w:rsidTr="00CD214C">
        <w:trPr>
          <w:trHeight w:val="300"/>
        </w:trPr>
        <w:tc>
          <w:tcPr>
            <w:tcW w:w="2721" w:type="pct"/>
            <w:tcBorders>
              <w:top w:val="nil"/>
              <w:left w:val="single" w:sz="4" w:space="0" w:color="auto"/>
              <w:bottom w:val="single" w:sz="4" w:space="0" w:color="auto"/>
              <w:right w:val="single" w:sz="4" w:space="0" w:color="auto"/>
            </w:tcBorders>
            <w:shd w:val="clear" w:color="auto" w:fill="auto"/>
            <w:noWrap/>
            <w:vAlign w:val="bottom"/>
            <w:hideMark/>
          </w:tcPr>
          <w:p w:rsidR="00CD214C" w:rsidRPr="007E193F" w:rsidRDefault="00CD214C" w:rsidP="00CD214C">
            <w:pPr>
              <w:spacing w:after="0" w:line="240" w:lineRule="auto"/>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CONTRATTI DI BORSA LAVORO E ALTRE WORK EXPERIENCES</w:t>
            </w:r>
          </w:p>
        </w:tc>
        <w:tc>
          <w:tcPr>
            <w:tcW w:w="1841" w:type="pct"/>
            <w:tcBorders>
              <w:top w:val="nil"/>
              <w:left w:val="nil"/>
              <w:bottom w:val="single" w:sz="4" w:space="0" w:color="auto"/>
              <w:right w:val="single" w:sz="4" w:space="0" w:color="auto"/>
            </w:tcBorders>
            <w:shd w:val="clear" w:color="auto" w:fill="auto"/>
            <w:vAlign w:val="center"/>
            <w:hideMark/>
          </w:tcPr>
          <w:p w:rsidR="00CD214C" w:rsidRPr="007E193F" w:rsidRDefault="00CD214C" w:rsidP="00CD214C">
            <w:pPr>
              <w:spacing w:after="0" w:line="240" w:lineRule="auto"/>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TIROCINIO / BORSA LAVORO</w:t>
            </w:r>
          </w:p>
        </w:tc>
        <w:tc>
          <w:tcPr>
            <w:tcW w:w="438" w:type="pct"/>
            <w:tcBorders>
              <w:top w:val="nil"/>
              <w:left w:val="nil"/>
              <w:bottom w:val="single" w:sz="4" w:space="0" w:color="auto"/>
              <w:right w:val="single" w:sz="4" w:space="0" w:color="auto"/>
            </w:tcBorders>
            <w:shd w:val="clear" w:color="auto" w:fill="auto"/>
            <w:noWrap/>
            <w:vAlign w:val="bottom"/>
            <w:hideMark/>
          </w:tcPr>
          <w:p w:rsidR="00CD214C" w:rsidRPr="007E193F" w:rsidRDefault="00CD214C" w:rsidP="00CD214C">
            <w:pPr>
              <w:spacing w:after="0" w:line="240" w:lineRule="auto"/>
              <w:jc w:val="right"/>
              <w:rPr>
                <w:rFonts w:ascii="Calibri" w:eastAsia="Times New Roman" w:hAnsi="Calibri" w:cs="Times New Roman"/>
                <w:color w:val="000000"/>
                <w:sz w:val="18"/>
                <w:szCs w:val="18"/>
                <w:lang w:eastAsia="it-IT"/>
              </w:rPr>
            </w:pPr>
            <w:r w:rsidRPr="007E193F">
              <w:rPr>
                <w:rFonts w:ascii="Calibri" w:eastAsia="Times New Roman" w:hAnsi="Calibri" w:cs="Times New Roman"/>
                <w:color w:val="000000"/>
                <w:sz w:val="18"/>
                <w:szCs w:val="18"/>
                <w:lang w:eastAsia="it-IT"/>
              </w:rPr>
              <w:t>1</w:t>
            </w:r>
          </w:p>
        </w:tc>
      </w:tr>
    </w:tbl>
    <w:p w:rsidR="00CD214C" w:rsidRPr="007E193F" w:rsidRDefault="00CD214C" w:rsidP="00CD214C"/>
    <w:p w:rsidR="009E1842" w:rsidRDefault="009E1842">
      <w:bookmarkStart w:id="1" w:name="_GoBack"/>
      <w:bookmarkEnd w:id="1"/>
    </w:p>
    <w:sectPr w:rsidR="009E184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14C" w:rsidRDefault="00CD214C" w:rsidP="002B14DE">
      <w:pPr>
        <w:spacing w:after="0" w:line="240" w:lineRule="auto"/>
      </w:pPr>
      <w:r>
        <w:separator/>
      </w:r>
    </w:p>
  </w:endnote>
  <w:endnote w:type="continuationSeparator" w:id="0">
    <w:p w:rsidR="00CD214C" w:rsidRDefault="00CD214C" w:rsidP="002B1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631121"/>
      <w:docPartObj>
        <w:docPartGallery w:val="Page Numbers (Bottom of Page)"/>
        <w:docPartUnique/>
      </w:docPartObj>
    </w:sdtPr>
    <w:sdtContent>
      <w:p w:rsidR="00CD214C" w:rsidRDefault="00CD214C">
        <w:pPr>
          <w:pStyle w:val="Pidipagina"/>
          <w:jc w:val="right"/>
        </w:pPr>
        <w:r>
          <w:fldChar w:fldCharType="begin"/>
        </w:r>
        <w:r>
          <w:instrText>PAGE   \* MERGEFORMAT</w:instrText>
        </w:r>
        <w:r>
          <w:fldChar w:fldCharType="separate"/>
        </w:r>
        <w:r w:rsidR="0029619D">
          <w:rPr>
            <w:noProof/>
          </w:rPr>
          <w:t>41</w:t>
        </w:r>
        <w:r>
          <w:fldChar w:fldCharType="end"/>
        </w:r>
      </w:p>
    </w:sdtContent>
  </w:sdt>
  <w:p w:rsidR="00CD214C" w:rsidRDefault="00CD214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14C" w:rsidRDefault="00CD214C" w:rsidP="002B14DE">
      <w:pPr>
        <w:spacing w:after="0" w:line="240" w:lineRule="auto"/>
      </w:pPr>
      <w:r>
        <w:separator/>
      </w:r>
    </w:p>
  </w:footnote>
  <w:footnote w:type="continuationSeparator" w:id="0">
    <w:p w:rsidR="00CD214C" w:rsidRDefault="00CD214C" w:rsidP="002B14DE">
      <w:pPr>
        <w:spacing w:after="0" w:line="240" w:lineRule="auto"/>
      </w:pPr>
      <w:r>
        <w:continuationSeparator/>
      </w:r>
    </w:p>
  </w:footnote>
  <w:footnote w:id="1">
    <w:p w:rsidR="00CD214C" w:rsidRDefault="00CD214C" w:rsidP="002B14DE">
      <w:pPr>
        <w:pStyle w:val="Testonotaapidipagina"/>
      </w:pPr>
      <w:r>
        <w:rPr>
          <w:rStyle w:val="Rimandonotaapidipagina"/>
        </w:rPr>
        <w:footnoteRef/>
      </w:r>
      <w:r>
        <w:t xml:space="preserve"> </w:t>
      </w:r>
      <w:hyperlink r:id="rId1" w:history="1">
        <w:r w:rsidRPr="0038362E">
          <w:rPr>
            <w:rStyle w:val="Collegamentoipertestuale"/>
          </w:rPr>
          <w:t>http://www.osservatoriodistretti.org/sites/default/files/rapporto-2014-distretto-orafo-di-arezzo.pdf</w:t>
        </w:r>
      </w:hyperlink>
      <w:r>
        <w:t xml:space="preserve"> </w:t>
      </w:r>
    </w:p>
  </w:footnote>
  <w:footnote w:id="2">
    <w:p w:rsidR="00CD214C" w:rsidRDefault="00CD214C" w:rsidP="00832031">
      <w:pPr>
        <w:pStyle w:val="Testonotaapidipagina"/>
        <w:jc w:val="both"/>
      </w:pPr>
      <w:r>
        <w:rPr>
          <w:rStyle w:val="Rimandonotaapidipagina"/>
        </w:rPr>
        <w:footnoteRef/>
      </w:r>
      <w:r>
        <w:t xml:space="preserve"> L’esigenza di confrontare campioni omogenei di imprese (presenti in tutto il periodo) fa sì che il campione su cui abbiamo lavorato sia “spezzato” in due, uno relativo al periodo 2012-2014, uno al periodo 2014-2016), in generale molto simili. </w:t>
      </w:r>
    </w:p>
  </w:footnote>
  <w:footnote w:id="3">
    <w:p w:rsidR="00CD214C" w:rsidRDefault="00CD214C" w:rsidP="002B14DE">
      <w:pPr>
        <w:pStyle w:val="Testonotaapidipagina"/>
        <w:jc w:val="both"/>
      </w:pPr>
      <w:r>
        <w:rPr>
          <w:rStyle w:val="Rimandonotaapidipagina"/>
        </w:rPr>
        <w:footnoteRef/>
      </w:r>
      <w:r>
        <w:t xml:space="preserve"> Nei casi incerti naturalmente non abbiamo attribuito gli addetti dell’impresa ai settori del distretto orafo; li abbiamo attribuiti invece quando le attività dell’impresa hanno un orientamento duale (sia preziosi che no).</w:t>
      </w:r>
    </w:p>
  </w:footnote>
  <w:footnote w:id="4">
    <w:p w:rsidR="00CD214C" w:rsidRDefault="00CD214C" w:rsidP="002B14DE">
      <w:pPr>
        <w:pStyle w:val="Testonotaapidipagina"/>
        <w:jc w:val="both"/>
      </w:pPr>
      <w:r>
        <w:rPr>
          <w:rStyle w:val="Rimandonotaapidipagina"/>
        </w:rPr>
        <w:footnoteRef/>
      </w:r>
      <w:r>
        <w:t xml:space="preserve"> Non è stato possibile enucleare le attività della produzione di gioielli in metalli non preziosi (salvo ove definiti esplicitamente come bigiotteria) perché di solito non distinguibili da altre attività metalmeccaniche, ma probabilmente l’insieme dei nostri calcoli sottostima l’effettiva ampiezza delle attività del distretto orafo. </w:t>
      </w:r>
    </w:p>
  </w:footnote>
  <w:footnote w:id="5">
    <w:p w:rsidR="00CD214C" w:rsidRDefault="00CD214C" w:rsidP="002B14DE">
      <w:pPr>
        <w:pStyle w:val="Testonotaapidipagina"/>
        <w:jc w:val="both"/>
      </w:pPr>
      <w:r>
        <w:rPr>
          <w:rStyle w:val="Rimandonotaapidipagina"/>
        </w:rPr>
        <w:footnoteRef/>
      </w:r>
      <w:r>
        <w:t xml:space="preserve"> L’India è il secondo paese esportatore del mondo (dopo la Cina) di prodotti di oreficeria; l’Italia si colloca al sesto posto.</w:t>
      </w:r>
    </w:p>
  </w:footnote>
  <w:footnote w:id="6">
    <w:p w:rsidR="00CD214C" w:rsidRDefault="00CD214C" w:rsidP="002B14DE">
      <w:pPr>
        <w:pStyle w:val="Testonotaapidipagina"/>
        <w:jc w:val="both"/>
      </w:pPr>
      <w:r>
        <w:rPr>
          <w:rStyle w:val="Rimandonotaapidipagina"/>
        </w:rPr>
        <w:footnoteRef/>
      </w:r>
      <w:r>
        <w:t xml:space="preserve"> In via aneddotica, potremmo aggiungere che i due cognomi ugualmente più diffusi fra i lavoratori artigiani del distretto sono l’aretino “Severi” e l’indiano “</w:t>
      </w:r>
      <w:proofErr w:type="spellStart"/>
      <w:r>
        <w:t>Singh</w:t>
      </w:r>
      <w:proofErr w:type="spellEnd"/>
      <w:r>
        <w:t>”.</w:t>
      </w:r>
    </w:p>
  </w:footnote>
  <w:footnote w:id="7">
    <w:p w:rsidR="00CD214C" w:rsidRDefault="00CD214C" w:rsidP="00BF48AB">
      <w:pPr>
        <w:pStyle w:val="Testonotaapidipagina"/>
        <w:jc w:val="both"/>
      </w:pPr>
      <w:r>
        <w:rPr>
          <w:rStyle w:val="Rimandonotaapidipagina"/>
        </w:rPr>
        <w:footnoteRef/>
      </w:r>
      <w:r>
        <w:t xml:space="preserve"> Si fa notare come questo è gli altri grafici successivi che rappresentano le distribuzioni per età siano costruiti non sui valori assoluti ma sulle percentuali di lavoratori appartenenti ad ogni fascia di età in forma di medie mobili.</w:t>
      </w:r>
    </w:p>
  </w:footnote>
  <w:footnote w:id="8">
    <w:p w:rsidR="00CD214C" w:rsidRDefault="00CD214C" w:rsidP="00B877C0">
      <w:pPr>
        <w:pStyle w:val="Testonotaapidipagina"/>
        <w:jc w:val="both"/>
      </w:pPr>
      <w:r>
        <w:rPr>
          <w:rStyle w:val="Rimandonotaapidipagina"/>
        </w:rPr>
        <w:footnoteRef/>
      </w:r>
      <w:r>
        <w:t xml:space="preserve"> A tale proposito si è utilizzato l’archivio delle imprese iscritte all’</w:t>
      </w:r>
      <w:proofErr w:type="spellStart"/>
      <w:r>
        <w:t>Ebret</w:t>
      </w:r>
      <w:proofErr w:type="spellEnd"/>
      <w:r>
        <w:t xml:space="preserve"> del 2015, studiandone – in relazione alle aziende che operano nel settore orafo – i movimenti occupazionali.</w:t>
      </w:r>
    </w:p>
  </w:footnote>
  <w:footnote w:id="9">
    <w:p w:rsidR="00CD214C" w:rsidRDefault="00CD214C" w:rsidP="009E35BE">
      <w:pPr>
        <w:pStyle w:val="Testonotaapidipagina"/>
        <w:jc w:val="both"/>
      </w:pPr>
      <w:r>
        <w:rPr>
          <w:rStyle w:val="Rimandonotaapidipagina"/>
        </w:rPr>
        <w:footnoteRef/>
      </w:r>
      <w:r>
        <w:t xml:space="preserve"> </w:t>
      </w:r>
      <w:r w:rsidRPr="006D67D3">
        <w:t>Le comunicazioni obbligatorie on line per l'assunzione dei lavoratori sono state istituite dalla legge 27 dicembre 2006, n. 296</w:t>
      </w:r>
      <w:r>
        <w:t xml:space="preserve">, art. 1, commi da 1180 a 1185 </w:t>
      </w:r>
      <w:r w:rsidRPr="006D67D3">
        <w:t>(</w:t>
      </w:r>
      <w:hyperlink r:id="rId2" w:tooltip="Legge finanziaria (Italia)" w:history="1">
        <w:r w:rsidRPr="006D67D3">
          <w:rPr>
            <w:rFonts w:eastAsiaTheme="majorEastAsia"/>
          </w:rPr>
          <w:t>legge finanziaria</w:t>
        </w:r>
      </w:hyperlink>
      <w:r w:rsidRPr="006D67D3">
        <w:t> per l'anno 2007). Con il sistema delle Comunicazioni Obbligatorie si invia una sola comunicazione ai fini dell'adempimento a tutti gli obblighi prima previsti nei casi di instaurazione, trasformazione, proroga e cessazione del rapporto di lavoro, a vari soggetti: la comunicazione obbligatoria, infatti, sostituisce le vecchie modalità di comunicazione che le aziende inoltravano ai </w:t>
      </w:r>
      <w:hyperlink r:id="rId3" w:tooltip="Centro per l'impiego" w:history="1">
        <w:r w:rsidRPr="006D67D3">
          <w:t>Centri per l’impiego</w:t>
        </w:r>
      </w:hyperlink>
      <w:r w:rsidRPr="006D67D3">
        <w:t> (per il monitoraggio del </w:t>
      </w:r>
      <w:hyperlink r:id="rId4" w:tooltip="Mercato del lavoro" w:history="1">
        <w:r w:rsidRPr="006D67D3">
          <w:t>mercato del lavoro</w:t>
        </w:r>
      </w:hyperlink>
      <w:r w:rsidRPr="006D67D3">
        <w:t>); all'</w:t>
      </w:r>
      <w:hyperlink r:id="rId5" w:tooltip="INPS" w:history="1">
        <w:r w:rsidRPr="006D67D3">
          <w:t>INPS</w:t>
        </w:r>
      </w:hyperlink>
      <w:r w:rsidRPr="006D67D3">
        <w:t xml:space="preserve"> (per il versamento dei contributi previdenziali); all'</w:t>
      </w:r>
      <w:hyperlink r:id="rId6" w:tooltip="INAIL" w:history="1">
        <w:r w:rsidRPr="006D67D3">
          <w:t>INAIL</w:t>
        </w:r>
      </w:hyperlink>
      <w:r w:rsidRPr="006D67D3">
        <w:t xml:space="preserve"> (per il versamento del premio di assicurazione contro gli </w:t>
      </w:r>
      <w:hyperlink r:id="rId7" w:tooltip="Infortunio" w:history="1">
        <w:r w:rsidRPr="006D67D3">
          <w:t>infortuni</w:t>
        </w:r>
      </w:hyperlink>
      <w:r w:rsidRPr="006D67D3">
        <w:t>); al </w:t>
      </w:r>
      <w:hyperlink r:id="rId8" w:tooltip="Ministero del lavoro" w:history="1">
        <w:r w:rsidRPr="006D67D3">
          <w:t>Ministero del lavoro</w:t>
        </w:r>
      </w:hyperlink>
      <w:r w:rsidRPr="006D67D3">
        <w:t xml:space="preserve"> (per i controlli da parte della </w:t>
      </w:r>
      <w:hyperlink r:id="rId9" w:tooltip="Direzione Territoriale del Lavoro" w:history="1">
        <w:r w:rsidRPr="006D67D3">
          <w:t>Direzione Territoriale del Lavoro</w:t>
        </w:r>
      </w:hyperlink>
      <w:r w:rsidRPr="006D67D3">
        <w:t> attraverso gli </w:t>
      </w:r>
      <w:hyperlink r:id="rId10" w:tooltip="Ispettore del lavoro" w:history="1">
        <w:r w:rsidRPr="006D67D3">
          <w:t>Ispettori del lavoro</w:t>
        </w:r>
      </w:hyperlink>
      <w:r w:rsidRPr="006D67D3">
        <w:t>).</w:t>
      </w:r>
    </w:p>
  </w:footnote>
  <w:footnote w:id="10">
    <w:p w:rsidR="00CD214C" w:rsidRDefault="00CD214C" w:rsidP="009E35BE">
      <w:pPr>
        <w:pStyle w:val="Testonotaapidipagina"/>
        <w:jc w:val="both"/>
      </w:pPr>
      <w:r>
        <w:rPr>
          <w:rStyle w:val="Rimandonotaapidipagina"/>
        </w:rPr>
        <w:footnoteRef/>
      </w:r>
      <w:r>
        <w:t xml:space="preserve"> In questa sede sono stati considerati contratti a termine: a) tutte le tipologie  dei contratti a tempo determinato, b) le associazioni in partecipazione a tempo determinato, c) i contratti di agenzia a tempo determinato, d) i contratti di formazione lavoro (della PA), e) i contratti di lavoro a domicilio a tempo determinato, f) I contratti di lavoro a progetto e le collaborazioni coordinate continuative, g) il lavoro domestico a tempo determinato; h) i contratti di lavoro intermittente a tempo determinato, i) i contratti di lavoro ripartito, l) i contratti di lavoro lavori socialmente utile, m) I tirocini (si è consapevoli che il tirocinio non è un contratto di lavoro, ma lo si è inserito nell’elenco poiché le prestazioni del tirocinante sono retribuite e spesso costituiscono uno strumento di socializzazione al lavoro che conduce all’acquisizione di un contratto di lavoro vero e proprio).</w:t>
      </w:r>
    </w:p>
  </w:footnote>
  <w:footnote w:id="11">
    <w:p w:rsidR="00CD214C" w:rsidRDefault="00CD214C" w:rsidP="009E35BE">
      <w:pPr>
        <w:pStyle w:val="Testonotaapidipagina"/>
      </w:pPr>
      <w:r>
        <w:rPr>
          <w:rStyle w:val="Rimandonotaapidipagina"/>
        </w:rPr>
        <w:footnoteRef/>
      </w:r>
      <w:r>
        <w:t xml:space="preserve"> Naturalmente, non tutte le trasformazioni conducono al passaggio del tempo determinato in tempo indeterminato, ma una loro diminuzione influisce negativamente anche su tale tipo di fenomeno.</w:t>
      </w:r>
    </w:p>
  </w:footnote>
  <w:footnote w:id="12">
    <w:p w:rsidR="00CD214C" w:rsidRDefault="00CD214C" w:rsidP="00014E77">
      <w:pPr>
        <w:pStyle w:val="Testonotaapidipagina"/>
        <w:jc w:val="both"/>
      </w:pPr>
      <w:r>
        <w:rPr>
          <w:rStyle w:val="Rimandonotaapidipagina"/>
        </w:rPr>
        <w:footnoteRef/>
      </w:r>
      <w:r>
        <w:t xml:space="preserve"> Nell’allegato 1 è riportato il quadro sinottico che illustra le voci originarie delle tipologie contrattuali che appaiono nelle COB e quelle a cui queste ultime sono state ricondotte che vengono adottate in questo testo. La classificazione delle forme contrattuali è la stessa seguita in Coli A.; Fabbri E.; </w:t>
      </w:r>
      <w:proofErr w:type="spellStart"/>
      <w:r>
        <w:t>Pacini</w:t>
      </w:r>
      <w:proofErr w:type="spellEnd"/>
      <w:r>
        <w:t xml:space="preserve"> B.; </w:t>
      </w:r>
      <w:proofErr w:type="spellStart"/>
      <w:r>
        <w:t>Sylos</w:t>
      </w:r>
      <w:proofErr w:type="spellEnd"/>
      <w:r>
        <w:t xml:space="preserve"> Labini M. (2016), </w:t>
      </w:r>
      <w:r w:rsidRPr="003309BD">
        <w:rPr>
          <w:i/>
        </w:rPr>
        <w:t xml:space="preserve">Active </w:t>
      </w:r>
      <w:proofErr w:type="spellStart"/>
      <w:r w:rsidRPr="003309BD">
        <w:rPr>
          <w:i/>
        </w:rPr>
        <w:t>labor</w:t>
      </w:r>
      <w:proofErr w:type="spellEnd"/>
      <w:r w:rsidRPr="003309BD">
        <w:rPr>
          <w:i/>
        </w:rPr>
        <w:t xml:space="preserve"> market </w:t>
      </w:r>
      <w:proofErr w:type="spellStart"/>
      <w:r w:rsidRPr="003309BD">
        <w:rPr>
          <w:i/>
        </w:rPr>
        <w:t>policies</w:t>
      </w:r>
      <w:proofErr w:type="spellEnd"/>
      <w:r w:rsidRPr="003309BD">
        <w:rPr>
          <w:i/>
        </w:rPr>
        <w:t xml:space="preserve"> and </w:t>
      </w:r>
      <w:proofErr w:type="spellStart"/>
      <w:r w:rsidRPr="003309BD">
        <w:rPr>
          <w:i/>
        </w:rPr>
        <w:t>transitions</w:t>
      </w:r>
      <w:proofErr w:type="spellEnd"/>
      <w:r w:rsidRPr="003309BD">
        <w:rPr>
          <w:i/>
        </w:rPr>
        <w:t xml:space="preserve"> to </w:t>
      </w:r>
      <w:proofErr w:type="spellStart"/>
      <w:r w:rsidRPr="003309BD">
        <w:rPr>
          <w:i/>
        </w:rPr>
        <w:t>permanent</w:t>
      </w:r>
      <w:proofErr w:type="spellEnd"/>
      <w:r w:rsidRPr="003309BD">
        <w:rPr>
          <w:i/>
        </w:rPr>
        <w:t xml:space="preserve"> </w:t>
      </w:r>
      <w:proofErr w:type="spellStart"/>
      <w:r w:rsidRPr="003309BD">
        <w:rPr>
          <w:i/>
        </w:rPr>
        <w:t>employment</w:t>
      </w:r>
      <w:proofErr w:type="spellEnd"/>
      <w:r w:rsidRPr="003309BD">
        <w:rPr>
          <w:i/>
        </w:rPr>
        <w:t xml:space="preserve">. </w:t>
      </w:r>
      <w:r w:rsidRPr="003309BD">
        <w:rPr>
          <w:i/>
          <w:lang w:val="en-US"/>
        </w:rPr>
        <w:t>A quantitative analysis at local level</w:t>
      </w:r>
      <w:r>
        <w:rPr>
          <w:lang w:val="en-US"/>
        </w:rPr>
        <w:t xml:space="preserve">; paper </w:t>
      </w:r>
      <w:proofErr w:type="spellStart"/>
      <w:r>
        <w:rPr>
          <w:lang w:val="en-US"/>
        </w:rPr>
        <w:t>presentato</w:t>
      </w:r>
      <w:proofErr w:type="spellEnd"/>
      <w:r>
        <w:rPr>
          <w:lang w:val="en-US"/>
        </w:rPr>
        <w:t xml:space="preserve"> in </w:t>
      </w:r>
      <w:proofErr w:type="spellStart"/>
      <w:r>
        <w:rPr>
          <w:lang w:val="en-US"/>
        </w:rPr>
        <w:t>occasione</w:t>
      </w:r>
      <w:proofErr w:type="spellEnd"/>
      <w:r>
        <w:rPr>
          <w:lang w:val="en-US"/>
        </w:rPr>
        <w:t xml:space="preserve"> de </w:t>
      </w:r>
      <w:r w:rsidRPr="003309BD">
        <w:rPr>
          <w:i/>
          <w:lang w:val="en-US"/>
        </w:rPr>
        <w:t xml:space="preserve">IX </w:t>
      </w:r>
      <w:proofErr w:type="spellStart"/>
      <w:r w:rsidRPr="003309BD">
        <w:rPr>
          <w:i/>
          <w:lang w:val="en-US"/>
        </w:rPr>
        <w:t>ESPAnet</w:t>
      </w:r>
      <w:proofErr w:type="spellEnd"/>
      <w:r w:rsidRPr="003309BD">
        <w:rPr>
          <w:i/>
          <w:lang w:val="en-US"/>
        </w:rPr>
        <w:t xml:space="preserve"> Conference</w:t>
      </w:r>
      <w:r>
        <w:rPr>
          <w:lang w:val="en-US"/>
        </w:rPr>
        <w:t xml:space="preserve"> (Macerata 22-24 </w:t>
      </w:r>
      <w:proofErr w:type="spellStart"/>
      <w:r>
        <w:rPr>
          <w:lang w:val="en-US"/>
        </w:rPr>
        <w:t>settembre</w:t>
      </w:r>
      <w:proofErr w:type="spellEnd"/>
      <w:r>
        <w:rPr>
          <w:lang w:val="en-US"/>
        </w:rPr>
        <w:t>).</w:t>
      </w:r>
    </w:p>
  </w:footnote>
  <w:footnote w:id="13">
    <w:p w:rsidR="00CD214C" w:rsidRDefault="00CD214C" w:rsidP="009E35BE">
      <w:pPr>
        <w:pStyle w:val="Testonotaapidipagina"/>
        <w:jc w:val="both"/>
      </w:pPr>
      <w:r>
        <w:rPr>
          <w:rStyle w:val="Rimandonotaapidipagina"/>
        </w:rPr>
        <w:footnoteRef/>
      </w:r>
      <w:r>
        <w:t xml:space="preserve"> La Legge di stabilità del 2016, p</w:t>
      </w:r>
      <w:r w:rsidRPr="0027455A">
        <w:t>er i nuovi contratti di lavoro a tempo indeterminato stipulati dall’1° gennaio al 31 dicembre 2016,</w:t>
      </w:r>
      <w:r>
        <w:t xml:space="preserve"> aveva definito</w:t>
      </w:r>
      <w:r w:rsidRPr="0027455A">
        <w:t xml:space="preserve"> uno sgravio dei contributi INPS a carico dei datori di lavoro per </w:t>
      </w:r>
      <w:r>
        <w:t>24</w:t>
      </w:r>
      <w:r w:rsidRPr="0027455A">
        <w:t xml:space="preserve"> mesi. Si tratta</w:t>
      </w:r>
      <w:r>
        <w:t>,</w:t>
      </w:r>
      <w:r w:rsidRPr="0027455A">
        <w:t xml:space="preserve"> tuttavia</w:t>
      </w:r>
      <w:r>
        <w:t>,</w:t>
      </w:r>
      <w:r w:rsidRPr="0027455A">
        <w:t xml:space="preserve"> di uno sgravio che non può più essere definito totale, stante l’incisiva riduzione del tetto massimo di esonero ammesso, che dagli 8.060 euro del 2015 </w:t>
      </w:r>
      <w:r>
        <w:t xml:space="preserve">sono passati </w:t>
      </w:r>
      <w:r w:rsidRPr="0027455A">
        <w:t>ai 3.250 euro.</w:t>
      </w:r>
    </w:p>
  </w:footnote>
  <w:footnote w:id="14">
    <w:p w:rsidR="00CD214C" w:rsidRDefault="00CD214C" w:rsidP="00014E77">
      <w:pPr>
        <w:pStyle w:val="Testonotaapidipagina"/>
        <w:jc w:val="both"/>
      </w:pPr>
      <w:r>
        <w:rPr>
          <w:rStyle w:val="Rimandonotaapidipagina"/>
        </w:rPr>
        <w:footnoteRef/>
      </w:r>
      <w:r>
        <w:t xml:space="preserve"> </w:t>
      </w:r>
      <w:r>
        <w:rPr>
          <w:rStyle w:val="Rimandonotaapidipagina"/>
        </w:rPr>
        <w:footnoteRef/>
      </w:r>
      <w:r>
        <w:t xml:space="preserve"> Nell’allegato 1, in relazione a ciascuna voce della nuova classificazione si è attribuito un punteggio che varia da 3 (valore massimo) a 1 (valore minimo). Il punteggio riflette la qualità contrattuale in riferimento alle dimensioni della stabilità e il set di tutele previdenziali e sindacali. Il punteggio massimo è attribuito ai contratti a tempo indeterminato (3). A seguire i contratti caratterizzati da qualità contrattuale minore. Il ranking attribuito a ciascuna tipologia contrattuale segue la classificazione delle forme contrattuali è la stessa seguita in Coli A.; Fabbri E.; </w:t>
      </w:r>
      <w:proofErr w:type="spellStart"/>
      <w:r>
        <w:t>Pacini</w:t>
      </w:r>
      <w:proofErr w:type="spellEnd"/>
      <w:r>
        <w:t xml:space="preserve"> B.; </w:t>
      </w:r>
      <w:proofErr w:type="spellStart"/>
      <w:r>
        <w:t>Sylos</w:t>
      </w:r>
      <w:proofErr w:type="spellEnd"/>
      <w:r>
        <w:t xml:space="preserve"> Labini M. (2016), op. cit.</w:t>
      </w:r>
    </w:p>
  </w:footnote>
  <w:footnote w:id="15">
    <w:p w:rsidR="00CD214C" w:rsidRDefault="00CD214C" w:rsidP="009E35BE">
      <w:pPr>
        <w:pStyle w:val="Testonotaapidipagina"/>
      </w:pPr>
      <w:r>
        <w:rPr>
          <w:rStyle w:val="Rimandonotaapidipagina"/>
        </w:rPr>
        <w:footnoteRef/>
      </w:r>
      <w:r>
        <w:t xml:space="preserve"> Cfr. Art.</w:t>
      </w:r>
      <w:r w:rsidRPr="00697806">
        <w:t xml:space="preserve"> 1, comma 7, della legge 10 dicembre 20</w:t>
      </w:r>
      <w:r>
        <w:t xml:space="preserve">14, n. 183, cosiddetto Jobs </w:t>
      </w:r>
      <w:proofErr w:type="spellStart"/>
      <w:r>
        <w:t>Act</w:t>
      </w:r>
      <w:proofErr w:type="spellEnd"/>
      <w:r>
        <w:t>.</w:t>
      </w:r>
    </w:p>
  </w:footnote>
  <w:footnote w:id="16">
    <w:p w:rsidR="00CD214C" w:rsidRDefault="00CD214C">
      <w:pPr>
        <w:pStyle w:val="Testonotaapidipagina"/>
      </w:pPr>
      <w:r>
        <w:rPr>
          <w:rStyle w:val="Rimandonotaapidipagina"/>
        </w:rPr>
        <w:footnoteRef/>
      </w:r>
      <w:r>
        <w:t xml:space="preserve"> In questo caso, e nel paragrafo successivo 3.5, l’analisi viene condotta sul quinquennio 2011-2015 anziché sui sei anni fino al 2016, per differente disponibilità dei dati.</w:t>
      </w:r>
    </w:p>
  </w:footnote>
  <w:footnote w:id="17">
    <w:p w:rsidR="00CD214C" w:rsidRDefault="00CD214C" w:rsidP="002F3F0C">
      <w:pPr>
        <w:pStyle w:val="Testonotaapidipagina"/>
        <w:jc w:val="both"/>
      </w:pPr>
      <w:r>
        <w:rPr>
          <w:rStyle w:val="Rimandonotaapidipagina"/>
        </w:rPr>
        <w:footnoteRef/>
      </w:r>
      <w:r>
        <w:t xml:space="preserve"> Ritrovare la voce “montatore di oreficeria” in un settore non orafo potrebbe corrispondere ad una imprecisa classificazione delle mansioni da parte degli uffici preposti.</w:t>
      </w:r>
    </w:p>
  </w:footnote>
  <w:footnote w:id="18">
    <w:p w:rsidR="00CD214C" w:rsidRDefault="00CD214C" w:rsidP="00946AD8">
      <w:pPr>
        <w:pStyle w:val="Testonotaapidipagina"/>
        <w:jc w:val="both"/>
      </w:pPr>
      <w:r>
        <w:rPr>
          <w:rStyle w:val="Rimandonotaapidipagina"/>
        </w:rPr>
        <w:footnoteRef/>
      </w:r>
      <w:r>
        <w:t xml:space="preserve"> </w:t>
      </w:r>
      <w:r>
        <w:rPr>
          <w:rStyle w:val="Rimandonotaapidipagina"/>
        </w:rPr>
        <w:footnoteRef/>
      </w:r>
      <w:r>
        <w:t xml:space="preserve"> </w:t>
      </w:r>
      <w:proofErr w:type="spellStart"/>
      <w:r>
        <w:t>Rullani</w:t>
      </w:r>
      <w:proofErr w:type="spellEnd"/>
      <w:r>
        <w:t xml:space="preserve"> E. (2014), Lavoro cognitivo. Intervista a Enzo </w:t>
      </w:r>
      <w:proofErr w:type="spellStart"/>
      <w:r>
        <w:t>Rullani</w:t>
      </w:r>
      <w:proofErr w:type="spellEnd"/>
      <w:r>
        <w:t xml:space="preserve">, ipertesto disponibile in </w:t>
      </w:r>
      <w:hyperlink r:id="rId11" w:history="1">
        <w:r>
          <w:rPr>
            <w:rStyle w:val="Collegamentoipertestuale"/>
          </w:rPr>
          <w:t>www.sinistrainrete.info/lavoro-e-sindacato/3374-enzo-rullani-lavoro-cognitivo.html</w:t>
        </w:r>
      </w:hyperlink>
      <w:r>
        <w:t>.</w:t>
      </w:r>
    </w:p>
  </w:footnote>
  <w:footnote w:id="19">
    <w:p w:rsidR="00CD214C" w:rsidRDefault="00CD214C" w:rsidP="00242B71">
      <w:pPr>
        <w:pStyle w:val="Testonotaapidipagina"/>
        <w:jc w:val="both"/>
      </w:pPr>
      <w:r>
        <w:rPr>
          <w:rStyle w:val="Rimandonotaapidipagina"/>
        </w:rPr>
        <w:footnoteRef/>
      </w:r>
      <w:r>
        <w:t xml:space="preserve"> </w:t>
      </w:r>
      <w:proofErr w:type="spellStart"/>
      <w:r>
        <w:t>Rullani</w:t>
      </w:r>
      <w:proofErr w:type="spellEnd"/>
      <w:r>
        <w:t xml:space="preserve"> E. (2014), op, </w:t>
      </w:r>
      <w:proofErr w:type="spellStart"/>
      <w:r>
        <w:t>cit</w:t>
      </w:r>
      <w:proofErr w:type="spellEnd"/>
    </w:p>
  </w:footnote>
  <w:footnote w:id="20">
    <w:p w:rsidR="00CD214C" w:rsidRDefault="00CD214C" w:rsidP="0029619D">
      <w:pPr>
        <w:pStyle w:val="Testonotaapidipagina"/>
        <w:jc w:val="both"/>
      </w:pPr>
      <w:r>
        <w:rPr>
          <w:rStyle w:val="Rimandonotaapidipagina"/>
        </w:rPr>
        <w:footnoteRef/>
      </w:r>
      <w:r>
        <w:t xml:space="preserve"> In questa sede di parla di </w:t>
      </w:r>
      <w:r>
        <w:rPr>
          <w:i/>
        </w:rPr>
        <w:t>teste</w:t>
      </w:r>
      <w:r>
        <w:t xml:space="preserve"> con riferimento agli individui che vengono avviati al lavoro. La stessa persona, infatti può essere avviata al lavoro più volte e – dunque – sarà conteggiata più volte fra gli avviamenti, tuttavia, essa sarà conteggiata </w:t>
      </w:r>
      <w:r>
        <w:rPr>
          <w:i/>
        </w:rPr>
        <w:t>una volta sola</w:t>
      </w:r>
      <w:r>
        <w:t xml:space="preserve"> fra le </w:t>
      </w:r>
      <w:r>
        <w:rPr>
          <w:i/>
        </w:rPr>
        <w:t>teste.</w:t>
      </w:r>
      <w:r>
        <w:t xml:space="preserve"> </w:t>
      </w:r>
    </w:p>
  </w:footnote>
  <w:footnote w:id="21">
    <w:p w:rsidR="00CD214C" w:rsidRDefault="00CD214C" w:rsidP="00242B71">
      <w:pPr>
        <w:pStyle w:val="Testonotaapidipagina"/>
        <w:jc w:val="both"/>
      </w:pPr>
      <w:r>
        <w:rPr>
          <w:rStyle w:val="Rimandonotaapidipagina"/>
        </w:rPr>
        <w:footnoteRef/>
      </w:r>
      <w:r>
        <w:t xml:space="preserve"> Cfr. Fabbri E. (2016), </w:t>
      </w:r>
      <w:r>
        <w:rPr>
          <w:i/>
        </w:rPr>
        <w:t>Lavoro cognitivo e sviluppo nel settore della pelletteria toscana. I casi del Distretto di Santa Croce sull’Arno e del Polo della pelletteria fiorentino</w:t>
      </w:r>
      <w:r>
        <w:t>, report di ricerca realizzato nell’ambito delle attività di monitoraggio condotte da IRES – Toscana per conto di EBRET.</w:t>
      </w:r>
    </w:p>
  </w:footnote>
  <w:footnote w:id="22">
    <w:p w:rsidR="00CD214C" w:rsidRDefault="00CD214C" w:rsidP="00242B71">
      <w:pPr>
        <w:pStyle w:val="Testonotaapidipagina"/>
        <w:jc w:val="both"/>
      </w:pPr>
      <w:r>
        <w:rPr>
          <w:rStyle w:val="Rimandonotaapidipagina"/>
        </w:rPr>
        <w:footnoteRef/>
      </w:r>
      <w:r>
        <w:t xml:space="preserve"> Nella filiera produttiva della pelletteria fiorentina – ormai piramidale e fortemente gerarchizzata – le maggiori responsabilità delle innovazioni in atto spettano ai grandi e medi </w:t>
      </w:r>
      <w:proofErr w:type="spellStart"/>
      <w:r>
        <w:t>leaders</w:t>
      </w:r>
      <w:proofErr w:type="spellEnd"/>
      <w:r>
        <w:t xml:space="preserve"> che investono nei servizi di vendita e post vendita, nel marketing di prodotto e/o di marchio.  In entrambi i contesti, tuttavia, ogni soluzione adottata sembra essere il frutto dell’apporto del lavoro generativo che trova la sua collocazione (spaziale) prevalentemente all’interno del contesto territoriale: è lì che si decidono le nuove strategie di brand e quelle di marketing, è lì che si progettano nuovi prodotti o nuove soluzioni produttive; ma per fare questo – come si è visto – occorre dotarsi, in maniera massiccia, di lavoro cognitivo che diviene parte integrante del patrimonio professionale locale [cfr. Fabbri E. 2016, </w:t>
      </w:r>
      <w:proofErr w:type="spellStart"/>
      <w:r>
        <w:t>op.cit</w:t>
      </w:r>
      <w:proofErr w:type="spellEnd"/>
      <w:r>
        <w:t>].</w:t>
      </w:r>
    </w:p>
  </w:footnote>
  <w:footnote w:id="23">
    <w:p w:rsidR="00CD214C" w:rsidRDefault="00CD214C">
      <w:pPr>
        <w:pStyle w:val="Testonotaapidipagina"/>
      </w:pPr>
      <w:r>
        <w:rPr>
          <w:rStyle w:val="Rimandonotaapidipagina"/>
        </w:rPr>
        <w:footnoteRef/>
      </w:r>
      <w:r>
        <w:t xml:space="preserve"> L’archivio non comprende le aziende cessate negli anni precedenti, e ciò può sovrastimare i risultati positivi del campione.</w:t>
      </w:r>
    </w:p>
  </w:footnote>
  <w:footnote w:id="24">
    <w:p w:rsidR="00CD214C" w:rsidRDefault="00CD214C" w:rsidP="009E35BE">
      <w:pPr>
        <w:pStyle w:val="Testonotaapidipagina"/>
      </w:pPr>
      <w:r>
        <w:rPr>
          <w:rStyle w:val="Rimandonotaapidipagina"/>
        </w:rPr>
        <w:footnoteRef/>
      </w:r>
      <w:r>
        <w:t xml:space="preserve"> L’indice di correlazione è statisticamente definito come </w:t>
      </w:r>
      <w:proofErr w:type="gramStart"/>
      <w:r>
        <w:t xml:space="preserve">segue: </w:t>
      </w:r>
      <m:oMath>
        <m:r>
          <w:rPr>
            <w:rFonts w:ascii="Cambria Math" w:hAnsi="Cambria Math"/>
          </w:rPr>
          <m:t xml:space="preserve">Correlazione </m:t>
        </m:r>
        <m:d>
          <m:dPr>
            <m:ctrlPr>
              <w:rPr>
                <w:rFonts w:ascii="Cambria Math" w:hAnsi="Cambria Math"/>
                <w:i/>
              </w:rPr>
            </m:ctrlPr>
          </m:dPr>
          <m:e>
            <m:r>
              <w:rPr>
                <w:rFonts w:ascii="Cambria Math" w:hAnsi="Cambria Math"/>
              </w:rPr>
              <m:t>x,y</m:t>
            </m:r>
          </m:e>
        </m:d>
        <m:r>
          <w:rPr>
            <w:rFonts w:ascii="Cambria Math" w:hAnsi="Cambria Math"/>
          </w:rPr>
          <m:t>=</m:t>
        </m:r>
        <m:f>
          <m:fPr>
            <m:ctrlPr>
              <w:rPr>
                <w:rFonts w:ascii="Cambria Math" w:hAnsi="Cambria Math"/>
                <w:i/>
              </w:rPr>
            </m:ctrlPr>
          </m:fPr>
          <m:num>
            <m:nary>
              <m:naryPr>
                <m:chr m:val="∑"/>
                <m:limLoc m:val="undOvr"/>
                <m:subHide m:val="1"/>
                <m:supHide m:val="1"/>
                <m:ctrlPr>
                  <w:rPr>
                    <w:rFonts w:ascii="Cambria Math" w:hAnsi="Cambria Math"/>
                    <w:i/>
                  </w:rPr>
                </m:ctrlPr>
              </m:naryPr>
              <m:sub/>
              <m:sup/>
              <m:e>
                <m:r>
                  <w:rPr>
                    <w:rFonts w:ascii="Cambria Math" w:hAnsi="Cambria Math"/>
                  </w:rPr>
                  <m:t>(x-</m:t>
                </m:r>
                <m:acc>
                  <m:accPr>
                    <m:chr m:val="̅"/>
                    <m:ctrlPr>
                      <w:rPr>
                        <w:rFonts w:ascii="Cambria Math" w:hAnsi="Cambria Math"/>
                        <w:i/>
                      </w:rPr>
                    </m:ctrlPr>
                  </m:accPr>
                  <m:e>
                    <m:r>
                      <w:rPr>
                        <w:rFonts w:ascii="Cambria Math" w:hAnsi="Cambria Math"/>
                      </w:rPr>
                      <m:t>x</m:t>
                    </m:r>
                  </m:e>
                </m:acc>
              </m:e>
            </m:nary>
            <m:r>
              <w:rPr>
                <w:rFonts w:ascii="Cambria Math" w:hAnsi="Cambria Math"/>
              </w:rPr>
              <m:t>)*(y-</m:t>
            </m:r>
            <m:acc>
              <m:accPr>
                <m:chr m:val="̅"/>
                <m:ctrlPr>
                  <w:rPr>
                    <w:rFonts w:ascii="Cambria Math" w:hAnsi="Cambria Math"/>
                    <w:i/>
                  </w:rPr>
                </m:ctrlPr>
              </m:accPr>
              <m:e>
                <m:r>
                  <w:rPr>
                    <w:rFonts w:ascii="Cambria Math" w:hAnsi="Cambria Math"/>
                  </w:rPr>
                  <m:t>y</m:t>
                </m:r>
              </m:e>
            </m:acc>
            <m:r>
              <w:rPr>
                <w:rFonts w:ascii="Cambria Math" w:hAnsi="Cambria Math"/>
              </w:rPr>
              <m:t>)</m:t>
            </m:r>
          </m:num>
          <m:den>
            <m:rad>
              <m:radPr>
                <m:degHide m:val="1"/>
                <m:ctrlPr>
                  <w:rPr>
                    <w:rFonts w:ascii="Cambria Math" w:hAnsi="Cambria Math"/>
                    <w:i/>
                  </w:rPr>
                </m:ctrlPr>
              </m:radPr>
              <m:deg/>
              <m:e>
                <m:sSup>
                  <m:sSupPr>
                    <m:ctrlPr>
                      <w:rPr>
                        <w:rFonts w:ascii="Cambria Math" w:hAnsi="Cambria Math"/>
                        <w:i/>
                      </w:rPr>
                    </m:ctrlPr>
                  </m:sSupPr>
                  <m:e>
                    <m:nary>
                      <m:naryPr>
                        <m:chr m:val="∑"/>
                        <m:limLoc m:val="undOvr"/>
                        <m:subHide m:val="1"/>
                        <m:supHide m:val="1"/>
                        <m:ctrlPr>
                          <w:rPr>
                            <w:rFonts w:ascii="Cambria Math" w:hAnsi="Cambria Math"/>
                            <w:i/>
                          </w:rPr>
                        </m:ctrlPr>
                      </m:naryPr>
                      <m:sub/>
                      <m:sup/>
                      <m:e>
                        <m:r>
                          <w:rPr>
                            <w:rFonts w:ascii="Cambria Math" w:hAnsi="Cambria Math"/>
                          </w:rPr>
                          <m:t>(x-</m:t>
                        </m:r>
                        <m:acc>
                          <m:accPr>
                            <m:chr m:val="̅"/>
                            <m:ctrlPr>
                              <w:rPr>
                                <w:rFonts w:ascii="Cambria Math" w:hAnsi="Cambria Math"/>
                                <w:i/>
                              </w:rPr>
                            </m:ctrlPr>
                          </m:accPr>
                          <m:e>
                            <m:r>
                              <w:rPr>
                                <w:rFonts w:ascii="Cambria Math" w:hAnsi="Cambria Math"/>
                              </w:rPr>
                              <m:t>x</m:t>
                            </m:r>
                          </m:e>
                        </m:acc>
                      </m:e>
                    </m:nary>
                    <m:r>
                      <w:rPr>
                        <w:rFonts w:ascii="Cambria Math" w:hAnsi="Cambria Math"/>
                      </w:rPr>
                      <m:t>)</m:t>
                    </m:r>
                  </m:e>
                  <m:sup>
                    <m:r>
                      <w:rPr>
                        <w:rFonts w:ascii="Cambria Math" w:hAnsi="Cambria Math"/>
                      </w:rPr>
                      <m:t>2</m:t>
                    </m:r>
                  </m:sup>
                </m:sSup>
                <m:r>
                  <w:rPr>
                    <w:rFonts w:ascii="Cambria Math" w:hAnsi="Cambria Math"/>
                  </w:rPr>
                  <m:t>*</m:t>
                </m:r>
                <m:sSup>
                  <m:sSupPr>
                    <m:ctrlPr>
                      <w:rPr>
                        <w:rFonts w:ascii="Cambria Math" w:hAnsi="Cambria Math"/>
                        <w:i/>
                      </w:rPr>
                    </m:ctrlPr>
                  </m:sSupPr>
                  <m:e>
                    <m:sSup>
                      <m:sSupPr>
                        <m:ctrlPr>
                          <w:rPr>
                            <w:rFonts w:ascii="Cambria Math" w:hAnsi="Cambria Math"/>
                            <w:i/>
                          </w:rPr>
                        </m:ctrlPr>
                      </m:sSupPr>
                      <m:e>
                        <m:nary>
                          <m:naryPr>
                            <m:chr m:val="∑"/>
                            <m:limLoc m:val="undOvr"/>
                            <m:subHide m:val="1"/>
                            <m:supHide m:val="1"/>
                            <m:ctrlPr>
                              <w:rPr>
                                <w:rFonts w:ascii="Cambria Math" w:hAnsi="Cambria Math"/>
                                <w:i/>
                              </w:rPr>
                            </m:ctrlPr>
                          </m:naryPr>
                          <m:sub/>
                          <m:sup/>
                          <m:e>
                            <m:r>
                              <w:rPr>
                                <w:rFonts w:ascii="Cambria Math" w:hAnsi="Cambria Math"/>
                              </w:rPr>
                              <m:t>(y-</m:t>
                            </m:r>
                            <m:acc>
                              <m:accPr>
                                <m:chr m:val="̅"/>
                                <m:ctrlPr>
                                  <w:rPr>
                                    <w:rFonts w:ascii="Cambria Math" w:hAnsi="Cambria Math"/>
                                    <w:i/>
                                  </w:rPr>
                                </m:ctrlPr>
                              </m:accPr>
                              <m:e>
                                <m:r>
                                  <w:rPr>
                                    <w:rFonts w:ascii="Cambria Math" w:hAnsi="Cambria Math"/>
                                  </w:rPr>
                                  <m:t>y</m:t>
                                </m:r>
                              </m:e>
                            </m:acc>
                          </m:e>
                        </m:nary>
                        <m:r>
                          <w:rPr>
                            <w:rFonts w:ascii="Cambria Math" w:hAnsi="Cambria Math"/>
                          </w:rPr>
                          <m:t>)</m:t>
                        </m:r>
                      </m:e>
                      <m:sup>
                        <m:r>
                          <w:rPr>
                            <w:rFonts w:ascii="Cambria Math" w:hAnsi="Cambria Math"/>
                          </w:rPr>
                          <m:t>2</m:t>
                        </m:r>
                      </m:sup>
                    </m:sSup>
                  </m:e>
                  <m:sup/>
                </m:sSup>
              </m:e>
            </m:rad>
          </m:den>
        </m:f>
      </m:oMath>
      <w:r>
        <w:rPr>
          <w:rFonts w:eastAsiaTheme="minorEastAsia"/>
        </w:rPr>
        <w:t xml:space="preserve"> %</w:t>
      </w:r>
      <w:proofErr w:type="gramEnd"/>
    </w:p>
    <w:p w:rsidR="00CD214C" w:rsidRDefault="00CD214C" w:rsidP="009E35BE">
      <w:pPr>
        <w:pStyle w:val="Testonotaapidipagina"/>
      </w:pPr>
      <w:r>
        <w:t xml:space="preserve">Dove: </w:t>
      </w:r>
    </w:p>
    <w:p w:rsidR="00CD214C" w:rsidRDefault="00CD214C" w:rsidP="009E35BE">
      <w:pPr>
        <w:pStyle w:val="Testonotaapidipagina"/>
        <w:numPr>
          <w:ilvl w:val="0"/>
          <w:numId w:val="6"/>
        </w:numPr>
      </w:pPr>
      <w:proofErr w:type="gramStart"/>
      <w:r>
        <w:t>x</w:t>
      </w:r>
      <w:proofErr w:type="gramEnd"/>
      <w:r>
        <w:t xml:space="preserve"> sono il n. di imprese della colonna “Universo” </w:t>
      </w:r>
      <w:proofErr w:type="spellStart"/>
      <w:r>
        <w:t>tab</w:t>
      </w:r>
      <w:proofErr w:type="spellEnd"/>
      <w:r>
        <w:t>. 4;</w:t>
      </w:r>
    </w:p>
    <w:p w:rsidR="00CD214C" w:rsidRDefault="00CD214C" w:rsidP="009E35BE">
      <w:pPr>
        <w:pStyle w:val="Testonotaapidipagina"/>
        <w:numPr>
          <w:ilvl w:val="0"/>
          <w:numId w:val="6"/>
        </w:numPr>
      </w:pPr>
      <w:proofErr w:type="gramStart"/>
      <w:r>
        <w:t>y</w:t>
      </w:r>
      <w:proofErr w:type="gramEnd"/>
      <w:r>
        <w:t xml:space="preserve"> sono il n. di imprese della colonna “Campione ”di </w:t>
      </w:r>
      <w:proofErr w:type="spellStart"/>
      <w:r>
        <w:t>tab</w:t>
      </w:r>
      <w:proofErr w:type="spellEnd"/>
      <w:r>
        <w:t>. 4;</w:t>
      </w:r>
    </w:p>
    <w:p w:rsidR="00CD214C" w:rsidRDefault="00CD214C" w:rsidP="009E35BE">
      <w:pPr>
        <w:pStyle w:val="Testonotaapidipagina"/>
        <w:numPr>
          <w:ilvl w:val="0"/>
          <w:numId w:val="6"/>
        </w:numPr>
      </w:pPr>
      <m:oMath>
        <m:acc>
          <m:accPr>
            <m:chr m:val="̅"/>
            <m:ctrlPr>
              <w:rPr>
                <w:rFonts w:ascii="Cambria Math" w:hAnsi="Cambria Math"/>
                <w:i/>
              </w:rPr>
            </m:ctrlPr>
          </m:accPr>
          <m:e>
            <m:r>
              <w:rPr>
                <w:rFonts w:ascii="Cambria Math" w:hAnsi="Cambria Math"/>
              </w:rPr>
              <m:t>x</m:t>
            </m:r>
          </m:e>
        </m:acc>
      </m:oMath>
      <w:r>
        <w:t xml:space="preserve"> </w:t>
      </w:r>
      <w:proofErr w:type="gramStart"/>
      <w:r>
        <w:t>è</w:t>
      </w:r>
      <w:proofErr w:type="gramEnd"/>
      <w:r>
        <w:t xml:space="preserve"> la media del n. di imprese presenti nella colonna “Universo” della tab.4;</w:t>
      </w:r>
    </w:p>
    <w:p w:rsidR="00CD214C" w:rsidRDefault="00CD214C" w:rsidP="009E35BE">
      <w:pPr>
        <w:pStyle w:val="Testonotaapidipagina"/>
        <w:numPr>
          <w:ilvl w:val="0"/>
          <w:numId w:val="6"/>
        </w:numPr>
      </w:pPr>
      <m:oMath>
        <m:acc>
          <m:accPr>
            <m:chr m:val="̅"/>
            <m:ctrlPr>
              <w:rPr>
                <w:rFonts w:ascii="Cambria Math" w:hAnsi="Cambria Math"/>
                <w:i/>
              </w:rPr>
            </m:ctrlPr>
          </m:accPr>
          <m:e>
            <m:r>
              <w:rPr>
                <w:rFonts w:ascii="Cambria Math" w:hAnsi="Cambria Math"/>
              </w:rPr>
              <m:t>y</m:t>
            </m:r>
          </m:e>
        </m:acc>
      </m:oMath>
      <w:r>
        <w:t xml:space="preserve"> </w:t>
      </w:r>
      <w:proofErr w:type="gramStart"/>
      <w:r>
        <w:t>è</w:t>
      </w:r>
      <w:proofErr w:type="gramEnd"/>
      <w:r>
        <w:t xml:space="preserve"> la media n. di imprese presenti nella colonna “Universo” della tab.4.</w:t>
      </w:r>
    </w:p>
    <w:p w:rsidR="00CD214C" w:rsidRDefault="00CD214C" w:rsidP="009E35BE">
      <w:pPr>
        <w:pStyle w:val="Testonotaapidipagina"/>
      </w:pPr>
    </w:p>
    <w:p w:rsidR="00CD214C" w:rsidRDefault="00CD214C" w:rsidP="009E35BE">
      <w:pPr>
        <w:pStyle w:val="Testonotaapidipagina"/>
      </w:pPr>
      <w:r>
        <w:t>L’indice varia da -100% (massima correlazione inversa) e +100% (massima correlazione diretta).</w:t>
      </w:r>
    </w:p>
    <w:p w:rsidR="00CD214C" w:rsidRDefault="00CD214C" w:rsidP="009E35BE">
      <w:pPr>
        <w:pStyle w:val="Testonotaapidipagina"/>
      </w:pPr>
    </w:p>
  </w:footnote>
  <w:footnote w:id="25">
    <w:p w:rsidR="00CD214C" w:rsidRDefault="00CD214C" w:rsidP="009E35BE">
      <w:pPr>
        <w:pStyle w:val="Testonotaapidipagina"/>
        <w:jc w:val="both"/>
      </w:pPr>
      <w:r>
        <w:rPr>
          <w:rStyle w:val="Rimandonotaapidipagina"/>
        </w:rPr>
        <w:footnoteRef/>
      </w:r>
      <w:r>
        <w:t xml:space="preserve"> In questa sede si definisce resilienza del mercato del lavoro il seguente </w:t>
      </w:r>
      <w:proofErr w:type="gramStart"/>
      <w:r>
        <w:t xml:space="preserve">rapporto: </w:t>
      </w:r>
      <m:oMath>
        <m:r>
          <w:rPr>
            <w:rFonts w:ascii="Cambria Math" w:hAnsi="Cambria Math"/>
          </w:rPr>
          <m:t>δ=</m:t>
        </m:r>
        <m:f>
          <m:fPr>
            <m:ctrlPr>
              <w:rPr>
                <w:rFonts w:ascii="Cambria Math" w:hAnsi="Cambria Math"/>
                <w:i/>
              </w:rPr>
            </m:ctrlPr>
          </m:fPr>
          <m:num>
            <m:r>
              <w:rPr>
                <w:rFonts w:ascii="Cambria Math" w:hAnsi="Cambria Math"/>
              </w:rPr>
              <m:t>(Avviamenti-Cessazioni)</m:t>
            </m:r>
          </m:num>
          <m:den>
            <m:r>
              <w:rPr>
                <w:rFonts w:ascii="Cambria Math" w:hAnsi="Cambria Math"/>
              </w:rPr>
              <m:t>(Avviamenti+Cessazioni)</m:t>
            </m:r>
          </m:den>
        </m:f>
      </m:oMath>
      <w:r>
        <w:rPr>
          <w:rFonts w:eastAsiaTheme="minorEastAsia"/>
        </w:rPr>
        <w:t xml:space="preserve"> %</w:t>
      </w:r>
      <w:proofErr w:type="gramEnd"/>
      <w:r>
        <w:rPr>
          <w:rFonts w:eastAsiaTheme="minorEastAsia"/>
        </w:rPr>
        <w:t xml:space="preserve">. La formula presenta il vantaggio di svincolare le variazioni fra lavoratori avviati e cessati dalla numerosità dei casi, permettendo la comparazione fra insiemi differenti. L’indicatore che varia da -100% (solo cessazioni nel periodo considerato) a +100% (solo assunzioni nel periodo d’osservazione) può essere interpretato come una misura della resilienza di un determinato mercato del lavoro. Cioè </w:t>
      </w:r>
      <w:r>
        <w:t xml:space="preserve">la capacità di un determinato </w:t>
      </w:r>
      <w:proofErr w:type="spellStart"/>
      <w:r>
        <w:t>MdL</w:t>
      </w:r>
      <w:proofErr w:type="spellEnd"/>
      <w:r>
        <w:t xml:space="preserve"> di assorbire le perturbazioni, riorganizzarsi, e continuare a funzionare senza perdita di posti di lavoro.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53588"/>
    <w:multiLevelType w:val="hybridMultilevel"/>
    <w:tmpl w:val="E320C50A"/>
    <w:lvl w:ilvl="0" w:tplc="4C7C99DE">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0138AB"/>
    <w:multiLevelType w:val="hybridMultilevel"/>
    <w:tmpl w:val="93245082"/>
    <w:lvl w:ilvl="0" w:tplc="4C7C99DE">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3F73056"/>
    <w:multiLevelType w:val="hybridMultilevel"/>
    <w:tmpl w:val="21704F0A"/>
    <w:lvl w:ilvl="0" w:tplc="00065592">
      <w:start w:val="1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28142BE"/>
    <w:multiLevelType w:val="hybridMultilevel"/>
    <w:tmpl w:val="6AD04888"/>
    <w:lvl w:ilvl="0" w:tplc="2E5E350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36E2CE8"/>
    <w:multiLevelType w:val="hybridMultilevel"/>
    <w:tmpl w:val="CA6E69B0"/>
    <w:lvl w:ilvl="0" w:tplc="E1EEFAD0">
      <w:start w:val="2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2550508"/>
    <w:multiLevelType w:val="hybridMultilevel"/>
    <w:tmpl w:val="7A7EBE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3"/>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4DE"/>
    <w:rsid w:val="00014E77"/>
    <w:rsid w:val="00132072"/>
    <w:rsid w:val="00242B71"/>
    <w:rsid w:val="0029619D"/>
    <w:rsid w:val="002B14DE"/>
    <w:rsid w:val="002F3F0C"/>
    <w:rsid w:val="004963A6"/>
    <w:rsid w:val="00832031"/>
    <w:rsid w:val="009228CF"/>
    <w:rsid w:val="009301B6"/>
    <w:rsid w:val="00946AD8"/>
    <w:rsid w:val="009E1842"/>
    <w:rsid w:val="009E35BE"/>
    <w:rsid w:val="00B877C0"/>
    <w:rsid w:val="00BF48AB"/>
    <w:rsid w:val="00C81BFD"/>
    <w:rsid w:val="00CD214C"/>
    <w:rsid w:val="00E111DE"/>
    <w:rsid w:val="00E31425"/>
    <w:rsid w:val="00FF3E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2278DBA2-9C0E-4A5D-BB06-071F5DF5E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42B71"/>
  </w:style>
  <w:style w:type="paragraph" w:styleId="Titolo1">
    <w:name w:val="heading 1"/>
    <w:basedOn w:val="Normale"/>
    <w:next w:val="Normale"/>
    <w:link w:val="Titolo1Carattere"/>
    <w:uiPriority w:val="9"/>
    <w:qFormat/>
    <w:rsid w:val="002B14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2B14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14DE"/>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2B14DE"/>
    <w:rPr>
      <w:rFonts w:asciiTheme="majorHAnsi" w:eastAsiaTheme="majorEastAsia" w:hAnsiTheme="majorHAnsi" w:cstheme="majorBidi"/>
      <w:color w:val="2E74B5" w:themeColor="accent1" w:themeShade="BF"/>
      <w:sz w:val="26"/>
      <w:szCs w:val="26"/>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nhideWhenUsed/>
    <w:rsid w:val="002B14DE"/>
    <w:pPr>
      <w:spacing w:after="0" w:line="240" w:lineRule="auto"/>
    </w:pPr>
    <w:rPr>
      <w:sz w:val="20"/>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rsid w:val="002B14DE"/>
    <w:rPr>
      <w:sz w:val="20"/>
      <w:szCs w:val="20"/>
    </w:rPr>
  </w:style>
  <w:style w:type="character" w:styleId="Rimandonotaapidipagina">
    <w:name w:val="footnote reference"/>
    <w:basedOn w:val="Carpredefinitoparagrafo"/>
    <w:semiHidden/>
    <w:unhideWhenUsed/>
    <w:rsid w:val="002B14DE"/>
    <w:rPr>
      <w:vertAlign w:val="superscript"/>
    </w:rPr>
  </w:style>
  <w:style w:type="character" w:styleId="Collegamentoipertestuale">
    <w:name w:val="Hyperlink"/>
    <w:basedOn w:val="Carpredefinitoparagrafo"/>
    <w:uiPriority w:val="99"/>
    <w:unhideWhenUsed/>
    <w:rsid w:val="002B14DE"/>
    <w:rPr>
      <w:color w:val="0563C1" w:themeColor="hyperlink"/>
      <w:u w:val="single"/>
    </w:rPr>
  </w:style>
  <w:style w:type="character" w:customStyle="1" w:styleId="TestofumettoCarattere">
    <w:name w:val="Testo fumetto Carattere"/>
    <w:basedOn w:val="Carpredefinitoparagrafo"/>
    <w:link w:val="Testofumetto"/>
    <w:uiPriority w:val="99"/>
    <w:semiHidden/>
    <w:rsid w:val="002B14DE"/>
    <w:rPr>
      <w:rFonts w:ascii="Segoe UI" w:hAnsi="Segoe UI" w:cs="Segoe UI"/>
      <w:sz w:val="18"/>
      <w:szCs w:val="18"/>
    </w:rPr>
  </w:style>
  <w:style w:type="paragraph" w:styleId="Testofumetto">
    <w:name w:val="Balloon Text"/>
    <w:basedOn w:val="Normale"/>
    <w:link w:val="TestofumettoCarattere"/>
    <w:uiPriority w:val="99"/>
    <w:semiHidden/>
    <w:unhideWhenUsed/>
    <w:rsid w:val="002B14DE"/>
    <w:pPr>
      <w:spacing w:after="0" w:line="240" w:lineRule="auto"/>
    </w:pPr>
    <w:rPr>
      <w:rFonts w:ascii="Segoe UI" w:hAnsi="Segoe UI" w:cs="Segoe UI"/>
      <w:sz w:val="18"/>
      <w:szCs w:val="18"/>
    </w:rPr>
  </w:style>
  <w:style w:type="paragraph" w:styleId="Paragrafoelenco">
    <w:name w:val="List Paragraph"/>
    <w:basedOn w:val="Normale"/>
    <w:uiPriority w:val="34"/>
    <w:qFormat/>
    <w:rsid w:val="002B14DE"/>
    <w:pPr>
      <w:ind w:left="720"/>
      <w:contextualSpacing/>
    </w:pPr>
  </w:style>
  <w:style w:type="character" w:styleId="Testosegnaposto">
    <w:name w:val="Placeholder Text"/>
    <w:basedOn w:val="Carpredefinitoparagrafo"/>
    <w:uiPriority w:val="99"/>
    <w:semiHidden/>
    <w:rsid w:val="009E35BE"/>
    <w:rPr>
      <w:color w:val="808080"/>
    </w:rPr>
  </w:style>
  <w:style w:type="paragraph" w:styleId="Intestazione">
    <w:name w:val="header"/>
    <w:basedOn w:val="Normale"/>
    <w:link w:val="IntestazioneCarattere"/>
    <w:uiPriority w:val="99"/>
    <w:unhideWhenUsed/>
    <w:rsid w:val="009E35B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E35BE"/>
  </w:style>
  <w:style w:type="paragraph" w:styleId="Pidipagina">
    <w:name w:val="footer"/>
    <w:basedOn w:val="Normale"/>
    <w:link w:val="PidipaginaCarattere"/>
    <w:uiPriority w:val="99"/>
    <w:unhideWhenUsed/>
    <w:rsid w:val="009E35B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E35BE"/>
  </w:style>
  <w:style w:type="paragraph" w:styleId="Titolo">
    <w:name w:val="Title"/>
    <w:basedOn w:val="Normale"/>
    <w:next w:val="Normale"/>
    <w:link w:val="TitoloCarattere"/>
    <w:uiPriority w:val="10"/>
    <w:qFormat/>
    <w:rsid w:val="009E35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9E35B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056718">
      <w:bodyDiv w:val="1"/>
      <w:marLeft w:val="0"/>
      <w:marRight w:val="0"/>
      <w:marTop w:val="0"/>
      <w:marBottom w:val="0"/>
      <w:divBdr>
        <w:top w:val="none" w:sz="0" w:space="0" w:color="auto"/>
        <w:left w:val="none" w:sz="0" w:space="0" w:color="auto"/>
        <w:bottom w:val="none" w:sz="0" w:space="0" w:color="auto"/>
        <w:right w:val="none" w:sz="0" w:space="0" w:color="auto"/>
      </w:divBdr>
    </w:div>
    <w:div w:id="839125933">
      <w:bodyDiv w:val="1"/>
      <w:marLeft w:val="0"/>
      <w:marRight w:val="0"/>
      <w:marTop w:val="0"/>
      <w:marBottom w:val="0"/>
      <w:divBdr>
        <w:top w:val="none" w:sz="0" w:space="0" w:color="auto"/>
        <w:left w:val="none" w:sz="0" w:space="0" w:color="auto"/>
        <w:bottom w:val="none" w:sz="0" w:space="0" w:color="auto"/>
        <w:right w:val="none" w:sz="0" w:space="0" w:color="auto"/>
      </w:divBdr>
    </w:div>
    <w:div w:id="874926343">
      <w:bodyDiv w:val="1"/>
      <w:marLeft w:val="0"/>
      <w:marRight w:val="0"/>
      <w:marTop w:val="0"/>
      <w:marBottom w:val="0"/>
      <w:divBdr>
        <w:top w:val="none" w:sz="0" w:space="0" w:color="auto"/>
        <w:left w:val="none" w:sz="0" w:space="0" w:color="auto"/>
        <w:bottom w:val="none" w:sz="0" w:space="0" w:color="auto"/>
        <w:right w:val="none" w:sz="0" w:space="0" w:color="auto"/>
      </w:divBdr>
    </w:div>
    <w:div w:id="169256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chart" Target="charts/chart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chart" Target="charts/chart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image" Target="media/image6.emf"/><Relationship Id="rId10" Type="http://schemas.openxmlformats.org/officeDocument/2006/relationships/chart" Target="charts/chart1.xml"/><Relationship Id="rId19"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hart" Target="charts/chart3.xml"/><Relationship Id="rId22" Type="http://schemas.openxmlformats.org/officeDocument/2006/relationships/chart" Target="charts/chart8.xml"/></Relationships>
</file>

<file path=word/_rels/footnotes.xml.rels><?xml version="1.0" encoding="UTF-8" standalone="yes"?>
<Relationships xmlns="http://schemas.openxmlformats.org/package/2006/relationships"><Relationship Id="rId8" Type="http://schemas.openxmlformats.org/officeDocument/2006/relationships/hyperlink" Target="http://it.wikipedia.org/wiki/Ministero_del_lavoro" TargetMode="External"/><Relationship Id="rId3" Type="http://schemas.openxmlformats.org/officeDocument/2006/relationships/hyperlink" Target="http://it.wikipedia.org/wiki/Centro_per_l%27impiego" TargetMode="External"/><Relationship Id="rId7" Type="http://schemas.openxmlformats.org/officeDocument/2006/relationships/hyperlink" Target="http://it.wikipedia.org/wiki/Infortunio" TargetMode="External"/><Relationship Id="rId2" Type="http://schemas.openxmlformats.org/officeDocument/2006/relationships/hyperlink" Target="http://it.wikipedia.org/wiki/Legge_finanziaria_(Italia)" TargetMode="External"/><Relationship Id="rId1" Type="http://schemas.openxmlformats.org/officeDocument/2006/relationships/hyperlink" Target="http://www.osservatoriodistretti.org/sites/default/files/rapporto-2014-distretto-orafo-di-arezzo.pdf" TargetMode="External"/><Relationship Id="rId6" Type="http://schemas.openxmlformats.org/officeDocument/2006/relationships/hyperlink" Target="http://it.wikipedia.org/wiki/INAIL" TargetMode="External"/><Relationship Id="rId11" Type="http://schemas.openxmlformats.org/officeDocument/2006/relationships/hyperlink" Target="http://www.sinistrainrete.info/lavoro-e-sindacato/3374-enzo-rullani-lavoro-cognitivo.html" TargetMode="External"/><Relationship Id="rId5" Type="http://schemas.openxmlformats.org/officeDocument/2006/relationships/hyperlink" Target="http://it.wikipedia.org/wiki/INPS" TargetMode="External"/><Relationship Id="rId10" Type="http://schemas.openxmlformats.org/officeDocument/2006/relationships/hyperlink" Target="http://it.wikipedia.org/wiki/Ispettore_del_lavoro" TargetMode="External"/><Relationship Id="rId4" Type="http://schemas.openxmlformats.org/officeDocument/2006/relationships/hyperlink" Target="http://it.wikipedia.org/wiki/Mercato_del_lavoro" TargetMode="External"/><Relationship Id="rId9" Type="http://schemas.openxmlformats.org/officeDocument/2006/relationships/hyperlink" Target="http://it.wikipedia.org/wiki/Direzione_Territoriale_del_Lavoro"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192.168.1.100\Franco\Documenti\arezzo%20oro\Copia%20di%20oro1.XLS"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Foglio_di_lavoro_di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Franco\Documents\arezzo%20oro\databaseoro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Franco\Documents\arezzo%20oro\databaseoro.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enric\Desktop\Arezzo%20Prov\Tabelle.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enric\Desktop\Arezzo%20Prov\Tabelle.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Cartel1"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enric\Documents\IRES\Orafo-Arezzo\Elaborazione%20dati.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t-IT"/>
        </a:p>
      </c:txPr>
    </c:title>
    <c:autoTitleDeleted val="0"/>
    <c:plotArea>
      <c:layout/>
      <c:lineChart>
        <c:grouping val="standard"/>
        <c:varyColors val="0"/>
        <c:ser>
          <c:idx val="0"/>
          <c:order val="0"/>
          <c:tx>
            <c:strRef>
              <c:f>OTE!$Q$41</c:f>
              <c:strCache>
                <c:ptCount val="1"/>
                <c:pt idx="0">
                  <c:v>fatturato</c:v>
                </c:pt>
              </c:strCache>
            </c:strRef>
          </c:tx>
          <c:spPr>
            <a:ln w="28575" cap="rnd">
              <a:solidFill>
                <a:schemeClr val="accent1"/>
              </a:solidFill>
              <a:round/>
            </a:ln>
            <a:effectLst/>
          </c:spPr>
          <c:marker>
            <c:symbol val="none"/>
          </c:marker>
          <c:cat>
            <c:numRef>
              <c:f>OTE!$R$40:$V$40</c:f>
              <c:numCache>
                <c:formatCode>General_)</c:formatCode>
                <c:ptCount val="5"/>
                <c:pt idx="0">
                  <c:v>2012</c:v>
                </c:pt>
                <c:pt idx="1">
                  <c:v>2013</c:v>
                </c:pt>
                <c:pt idx="2">
                  <c:v>2014</c:v>
                </c:pt>
                <c:pt idx="3">
                  <c:v>2015</c:v>
                </c:pt>
                <c:pt idx="4">
                  <c:v>2016</c:v>
                </c:pt>
              </c:numCache>
            </c:numRef>
          </c:cat>
          <c:val>
            <c:numRef>
              <c:f>OTE!$R$41:$V$41</c:f>
              <c:numCache>
                <c:formatCode>0%</c:formatCode>
                <c:ptCount val="5"/>
                <c:pt idx="0">
                  <c:v>1</c:v>
                </c:pt>
                <c:pt idx="1">
                  <c:v>1.2663226724606862</c:v>
                </c:pt>
                <c:pt idx="2">
                  <c:v>1.1889219195534793</c:v>
                </c:pt>
                <c:pt idx="3">
                  <c:v>1.2043779045076743</c:v>
                </c:pt>
                <c:pt idx="4">
                  <c:v>1.2778449566826424</c:v>
                </c:pt>
              </c:numCache>
            </c:numRef>
          </c:val>
          <c:smooth val="0"/>
        </c:ser>
        <c:dLbls>
          <c:showLegendKey val="0"/>
          <c:showVal val="0"/>
          <c:showCatName val="0"/>
          <c:showSerName val="0"/>
          <c:showPercent val="0"/>
          <c:showBubbleSize val="0"/>
        </c:dLbls>
        <c:smooth val="0"/>
        <c:axId val="412563424"/>
        <c:axId val="412563816"/>
      </c:lineChart>
      <c:catAx>
        <c:axId val="412563424"/>
        <c:scaling>
          <c:orientation val="minMax"/>
        </c:scaling>
        <c:delete val="0"/>
        <c:axPos val="b"/>
        <c:numFmt formatCode="General_)"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412563816"/>
        <c:crosses val="autoZero"/>
        <c:auto val="1"/>
        <c:lblAlgn val="ctr"/>
        <c:lblOffset val="100"/>
        <c:noMultiLvlLbl val="0"/>
      </c:catAx>
      <c:valAx>
        <c:axId val="4125638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4125634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Valore aggiunto, profitti e</a:t>
            </a:r>
            <a:r>
              <a:rPr lang="en-US" baseline="0"/>
              <a:t> </a:t>
            </a:r>
            <a:r>
              <a:rPr lang="en-US"/>
              <a:t>accumulazione interna</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t-IT"/>
        </a:p>
      </c:txPr>
    </c:title>
    <c:autoTitleDeleted val="0"/>
    <c:plotArea>
      <c:layout/>
      <c:lineChart>
        <c:grouping val="standard"/>
        <c:varyColors val="0"/>
        <c:ser>
          <c:idx val="0"/>
          <c:order val="0"/>
          <c:tx>
            <c:strRef>
              <c:f>OTE!$L$134:$M$134</c:f>
              <c:strCache>
                <c:ptCount val="2"/>
                <c:pt idx="0">
                  <c:v>val.agg./produzione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OTE!$N$133:$R$133</c:f>
              <c:numCache>
                <c:formatCode>General_)</c:formatCode>
                <c:ptCount val="5"/>
                <c:pt idx="0">
                  <c:v>2012</c:v>
                </c:pt>
                <c:pt idx="1">
                  <c:v>2013</c:v>
                </c:pt>
                <c:pt idx="2">
                  <c:v>2014</c:v>
                </c:pt>
                <c:pt idx="3">
                  <c:v>2015</c:v>
                </c:pt>
                <c:pt idx="4">
                  <c:v>2016</c:v>
                </c:pt>
              </c:numCache>
            </c:numRef>
          </c:cat>
          <c:val>
            <c:numRef>
              <c:f>OTE!$N$134:$R$134</c:f>
              <c:numCache>
                <c:formatCode>0.0%</c:formatCode>
                <c:ptCount val="5"/>
                <c:pt idx="0">
                  <c:v>0.13658458622314926</c:v>
                </c:pt>
                <c:pt idx="1">
                  <c:v>0.12761613395633128</c:v>
                </c:pt>
                <c:pt idx="2">
                  <c:v>0.13833140417958689</c:v>
                </c:pt>
                <c:pt idx="3">
                  <c:v>0.13079050875943929</c:v>
                </c:pt>
                <c:pt idx="4">
                  <c:v>0.11201133606055419</c:v>
                </c:pt>
              </c:numCache>
            </c:numRef>
          </c:val>
          <c:smooth val="0"/>
        </c:ser>
        <c:ser>
          <c:idx val="1"/>
          <c:order val="1"/>
          <c:tx>
            <c:strRef>
              <c:f>OTE!$L$135:$M$135</c:f>
              <c:strCache>
                <c:ptCount val="2"/>
                <c:pt idx="0">
                  <c:v>accumulazione int./val agg.</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OTE!$N$133:$R$133</c:f>
              <c:numCache>
                <c:formatCode>General_)</c:formatCode>
                <c:ptCount val="5"/>
                <c:pt idx="0">
                  <c:v>2012</c:v>
                </c:pt>
                <c:pt idx="1">
                  <c:v>2013</c:v>
                </c:pt>
                <c:pt idx="2">
                  <c:v>2014</c:v>
                </c:pt>
                <c:pt idx="3">
                  <c:v>2015</c:v>
                </c:pt>
                <c:pt idx="4">
                  <c:v>2016</c:v>
                </c:pt>
              </c:numCache>
            </c:numRef>
          </c:cat>
          <c:val>
            <c:numRef>
              <c:f>OTE!$N$135:$R$135</c:f>
              <c:numCache>
                <c:formatCode>0.0%</c:formatCode>
                <c:ptCount val="5"/>
                <c:pt idx="0">
                  <c:v>0.17380042645143748</c:v>
                </c:pt>
                <c:pt idx="1">
                  <c:v>0.23878022395696283</c:v>
                </c:pt>
                <c:pt idx="2">
                  <c:v>0.24088389208822195</c:v>
                </c:pt>
                <c:pt idx="3">
                  <c:v>0.21988688727846548</c:v>
                </c:pt>
                <c:pt idx="4">
                  <c:v>0.2051094989124414</c:v>
                </c:pt>
              </c:numCache>
            </c:numRef>
          </c:val>
          <c:smooth val="0"/>
        </c:ser>
        <c:ser>
          <c:idx val="2"/>
          <c:order val="2"/>
          <c:tx>
            <c:strRef>
              <c:f>OTE!$L$136:$M$136</c:f>
              <c:strCache>
                <c:ptCount val="2"/>
                <c:pt idx="0">
                  <c:v>profitti netti</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OTE!$N$133:$R$133</c:f>
              <c:numCache>
                <c:formatCode>General_)</c:formatCode>
                <c:ptCount val="5"/>
                <c:pt idx="0">
                  <c:v>2012</c:v>
                </c:pt>
                <c:pt idx="1">
                  <c:v>2013</c:v>
                </c:pt>
                <c:pt idx="2">
                  <c:v>2014</c:v>
                </c:pt>
                <c:pt idx="3">
                  <c:v>2015</c:v>
                </c:pt>
                <c:pt idx="4">
                  <c:v>2016</c:v>
                </c:pt>
              </c:numCache>
            </c:numRef>
          </c:cat>
          <c:val>
            <c:numRef>
              <c:f>OTE!$N$136:$R$136</c:f>
              <c:numCache>
                <c:formatCode>0.0%</c:formatCode>
                <c:ptCount val="5"/>
                <c:pt idx="0">
                  <c:v>6.523419052934358E-2</c:v>
                </c:pt>
                <c:pt idx="1">
                  <c:v>0.14683507294681752</c:v>
                </c:pt>
                <c:pt idx="2">
                  <c:v>0.13653253363282278</c:v>
                </c:pt>
                <c:pt idx="3">
                  <c:v>0.12020049992375169</c:v>
                </c:pt>
                <c:pt idx="4">
                  <c:v>0.10027155189883678</c:v>
                </c:pt>
              </c:numCache>
            </c:numRef>
          </c:val>
          <c:smooth val="0"/>
        </c:ser>
        <c:dLbls>
          <c:showLegendKey val="0"/>
          <c:showVal val="0"/>
          <c:showCatName val="0"/>
          <c:showSerName val="0"/>
          <c:showPercent val="0"/>
          <c:showBubbleSize val="0"/>
        </c:dLbls>
        <c:marker val="1"/>
        <c:smooth val="0"/>
        <c:axId val="412564992"/>
        <c:axId val="414030248"/>
      </c:lineChart>
      <c:catAx>
        <c:axId val="412564992"/>
        <c:scaling>
          <c:orientation val="minMax"/>
        </c:scaling>
        <c:delete val="0"/>
        <c:axPos val="b"/>
        <c:numFmt formatCode="General_)"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414030248"/>
        <c:crosses val="autoZero"/>
        <c:auto val="1"/>
        <c:lblAlgn val="ctr"/>
        <c:lblOffset val="100"/>
        <c:noMultiLvlLbl val="0"/>
      </c:catAx>
      <c:valAx>
        <c:axId val="41403024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41256499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Età media dei dipendenti per Stato di nascita</a:t>
            </a:r>
          </a:p>
          <a:p>
            <a:pPr>
              <a:defRPr/>
            </a:pPr>
            <a:r>
              <a:rPr lang="en-US" sz="1000"/>
              <a:t>(medie mobili)</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t-IT"/>
        </a:p>
      </c:txPr>
    </c:title>
    <c:autoTitleDeleted val="0"/>
    <c:plotArea>
      <c:layout/>
      <c:lineChart>
        <c:grouping val="standard"/>
        <c:varyColors val="0"/>
        <c:ser>
          <c:idx val="0"/>
          <c:order val="0"/>
          <c:tx>
            <c:strRef>
              <c:f>Foglio7!$R$5</c:f>
              <c:strCache>
                <c:ptCount val="1"/>
                <c:pt idx="0">
                  <c:v>Estero</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Foglio7!$Q$6:$Q$59</c:f>
              <c:numCache>
                <c:formatCode>General</c:formatCode>
                <c:ptCount val="54"/>
                <c:pt idx="0">
                  <c:v>19</c:v>
                </c:pt>
                <c:pt idx="1">
                  <c:v>20</c:v>
                </c:pt>
                <c:pt idx="2">
                  <c:v>21</c:v>
                </c:pt>
                <c:pt idx="3">
                  <c:v>22</c:v>
                </c:pt>
                <c:pt idx="4">
                  <c:v>23</c:v>
                </c:pt>
                <c:pt idx="5">
                  <c:v>24</c:v>
                </c:pt>
                <c:pt idx="6">
                  <c:v>25</c:v>
                </c:pt>
                <c:pt idx="7">
                  <c:v>26</c:v>
                </c:pt>
                <c:pt idx="8">
                  <c:v>27</c:v>
                </c:pt>
                <c:pt idx="9">
                  <c:v>28</c:v>
                </c:pt>
                <c:pt idx="10">
                  <c:v>29</c:v>
                </c:pt>
                <c:pt idx="11">
                  <c:v>30</c:v>
                </c:pt>
                <c:pt idx="12">
                  <c:v>31</c:v>
                </c:pt>
                <c:pt idx="13">
                  <c:v>32</c:v>
                </c:pt>
                <c:pt idx="14">
                  <c:v>33</c:v>
                </c:pt>
                <c:pt idx="15">
                  <c:v>34</c:v>
                </c:pt>
                <c:pt idx="16">
                  <c:v>35</c:v>
                </c:pt>
                <c:pt idx="17">
                  <c:v>36</c:v>
                </c:pt>
                <c:pt idx="18">
                  <c:v>37</c:v>
                </c:pt>
                <c:pt idx="19">
                  <c:v>38</c:v>
                </c:pt>
                <c:pt idx="20">
                  <c:v>39</c:v>
                </c:pt>
                <c:pt idx="21">
                  <c:v>40</c:v>
                </c:pt>
                <c:pt idx="22">
                  <c:v>41</c:v>
                </c:pt>
                <c:pt idx="23">
                  <c:v>42</c:v>
                </c:pt>
                <c:pt idx="24">
                  <c:v>43</c:v>
                </c:pt>
                <c:pt idx="25">
                  <c:v>44</c:v>
                </c:pt>
                <c:pt idx="26">
                  <c:v>45</c:v>
                </c:pt>
                <c:pt idx="27">
                  <c:v>46</c:v>
                </c:pt>
                <c:pt idx="28">
                  <c:v>47</c:v>
                </c:pt>
                <c:pt idx="29">
                  <c:v>48</c:v>
                </c:pt>
                <c:pt idx="30">
                  <c:v>49</c:v>
                </c:pt>
                <c:pt idx="31">
                  <c:v>50</c:v>
                </c:pt>
                <c:pt idx="32">
                  <c:v>51</c:v>
                </c:pt>
                <c:pt idx="33">
                  <c:v>52</c:v>
                </c:pt>
                <c:pt idx="34">
                  <c:v>53</c:v>
                </c:pt>
                <c:pt idx="35">
                  <c:v>54</c:v>
                </c:pt>
                <c:pt idx="36">
                  <c:v>55</c:v>
                </c:pt>
                <c:pt idx="37">
                  <c:v>56</c:v>
                </c:pt>
                <c:pt idx="38">
                  <c:v>57</c:v>
                </c:pt>
                <c:pt idx="39">
                  <c:v>58</c:v>
                </c:pt>
                <c:pt idx="40">
                  <c:v>59</c:v>
                </c:pt>
                <c:pt idx="41">
                  <c:v>60</c:v>
                </c:pt>
                <c:pt idx="42">
                  <c:v>61</c:v>
                </c:pt>
                <c:pt idx="43">
                  <c:v>62</c:v>
                </c:pt>
                <c:pt idx="44">
                  <c:v>63</c:v>
                </c:pt>
                <c:pt idx="45">
                  <c:v>64</c:v>
                </c:pt>
                <c:pt idx="46">
                  <c:v>65</c:v>
                </c:pt>
                <c:pt idx="47">
                  <c:v>66</c:v>
                </c:pt>
                <c:pt idx="48">
                  <c:v>67</c:v>
                </c:pt>
                <c:pt idx="49">
                  <c:v>68</c:v>
                </c:pt>
                <c:pt idx="50">
                  <c:v>69</c:v>
                </c:pt>
                <c:pt idx="51">
                  <c:v>70</c:v>
                </c:pt>
                <c:pt idx="52">
                  <c:v>71</c:v>
                </c:pt>
                <c:pt idx="53">
                  <c:v>72</c:v>
                </c:pt>
              </c:numCache>
            </c:numRef>
          </c:cat>
          <c:val>
            <c:numRef>
              <c:f>Foglio7!$R$6:$R$59</c:f>
              <c:numCache>
                <c:formatCode>0%</c:formatCode>
                <c:ptCount val="54"/>
                <c:pt idx="0">
                  <c:v>6.9860279441117763E-3</c:v>
                </c:pt>
                <c:pt idx="1">
                  <c:v>1.7964071856287425E-2</c:v>
                </c:pt>
                <c:pt idx="2">
                  <c:v>2.1956087824351295E-2</c:v>
                </c:pt>
                <c:pt idx="3">
                  <c:v>2.7944111776447105E-2</c:v>
                </c:pt>
                <c:pt idx="4">
                  <c:v>2.9940119760479042E-2</c:v>
                </c:pt>
                <c:pt idx="5">
                  <c:v>3.4930139720558882E-2</c:v>
                </c:pt>
                <c:pt idx="6">
                  <c:v>3.8922155688622756E-2</c:v>
                </c:pt>
                <c:pt idx="7">
                  <c:v>4.1916167664670656E-2</c:v>
                </c:pt>
                <c:pt idx="8">
                  <c:v>4.3912175648702589E-2</c:v>
                </c:pt>
                <c:pt idx="9">
                  <c:v>4.291417165668663E-2</c:v>
                </c:pt>
                <c:pt idx="10">
                  <c:v>4.1916167664670656E-2</c:v>
                </c:pt>
                <c:pt idx="11">
                  <c:v>4.3912175648702589E-2</c:v>
                </c:pt>
                <c:pt idx="12">
                  <c:v>4.890219560878243E-2</c:v>
                </c:pt>
                <c:pt idx="13">
                  <c:v>4.6906187624750496E-2</c:v>
                </c:pt>
                <c:pt idx="14">
                  <c:v>4.8902195608782444E-2</c:v>
                </c:pt>
                <c:pt idx="15">
                  <c:v>3.9920159680638723E-2</c:v>
                </c:pt>
                <c:pt idx="16">
                  <c:v>4.1916167664670656E-2</c:v>
                </c:pt>
                <c:pt idx="17">
                  <c:v>4.3912175648702589E-2</c:v>
                </c:pt>
                <c:pt idx="18">
                  <c:v>5.1896207584830344E-2</c:v>
                </c:pt>
                <c:pt idx="19">
                  <c:v>4.2914171656686623E-2</c:v>
                </c:pt>
                <c:pt idx="20">
                  <c:v>2.9940119760479042E-2</c:v>
                </c:pt>
                <c:pt idx="21">
                  <c:v>2.4950099800399205E-2</c:v>
                </c:pt>
                <c:pt idx="22">
                  <c:v>2.5948103792415172E-2</c:v>
                </c:pt>
                <c:pt idx="23">
                  <c:v>2.5948103792415172E-2</c:v>
                </c:pt>
                <c:pt idx="24">
                  <c:v>2.6946107784431138E-2</c:v>
                </c:pt>
                <c:pt idx="25">
                  <c:v>2.0958083832335328E-2</c:v>
                </c:pt>
                <c:pt idx="26">
                  <c:v>1.4970059880239523E-2</c:v>
                </c:pt>
                <c:pt idx="27">
                  <c:v>5.9880239520958096E-3</c:v>
                </c:pt>
                <c:pt idx="28">
                  <c:v>8.9820359281437123E-3</c:v>
                </c:pt>
                <c:pt idx="29">
                  <c:v>8.9820359281437123E-3</c:v>
                </c:pt>
                <c:pt idx="30">
                  <c:v>8.9820359281437123E-3</c:v>
                </c:pt>
                <c:pt idx="31">
                  <c:v>4.9900199600798412E-3</c:v>
                </c:pt>
                <c:pt idx="32">
                  <c:v>5.9880239520958096E-3</c:v>
                </c:pt>
                <c:pt idx="33">
                  <c:v>3.9920159680638728E-3</c:v>
                </c:pt>
                <c:pt idx="34">
                  <c:v>1.9960079840319364E-3</c:v>
                </c:pt>
                <c:pt idx="35">
                  <c:v>9.980039920159682E-4</c:v>
                </c:pt>
                <c:pt idx="36">
                  <c:v>9.980039920159682E-4</c:v>
                </c:pt>
                <c:pt idx="37">
                  <c:v>2.9940119760479048E-3</c:v>
                </c:pt>
                <c:pt idx="38">
                  <c:v>2.9940119760479048E-3</c:v>
                </c:pt>
                <c:pt idx="39">
                  <c:v>2.9940119760479048E-3</c:v>
                </c:pt>
                <c:pt idx="40">
                  <c:v>9.980039920159682E-4</c:v>
                </c:pt>
                <c:pt idx="41">
                  <c:v>0</c:v>
                </c:pt>
                <c:pt idx="42">
                  <c:v>0</c:v>
                </c:pt>
                <c:pt idx="43">
                  <c:v>0</c:v>
                </c:pt>
                <c:pt idx="44">
                  <c:v>0</c:v>
                </c:pt>
                <c:pt idx="45">
                  <c:v>9.980039920159682E-4</c:v>
                </c:pt>
                <c:pt idx="46">
                  <c:v>9.980039920159682E-4</c:v>
                </c:pt>
                <c:pt idx="47">
                  <c:v>9.980039920159682E-4</c:v>
                </c:pt>
                <c:pt idx="48">
                  <c:v>0</c:v>
                </c:pt>
                <c:pt idx="49">
                  <c:v>0</c:v>
                </c:pt>
                <c:pt idx="50">
                  <c:v>0</c:v>
                </c:pt>
                <c:pt idx="51">
                  <c:v>0</c:v>
                </c:pt>
                <c:pt idx="52">
                  <c:v>0</c:v>
                </c:pt>
                <c:pt idx="53">
                  <c:v>0</c:v>
                </c:pt>
              </c:numCache>
            </c:numRef>
          </c:val>
          <c:smooth val="0"/>
        </c:ser>
        <c:ser>
          <c:idx val="1"/>
          <c:order val="1"/>
          <c:tx>
            <c:strRef>
              <c:f>Foglio7!$S$5</c:f>
              <c:strCache>
                <c:ptCount val="1"/>
                <c:pt idx="0">
                  <c:v>Italia</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Foglio7!$Q$6:$Q$59</c:f>
              <c:numCache>
                <c:formatCode>General</c:formatCode>
                <c:ptCount val="54"/>
                <c:pt idx="0">
                  <c:v>19</c:v>
                </c:pt>
                <c:pt idx="1">
                  <c:v>20</c:v>
                </c:pt>
                <c:pt idx="2">
                  <c:v>21</c:v>
                </c:pt>
                <c:pt idx="3">
                  <c:v>22</c:v>
                </c:pt>
                <c:pt idx="4">
                  <c:v>23</c:v>
                </c:pt>
                <c:pt idx="5">
                  <c:v>24</c:v>
                </c:pt>
                <c:pt idx="6">
                  <c:v>25</c:v>
                </c:pt>
                <c:pt idx="7">
                  <c:v>26</c:v>
                </c:pt>
                <c:pt idx="8">
                  <c:v>27</c:v>
                </c:pt>
                <c:pt idx="9">
                  <c:v>28</c:v>
                </c:pt>
                <c:pt idx="10">
                  <c:v>29</c:v>
                </c:pt>
                <c:pt idx="11">
                  <c:v>30</c:v>
                </c:pt>
                <c:pt idx="12">
                  <c:v>31</c:v>
                </c:pt>
                <c:pt idx="13">
                  <c:v>32</c:v>
                </c:pt>
                <c:pt idx="14">
                  <c:v>33</c:v>
                </c:pt>
                <c:pt idx="15">
                  <c:v>34</c:v>
                </c:pt>
                <c:pt idx="16">
                  <c:v>35</c:v>
                </c:pt>
                <c:pt idx="17">
                  <c:v>36</c:v>
                </c:pt>
                <c:pt idx="18">
                  <c:v>37</c:v>
                </c:pt>
                <c:pt idx="19">
                  <c:v>38</c:v>
                </c:pt>
                <c:pt idx="20">
                  <c:v>39</c:v>
                </c:pt>
                <c:pt idx="21">
                  <c:v>40</c:v>
                </c:pt>
                <c:pt idx="22">
                  <c:v>41</c:v>
                </c:pt>
                <c:pt idx="23">
                  <c:v>42</c:v>
                </c:pt>
                <c:pt idx="24">
                  <c:v>43</c:v>
                </c:pt>
                <c:pt idx="25">
                  <c:v>44</c:v>
                </c:pt>
                <c:pt idx="26">
                  <c:v>45</c:v>
                </c:pt>
                <c:pt idx="27">
                  <c:v>46</c:v>
                </c:pt>
                <c:pt idx="28">
                  <c:v>47</c:v>
                </c:pt>
                <c:pt idx="29">
                  <c:v>48</c:v>
                </c:pt>
                <c:pt idx="30">
                  <c:v>49</c:v>
                </c:pt>
                <c:pt idx="31">
                  <c:v>50</c:v>
                </c:pt>
                <c:pt idx="32">
                  <c:v>51</c:v>
                </c:pt>
                <c:pt idx="33">
                  <c:v>52</c:v>
                </c:pt>
                <c:pt idx="34">
                  <c:v>53</c:v>
                </c:pt>
                <c:pt idx="35">
                  <c:v>54</c:v>
                </c:pt>
                <c:pt idx="36">
                  <c:v>55</c:v>
                </c:pt>
                <c:pt idx="37">
                  <c:v>56</c:v>
                </c:pt>
                <c:pt idx="38">
                  <c:v>57</c:v>
                </c:pt>
                <c:pt idx="39">
                  <c:v>58</c:v>
                </c:pt>
                <c:pt idx="40">
                  <c:v>59</c:v>
                </c:pt>
                <c:pt idx="41">
                  <c:v>60</c:v>
                </c:pt>
                <c:pt idx="42">
                  <c:v>61</c:v>
                </c:pt>
                <c:pt idx="43">
                  <c:v>62</c:v>
                </c:pt>
                <c:pt idx="44">
                  <c:v>63</c:v>
                </c:pt>
                <c:pt idx="45">
                  <c:v>64</c:v>
                </c:pt>
                <c:pt idx="46">
                  <c:v>65</c:v>
                </c:pt>
                <c:pt idx="47">
                  <c:v>66</c:v>
                </c:pt>
                <c:pt idx="48">
                  <c:v>67</c:v>
                </c:pt>
                <c:pt idx="49">
                  <c:v>68</c:v>
                </c:pt>
                <c:pt idx="50">
                  <c:v>69</c:v>
                </c:pt>
                <c:pt idx="51">
                  <c:v>70</c:v>
                </c:pt>
                <c:pt idx="52">
                  <c:v>71</c:v>
                </c:pt>
                <c:pt idx="53">
                  <c:v>72</c:v>
                </c:pt>
              </c:numCache>
            </c:numRef>
          </c:cat>
          <c:val>
            <c:numRef>
              <c:f>Foglio7!$S$6:$S$59</c:f>
              <c:numCache>
                <c:formatCode>0%</c:formatCode>
                <c:ptCount val="54"/>
                <c:pt idx="0">
                  <c:v>2.3612750885478157E-3</c:v>
                </c:pt>
                <c:pt idx="1">
                  <c:v>7.2805981896890996E-3</c:v>
                </c:pt>
                <c:pt idx="2">
                  <c:v>1.2790240062967336E-2</c:v>
                </c:pt>
                <c:pt idx="3">
                  <c:v>1.6528925619834711E-2</c:v>
                </c:pt>
                <c:pt idx="4">
                  <c:v>1.790633608815427E-2</c:v>
                </c:pt>
                <c:pt idx="5">
                  <c:v>1.8890200708382526E-2</c:v>
                </c:pt>
                <c:pt idx="6">
                  <c:v>1.928374655647383E-2</c:v>
                </c:pt>
                <c:pt idx="7">
                  <c:v>1.9874065328610784E-2</c:v>
                </c:pt>
                <c:pt idx="8">
                  <c:v>1.8299881936245575E-2</c:v>
                </c:pt>
                <c:pt idx="9">
                  <c:v>1.6135379771743407E-2</c:v>
                </c:pt>
                <c:pt idx="10">
                  <c:v>1.475796930342385E-2</c:v>
                </c:pt>
                <c:pt idx="11">
                  <c:v>1.6135379771743407E-2</c:v>
                </c:pt>
                <c:pt idx="12">
                  <c:v>1.7512790240062966E-2</c:v>
                </c:pt>
                <c:pt idx="13">
                  <c:v>1.9086973632428176E-2</c:v>
                </c:pt>
                <c:pt idx="14">
                  <c:v>2.0661157024793389E-2</c:v>
                </c:pt>
                <c:pt idx="15">
                  <c:v>2.4006296733569462E-2</c:v>
                </c:pt>
                <c:pt idx="16">
                  <c:v>2.7548209366391185E-2</c:v>
                </c:pt>
                <c:pt idx="17">
                  <c:v>3.4041715859897681E-2</c:v>
                </c:pt>
                <c:pt idx="18">
                  <c:v>3.4828807556080289E-2</c:v>
                </c:pt>
                <c:pt idx="19">
                  <c:v>3.6599763872491149E-2</c:v>
                </c:pt>
                <c:pt idx="20">
                  <c:v>3.3254624163715073E-2</c:v>
                </c:pt>
                <c:pt idx="21">
                  <c:v>3.502558048012594E-2</c:v>
                </c:pt>
                <c:pt idx="22">
                  <c:v>4.1125541125541128E-2</c:v>
                </c:pt>
                <c:pt idx="23">
                  <c:v>4.5454545454545449E-2</c:v>
                </c:pt>
                <c:pt idx="24">
                  <c:v>4.7028728846910672E-2</c:v>
                </c:pt>
                <c:pt idx="25">
                  <c:v>3.9944903581267226E-2</c:v>
                </c:pt>
                <c:pt idx="26">
                  <c:v>3.4238488783943331E-2</c:v>
                </c:pt>
                <c:pt idx="27">
                  <c:v>3.3844942935852024E-2</c:v>
                </c:pt>
                <c:pt idx="28">
                  <c:v>3.3648170011806373E-2</c:v>
                </c:pt>
                <c:pt idx="29">
                  <c:v>3.3648170011806373E-2</c:v>
                </c:pt>
                <c:pt idx="30">
                  <c:v>2.9909484454939E-2</c:v>
                </c:pt>
                <c:pt idx="31">
                  <c:v>2.813852813852814E-2</c:v>
                </c:pt>
                <c:pt idx="32">
                  <c:v>2.4793388429752067E-2</c:v>
                </c:pt>
                <c:pt idx="33">
                  <c:v>2.1448248720975994E-2</c:v>
                </c:pt>
                <c:pt idx="34">
                  <c:v>1.948051948051948E-2</c:v>
                </c:pt>
                <c:pt idx="35">
                  <c:v>1.8693427784336875E-2</c:v>
                </c:pt>
                <c:pt idx="36">
                  <c:v>1.8103109012199924E-2</c:v>
                </c:pt>
                <c:pt idx="37">
                  <c:v>1.4364423455332545E-2</c:v>
                </c:pt>
                <c:pt idx="38">
                  <c:v>1.0625737898465172E-2</c:v>
                </c:pt>
                <c:pt idx="39">
                  <c:v>7.6741440377804003E-3</c:v>
                </c:pt>
                <c:pt idx="40">
                  <c:v>5.7064147973238883E-3</c:v>
                </c:pt>
                <c:pt idx="41">
                  <c:v>4.9193231011412826E-3</c:v>
                </c:pt>
                <c:pt idx="42">
                  <c:v>3.7386855568673754E-3</c:v>
                </c:pt>
                <c:pt idx="43">
                  <c:v>3.1483667847304209E-3</c:v>
                </c:pt>
                <c:pt idx="44">
                  <c:v>2.9515938606847702E-3</c:v>
                </c:pt>
                <c:pt idx="45">
                  <c:v>2.5580480125934673E-3</c:v>
                </c:pt>
                <c:pt idx="46">
                  <c:v>2.5580480125934669E-3</c:v>
                </c:pt>
                <c:pt idx="47">
                  <c:v>2.1645021645021645E-3</c:v>
                </c:pt>
                <c:pt idx="48">
                  <c:v>1.9677292404565133E-3</c:v>
                </c:pt>
                <c:pt idx="49">
                  <c:v>1.1806375442739079E-3</c:v>
                </c:pt>
                <c:pt idx="50">
                  <c:v>7.8709169618260523E-4</c:v>
                </c:pt>
                <c:pt idx="51">
                  <c:v>7.8709169618260523E-4</c:v>
                </c:pt>
                <c:pt idx="52">
                  <c:v>7.8709169618260523E-4</c:v>
                </c:pt>
                <c:pt idx="53">
                  <c:v>7.8709169618260523E-4</c:v>
                </c:pt>
              </c:numCache>
            </c:numRef>
          </c:val>
          <c:smooth val="0"/>
        </c:ser>
        <c:dLbls>
          <c:showLegendKey val="0"/>
          <c:showVal val="0"/>
          <c:showCatName val="0"/>
          <c:showSerName val="0"/>
          <c:showPercent val="0"/>
          <c:showBubbleSize val="0"/>
        </c:dLbls>
        <c:marker val="1"/>
        <c:smooth val="0"/>
        <c:axId val="414027112"/>
        <c:axId val="414025152"/>
      </c:lineChart>
      <c:catAx>
        <c:axId val="414027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414025152"/>
        <c:crosses val="autoZero"/>
        <c:auto val="1"/>
        <c:lblAlgn val="ctr"/>
        <c:lblOffset val="100"/>
        <c:noMultiLvlLbl val="0"/>
      </c:catAx>
      <c:valAx>
        <c:axId val="4140251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41402711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Struttura per età secondo contratto</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t-IT"/>
        </a:p>
      </c:txPr>
    </c:title>
    <c:autoTitleDeleted val="0"/>
    <c:plotArea>
      <c:layout/>
      <c:lineChart>
        <c:grouping val="standard"/>
        <c:varyColors val="0"/>
        <c:ser>
          <c:idx val="0"/>
          <c:order val="0"/>
          <c:tx>
            <c:strRef>
              <c:f>contrattoetà!$AF$5</c:f>
              <c:strCache>
                <c:ptCount val="1"/>
                <c:pt idx="0">
                  <c:v>precari</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contrattoetà!$AE$6:$AE$60</c:f>
              <c:numCache>
                <c:formatCode>0</c:formatCode>
                <c:ptCount val="55"/>
                <c:pt idx="0">
                  <c:v>18</c:v>
                </c:pt>
                <c:pt idx="1">
                  <c:v>19</c:v>
                </c:pt>
                <c:pt idx="2">
                  <c:v>20</c:v>
                </c:pt>
                <c:pt idx="3">
                  <c:v>21</c:v>
                </c:pt>
                <c:pt idx="4">
                  <c:v>22</c:v>
                </c:pt>
                <c:pt idx="5">
                  <c:v>23</c:v>
                </c:pt>
                <c:pt idx="6">
                  <c:v>24</c:v>
                </c:pt>
                <c:pt idx="7">
                  <c:v>25</c:v>
                </c:pt>
                <c:pt idx="8">
                  <c:v>26</c:v>
                </c:pt>
                <c:pt idx="9">
                  <c:v>27</c:v>
                </c:pt>
                <c:pt idx="10">
                  <c:v>28</c:v>
                </c:pt>
                <c:pt idx="11">
                  <c:v>29</c:v>
                </c:pt>
                <c:pt idx="12">
                  <c:v>30</c:v>
                </c:pt>
                <c:pt idx="13">
                  <c:v>31</c:v>
                </c:pt>
                <c:pt idx="14">
                  <c:v>32</c:v>
                </c:pt>
                <c:pt idx="15">
                  <c:v>33</c:v>
                </c:pt>
                <c:pt idx="16">
                  <c:v>34</c:v>
                </c:pt>
                <c:pt idx="17">
                  <c:v>35</c:v>
                </c:pt>
                <c:pt idx="18">
                  <c:v>36</c:v>
                </c:pt>
                <c:pt idx="19">
                  <c:v>37</c:v>
                </c:pt>
                <c:pt idx="20">
                  <c:v>38</c:v>
                </c:pt>
                <c:pt idx="21">
                  <c:v>39</c:v>
                </c:pt>
                <c:pt idx="22">
                  <c:v>40</c:v>
                </c:pt>
                <c:pt idx="23">
                  <c:v>41</c:v>
                </c:pt>
                <c:pt idx="24">
                  <c:v>42</c:v>
                </c:pt>
                <c:pt idx="25">
                  <c:v>43</c:v>
                </c:pt>
                <c:pt idx="26">
                  <c:v>44</c:v>
                </c:pt>
                <c:pt idx="27">
                  <c:v>45</c:v>
                </c:pt>
                <c:pt idx="28">
                  <c:v>46</c:v>
                </c:pt>
                <c:pt idx="29">
                  <c:v>47</c:v>
                </c:pt>
                <c:pt idx="30">
                  <c:v>48</c:v>
                </c:pt>
                <c:pt idx="31">
                  <c:v>49</c:v>
                </c:pt>
                <c:pt idx="32">
                  <c:v>50</c:v>
                </c:pt>
                <c:pt idx="33">
                  <c:v>51</c:v>
                </c:pt>
                <c:pt idx="34">
                  <c:v>52</c:v>
                </c:pt>
                <c:pt idx="35">
                  <c:v>53</c:v>
                </c:pt>
                <c:pt idx="36">
                  <c:v>54</c:v>
                </c:pt>
                <c:pt idx="37">
                  <c:v>55</c:v>
                </c:pt>
                <c:pt idx="38">
                  <c:v>56</c:v>
                </c:pt>
                <c:pt idx="39">
                  <c:v>57</c:v>
                </c:pt>
                <c:pt idx="40">
                  <c:v>58</c:v>
                </c:pt>
                <c:pt idx="41">
                  <c:v>59</c:v>
                </c:pt>
                <c:pt idx="42">
                  <c:v>60</c:v>
                </c:pt>
                <c:pt idx="43">
                  <c:v>61</c:v>
                </c:pt>
                <c:pt idx="44">
                  <c:v>62</c:v>
                </c:pt>
                <c:pt idx="45">
                  <c:v>63</c:v>
                </c:pt>
                <c:pt idx="46">
                  <c:v>64</c:v>
                </c:pt>
                <c:pt idx="47">
                  <c:v>65</c:v>
                </c:pt>
                <c:pt idx="48">
                  <c:v>66</c:v>
                </c:pt>
                <c:pt idx="49">
                  <c:v>67</c:v>
                </c:pt>
                <c:pt idx="50">
                  <c:v>68</c:v>
                </c:pt>
                <c:pt idx="51">
                  <c:v>69</c:v>
                </c:pt>
                <c:pt idx="52">
                  <c:v>70</c:v>
                </c:pt>
                <c:pt idx="53">
                  <c:v>71</c:v>
                </c:pt>
                <c:pt idx="54">
                  <c:v>72</c:v>
                </c:pt>
              </c:numCache>
            </c:numRef>
          </c:cat>
          <c:val>
            <c:numRef>
              <c:f>contrattoetà!$AF$6:$AF$60</c:f>
              <c:numCache>
                <c:formatCode>0%</c:formatCode>
                <c:ptCount val="55"/>
                <c:pt idx="1">
                  <c:v>1.8922852983988353E-2</c:v>
                </c:pt>
                <c:pt idx="2">
                  <c:v>6.6957787481804962E-2</c:v>
                </c:pt>
                <c:pt idx="3">
                  <c:v>0.11062590975254731</c:v>
                </c:pt>
                <c:pt idx="4">
                  <c:v>0.13973799126637554</c:v>
                </c:pt>
                <c:pt idx="5">
                  <c:v>0.14119359534206696</c:v>
                </c:pt>
                <c:pt idx="6">
                  <c:v>0.13537117903930132</c:v>
                </c:pt>
                <c:pt idx="7">
                  <c:v>0.12081513828238717</c:v>
                </c:pt>
                <c:pt idx="8">
                  <c:v>9.1703056768558944E-2</c:v>
                </c:pt>
                <c:pt idx="9">
                  <c:v>6.6957787481804948E-2</c:v>
                </c:pt>
                <c:pt idx="10">
                  <c:v>5.2401746724890834E-2</c:v>
                </c:pt>
                <c:pt idx="11">
                  <c:v>4.8034934497816595E-2</c:v>
                </c:pt>
                <c:pt idx="12">
                  <c:v>3.7845705967976713E-2</c:v>
                </c:pt>
                <c:pt idx="13">
                  <c:v>3.6390101892285302E-2</c:v>
                </c:pt>
                <c:pt idx="14">
                  <c:v>2.6200873362445417E-2</c:v>
                </c:pt>
                <c:pt idx="15">
                  <c:v>2.9112081513828242E-2</c:v>
                </c:pt>
                <c:pt idx="16">
                  <c:v>1.8922852983988356E-2</c:v>
                </c:pt>
                <c:pt idx="17">
                  <c:v>2.0378457059679767E-2</c:v>
                </c:pt>
                <c:pt idx="18">
                  <c:v>1.6011644832605532E-2</c:v>
                </c:pt>
                <c:pt idx="19">
                  <c:v>2.620087336244541E-2</c:v>
                </c:pt>
                <c:pt idx="20">
                  <c:v>2.1834061135371178E-2</c:v>
                </c:pt>
                <c:pt idx="21">
                  <c:v>2.3289665211062589E-2</c:v>
                </c:pt>
                <c:pt idx="22">
                  <c:v>1.1644832605531294E-2</c:v>
                </c:pt>
                <c:pt idx="23">
                  <c:v>8.7336244541484712E-3</c:v>
                </c:pt>
                <c:pt idx="24">
                  <c:v>1.1644832605531294E-2</c:v>
                </c:pt>
                <c:pt idx="25">
                  <c:v>2.0378457059679767E-2</c:v>
                </c:pt>
                <c:pt idx="26">
                  <c:v>2.0378457059679764E-2</c:v>
                </c:pt>
                <c:pt idx="27">
                  <c:v>1.6011644832605532E-2</c:v>
                </c:pt>
                <c:pt idx="28">
                  <c:v>1.1644832605531294E-2</c:v>
                </c:pt>
                <c:pt idx="29">
                  <c:v>2.0378457059679767E-2</c:v>
                </c:pt>
                <c:pt idx="30">
                  <c:v>1.6011644832605532E-2</c:v>
                </c:pt>
                <c:pt idx="31">
                  <c:v>1.6011644832605532E-2</c:v>
                </c:pt>
                <c:pt idx="32">
                  <c:v>8.7336244541484712E-3</c:v>
                </c:pt>
                <c:pt idx="33">
                  <c:v>1.3100436681222705E-2</c:v>
                </c:pt>
                <c:pt idx="34">
                  <c:v>8.7336244541484712E-3</c:v>
                </c:pt>
                <c:pt idx="35">
                  <c:v>8.7336244541484712E-3</c:v>
                </c:pt>
                <c:pt idx="36">
                  <c:v>7.2780203784570596E-3</c:v>
                </c:pt>
                <c:pt idx="37">
                  <c:v>5.8224163027656472E-3</c:v>
                </c:pt>
                <c:pt idx="38">
                  <c:v>2.9112081513828236E-3</c:v>
                </c:pt>
                <c:pt idx="39">
                  <c:v>1.4556040756914118E-3</c:v>
                </c:pt>
                <c:pt idx="40">
                  <c:v>1.4556040756914118E-3</c:v>
                </c:pt>
                <c:pt idx="41">
                  <c:v>2.9112081513828236E-3</c:v>
                </c:pt>
                <c:pt idx="42" formatCode="0.0%">
                  <c:v>1.4556040756914118E-3</c:v>
                </c:pt>
                <c:pt idx="43" formatCode="0.0%">
                  <c:v>1.4556040756914118E-3</c:v>
                </c:pt>
                <c:pt idx="44" formatCode="0.0%">
                  <c:v>0</c:v>
                </c:pt>
                <c:pt idx="45" formatCode="0.0%">
                  <c:v>0</c:v>
                </c:pt>
                <c:pt idx="46" formatCode="0.0%">
                  <c:v>0</c:v>
                </c:pt>
                <c:pt idx="47" formatCode="0.0%">
                  <c:v>2.9112081513828236E-3</c:v>
                </c:pt>
                <c:pt idx="48" formatCode="0.0%">
                  <c:v>2.9112081513828236E-3</c:v>
                </c:pt>
                <c:pt idx="49" formatCode="0.0%">
                  <c:v>2.9112081513828236E-3</c:v>
                </c:pt>
                <c:pt idx="50" formatCode="0.0%">
                  <c:v>0</c:v>
                </c:pt>
                <c:pt idx="51" formatCode="0.0%">
                  <c:v>0</c:v>
                </c:pt>
                <c:pt idx="52" formatCode="0.0%">
                  <c:v>0</c:v>
                </c:pt>
                <c:pt idx="53" formatCode="0.0%">
                  <c:v>0</c:v>
                </c:pt>
                <c:pt idx="54" formatCode="0.0%">
                  <c:v>0</c:v>
                </c:pt>
              </c:numCache>
            </c:numRef>
          </c:val>
          <c:smooth val="0"/>
        </c:ser>
        <c:ser>
          <c:idx val="1"/>
          <c:order val="1"/>
          <c:tx>
            <c:strRef>
              <c:f>contrattoetà!$AG$5</c:f>
              <c:strCache>
                <c:ptCount val="1"/>
                <c:pt idx="0">
                  <c:v>standard</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contrattoetà!$AE$6:$AE$60</c:f>
              <c:numCache>
                <c:formatCode>0</c:formatCode>
                <c:ptCount val="55"/>
                <c:pt idx="0">
                  <c:v>18</c:v>
                </c:pt>
                <c:pt idx="1">
                  <c:v>19</c:v>
                </c:pt>
                <c:pt idx="2">
                  <c:v>20</c:v>
                </c:pt>
                <c:pt idx="3">
                  <c:v>21</c:v>
                </c:pt>
                <c:pt idx="4">
                  <c:v>22</c:v>
                </c:pt>
                <c:pt idx="5">
                  <c:v>23</c:v>
                </c:pt>
                <c:pt idx="6">
                  <c:v>24</c:v>
                </c:pt>
                <c:pt idx="7">
                  <c:v>25</c:v>
                </c:pt>
                <c:pt idx="8">
                  <c:v>26</c:v>
                </c:pt>
                <c:pt idx="9">
                  <c:v>27</c:v>
                </c:pt>
                <c:pt idx="10">
                  <c:v>28</c:v>
                </c:pt>
                <c:pt idx="11">
                  <c:v>29</c:v>
                </c:pt>
                <c:pt idx="12">
                  <c:v>30</c:v>
                </c:pt>
                <c:pt idx="13">
                  <c:v>31</c:v>
                </c:pt>
                <c:pt idx="14">
                  <c:v>32</c:v>
                </c:pt>
                <c:pt idx="15">
                  <c:v>33</c:v>
                </c:pt>
                <c:pt idx="16">
                  <c:v>34</c:v>
                </c:pt>
                <c:pt idx="17">
                  <c:v>35</c:v>
                </c:pt>
                <c:pt idx="18">
                  <c:v>36</c:v>
                </c:pt>
                <c:pt idx="19">
                  <c:v>37</c:v>
                </c:pt>
                <c:pt idx="20">
                  <c:v>38</c:v>
                </c:pt>
                <c:pt idx="21">
                  <c:v>39</c:v>
                </c:pt>
                <c:pt idx="22">
                  <c:v>40</c:v>
                </c:pt>
                <c:pt idx="23">
                  <c:v>41</c:v>
                </c:pt>
                <c:pt idx="24">
                  <c:v>42</c:v>
                </c:pt>
                <c:pt idx="25">
                  <c:v>43</c:v>
                </c:pt>
                <c:pt idx="26">
                  <c:v>44</c:v>
                </c:pt>
                <c:pt idx="27">
                  <c:v>45</c:v>
                </c:pt>
                <c:pt idx="28">
                  <c:v>46</c:v>
                </c:pt>
                <c:pt idx="29">
                  <c:v>47</c:v>
                </c:pt>
                <c:pt idx="30">
                  <c:v>48</c:v>
                </c:pt>
                <c:pt idx="31">
                  <c:v>49</c:v>
                </c:pt>
                <c:pt idx="32">
                  <c:v>50</c:v>
                </c:pt>
                <c:pt idx="33">
                  <c:v>51</c:v>
                </c:pt>
                <c:pt idx="34">
                  <c:v>52</c:v>
                </c:pt>
                <c:pt idx="35">
                  <c:v>53</c:v>
                </c:pt>
                <c:pt idx="36">
                  <c:v>54</c:v>
                </c:pt>
                <c:pt idx="37">
                  <c:v>55</c:v>
                </c:pt>
                <c:pt idx="38">
                  <c:v>56</c:v>
                </c:pt>
                <c:pt idx="39">
                  <c:v>57</c:v>
                </c:pt>
                <c:pt idx="40">
                  <c:v>58</c:v>
                </c:pt>
                <c:pt idx="41">
                  <c:v>59</c:v>
                </c:pt>
                <c:pt idx="42">
                  <c:v>60</c:v>
                </c:pt>
                <c:pt idx="43">
                  <c:v>61</c:v>
                </c:pt>
                <c:pt idx="44">
                  <c:v>62</c:v>
                </c:pt>
                <c:pt idx="45">
                  <c:v>63</c:v>
                </c:pt>
                <c:pt idx="46">
                  <c:v>64</c:v>
                </c:pt>
                <c:pt idx="47">
                  <c:v>65</c:v>
                </c:pt>
                <c:pt idx="48">
                  <c:v>66</c:v>
                </c:pt>
                <c:pt idx="49">
                  <c:v>67</c:v>
                </c:pt>
                <c:pt idx="50">
                  <c:v>68</c:v>
                </c:pt>
                <c:pt idx="51">
                  <c:v>69</c:v>
                </c:pt>
                <c:pt idx="52">
                  <c:v>70</c:v>
                </c:pt>
                <c:pt idx="53">
                  <c:v>71</c:v>
                </c:pt>
                <c:pt idx="54">
                  <c:v>72</c:v>
                </c:pt>
              </c:numCache>
            </c:numRef>
          </c:cat>
          <c:val>
            <c:numRef>
              <c:f>contrattoetà!$AG$6:$AG$60</c:f>
              <c:numCache>
                <c:formatCode>0%</c:formatCode>
                <c:ptCount val="55"/>
                <c:pt idx="1">
                  <c:v>1.1841326228537597E-3</c:v>
                </c:pt>
                <c:pt idx="2">
                  <c:v>1.7761989342806393E-3</c:v>
                </c:pt>
                <c:pt idx="3">
                  <c:v>2.170909808565226E-3</c:v>
                </c:pt>
                <c:pt idx="4">
                  <c:v>3.1576869942766921E-3</c:v>
                </c:pt>
                <c:pt idx="5">
                  <c:v>4.736530491415039E-3</c:v>
                </c:pt>
                <c:pt idx="6">
                  <c:v>7.4995066114071441E-3</c:v>
                </c:pt>
                <c:pt idx="7">
                  <c:v>1.0657193605683837E-2</c:v>
                </c:pt>
                <c:pt idx="8">
                  <c:v>1.5788434971383464E-2</c:v>
                </c:pt>
                <c:pt idx="9">
                  <c:v>1.7959344779948688E-2</c:v>
                </c:pt>
                <c:pt idx="10">
                  <c:v>1.7564633905664102E-2</c:v>
                </c:pt>
                <c:pt idx="11">
                  <c:v>1.6577856719952638E-2</c:v>
                </c:pt>
                <c:pt idx="12">
                  <c:v>1.9735543714229326E-2</c:v>
                </c:pt>
                <c:pt idx="13">
                  <c:v>2.2301164397079142E-2</c:v>
                </c:pt>
                <c:pt idx="14">
                  <c:v>2.4866785079928955E-2</c:v>
                </c:pt>
                <c:pt idx="15">
                  <c:v>2.6445628577067299E-2</c:v>
                </c:pt>
                <c:pt idx="16">
                  <c:v>2.9405960134201697E-2</c:v>
                </c:pt>
                <c:pt idx="17">
                  <c:v>3.3155713439905275E-2</c:v>
                </c:pt>
                <c:pt idx="18">
                  <c:v>4.0655220051312418E-2</c:v>
                </c:pt>
                <c:pt idx="19">
                  <c:v>4.1641997237023887E-2</c:v>
                </c:pt>
                <c:pt idx="20">
                  <c:v>4.2234063548450766E-2</c:v>
                </c:pt>
                <c:pt idx="21">
                  <c:v>3.6116044997039666E-2</c:v>
                </c:pt>
                <c:pt idx="22">
                  <c:v>3.8484310242747184E-2</c:v>
                </c:pt>
                <c:pt idx="23">
                  <c:v>4.5194395105585157E-2</c:v>
                </c:pt>
                <c:pt idx="24">
                  <c:v>4.9141503848431023E-2</c:v>
                </c:pt>
                <c:pt idx="25">
                  <c:v>4.9733570159857902E-2</c:v>
                </c:pt>
                <c:pt idx="26">
                  <c:v>4.1444641799881589E-2</c:v>
                </c:pt>
                <c:pt idx="27">
                  <c:v>3.5129267811328205E-2</c:v>
                </c:pt>
                <c:pt idx="28">
                  <c:v>3.3550424314189857E-2</c:v>
                </c:pt>
                <c:pt idx="29">
                  <c:v>3.276100256562068E-2</c:v>
                </c:pt>
                <c:pt idx="30">
                  <c:v>3.3353068877047559E-2</c:v>
                </c:pt>
                <c:pt idx="31">
                  <c:v>2.9603315571343988E-2</c:v>
                </c:pt>
                <c:pt idx="32">
                  <c:v>2.8024472074205647E-2</c:v>
                </c:pt>
                <c:pt idx="33">
                  <c:v>2.4274718768502068E-2</c:v>
                </c:pt>
                <c:pt idx="34">
                  <c:v>2.1117031774225376E-2</c:v>
                </c:pt>
                <c:pt idx="35">
                  <c:v>1.8748766528517858E-2</c:v>
                </c:pt>
                <c:pt idx="36">
                  <c:v>1.7959344779948688E-2</c:v>
                </c:pt>
                <c:pt idx="37">
                  <c:v>1.7564633905664099E-2</c:v>
                </c:pt>
                <c:pt idx="38">
                  <c:v>1.4604302348529703E-2</c:v>
                </c:pt>
                <c:pt idx="39">
                  <c:v>1.1051904479968422E-2</c:v>
                </c:pt>
                <c:pt idx="40">
                  <c:v>8.0915729228340245E-3</c:v>
                </c:pt>
                <c:pt idx="41">
                  <c:v>5.5259522399842111E-3</c:v>
                </c:pt>
                <c:pt idx="42" formatCode="0.0%">
                  <c:v>4.7365304914150381E-3</c:v>
                </c:pt>
                <c:pt idx="43" formatCode="0.0%">
                  <c:v>3.5523978685612786E-3</c:v>
                </c:pt>
                <c:pt idx="44" formatCode="0.0%">
                  <c:v>3.1576869942766921E-3</c:v>
                </c:pt>
                <c:pt idx="45" formatCode="0.0%">
                  <c:v>2.960331557134399E-3</c:v>
                </c:pt>
                <c:pt idx="46" formatCode="0.0%">
                  <c:v>2.7629761199921055E-3</c:v>
                </c:pt>
                <c:pt idx="47" formatCode="0.0%">
                  <c:v>2.368265245707519E-3</c:v>
                </c:pt>
                <c:pt idx="48" formatCode="0.0%">
                  <c:v>1.9735543714229325E-3</c:v>
                </c:pt>
                <c:pt idx="49" formatCode="0.0%">
                  <c:v>1.578843497138346E-3</c:v>
                </c:pt>
                <c:pt idx="50" formatCode="0.0%">
                  <c:v>1.1841326228537595E-3</c:v>
                </c:pt>
                <c:pt idx="51" formatCode="0.0%">
                  <c:v>7.8942174856917301E-4</c:v>
                </c:pt>
                <c:pt idx="52" formatCode="0.0%">
                  <c:v>7.8942174856917301E-4</c:v>
                </c:pt>
                <c:pt idx="53" formatCode="0.0%">
                  <c:v>7.8942174856917301E-4</c:v>
                </c:pt>
                <c:pt idx="54" formatCode="0.0%">
                  <c:v>7.8942174856917301E-4</c:v>
                </c:pt>
              </c:numCache>
            </c:numRef>
          </c:val>
          <c:smooth val="0"/>
        </c:ser>
        <c:dLbls>
          <c:showLegendKey val="0"/>
          <c:showVal val="0"/>
          <c:showCatName val="0"/>
          <c:showSerName val="0"/>
          <c:showPercent val="0"/>
          <c:showBubbleSize val="0"/>
        </c:dLbls>
        <c:marker val="1"/>
        <c:smooth val="0"/>
        <c:axId val="414022800"/>
        <c:axId val="414024368"/>
      </c:lineChart>
      <c:catAx>
        <c:axId val="414022800"/>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414024368"/>
        <c:crosses val="autoZero"/>
        <c:auto val="1"/>
        <c:lblAlgn val="ctr"/>
        <c:lblOffset val="100"/>
        <c:noMultiLvlLbl val="0"/>
      </c:catAx>
      <c:valAx>
        <c:axId val="4140243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4140228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Qualità contrattuale per età</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t-IT"/>
        </a:p>
      </c:txPr>
    </c:title>
    <c:autoTitleDeleted val="0"/>
    <c:plotArea>
      <c:layout/>
      <c:barChart>
        <c:barDir val="col"/>
        <c:grouping val="clustered"/>
        <c:varyColors val="0"/>
        <c:ser>
          <c:idx val="0"/>
          <c:order val="0"/>
          <c:tx>
            <c:strRef>
              <c:f>'Qualità contrattuale'!$B$11</c:f>
              <c:strCache>
                <c:ptCount val="1"/>
                <c:pt idx="0">
                  <c:v>Q. bassa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'Qualità contrattuale'!$A$12:$A$14</c:f>
              <c:strCache>
                <c:ptCount val="3"/>
                <c:pt idx="0">
                  <c:v>-29</c:v>
                </c:pt>
                <c:pt idx="1">
                  <c:v>30-49</c:v>
                </c:pt>
                <c:pt idx="2">
                  <c:v>50-</c:v>
                </c:pt>
              </c:strCache>
            </c:strRef>
          </c:cat>
          <c:val>
            <c:numRef>
              <c:f>'Qualità contrattuale'!$B$12:$B$14</c:f>
              <c:numCache>
                <c:formatCode>0.0%</c:formatCode>
                <c:ptCount val="3"/>
                <c:pt idx="0">
                  <c:v>0.10526315789473684</c:v>
                </c:pt>
                <c:pt idx="1">
                  <c:v>0.10526315789473684</c:v>
                </c:pt>
                <c:pt idx="2">
                  <c:v>0.78947368421052633</c:v>
                </c:pt>
              </c:numCache>
            </c:numRef>
          </c:val>
          <c:extLst xmlns:c16r2="http://schemas.microsoft.com/office/drawing/2015/06/chart">
            <c:ext xmlns:c16="http://schemas.microsoft.com/office/drawing/2014/chart" uri="{C3380CC4-5D6E-409C-BE32-E72D297353CC}">
              <c16:uniqueId val="{00000000-2DD9-4AB2-B577-4BC9CB193759}"/>
            </c:ext>
          </c:extLst>
        </c:ser>
        <c:ser>
          <c:idx val="1"/>
          <c:order val="1"/>
          <c:tx>
            <c:strRef>
              <c:f>'Qualità contrattuale'!$C$11</c:f>
              <c:strCache>
                <c:ptCount val="1"/>
                <c:pt idx="0">
                  <c:v>Q. media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'Qualità contrattuale'!$A$12:$A$14</c:f>
              <c:strCache>
                <c:ptCount val="3"/>
                <c:pt idx="0">
                  <c:v>-29</c:v>
                </c:pt>
                <c:pt idx="1">
                  <c:v>30-49</c:v>
                </c:pt>
                <c:pt idx="2">
                  <c:v>50-</c:v>
                </c:pt>
              </c:strCache>
            </c:strRef>
          </c:cat>
          <c:val>
            <c:numRef>
              <c:f>'Qualità contrattuale'!$C$12:$C$14</c:f>
              <c:numCache>
                <c:formatCode>0.0%</c:formatCode>
                <c:ptCount val="3"/>
                <c:pt idx="0">
                  <c:v>0.4470924690181125</c:v>
                </c:pt>
                <c:pt idx="1">
                  <c:v>0.46043851286939941</c:v>
                </c:pt>
                <c:pt idx="2">
                  <c:v>9.2469018112488088E-2</c:v>
                </c:pt>
              </c:numCache>
            </c:numRef>
          </c:val>
          <c:extLst xmlns:c16r2="http://schemas.microsoft.com/office/drawing/2015/06/chart">
            <c:ext xmlns:c16="http://schemas.microsoft.com/office/drawing/2014/chart" uri="{C3380CC4-5D6E-409C-BE32-E72D297353CC}">
              <c16:uniqueId val="{00000001-2DD9-4AB2-B577-4BC9CB193759}"/>
            </c:ext>
          </c:extLst>
        </c:ser>
        <c:ser>
          <c:idx val="2"/>
          <c:order val="2"/>
          <c:tx>
            <c:strRef>
              <c:f>'Qualità contrattuale'!$D$11</c:f>
              <c:strCache>
                <c:ptCount val="1"/>
                <c:pt idx="0">
                  <c:v>Q. alta</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'Qualità contrattuale'!$A$12:$A$14</c:f>
              <c:strCache>
                <c:ptCount val="3"/>
                <c:pt idx="0">
                  <c:v>-29</c:v>
                </c:pt>
                <c:pt idx="1">
                  <c:v>30-49</c:v>
                </c:pt>
                <c:pt idx="2">
                  <c:v>50-</c:v>
                </c:pt>
              </c:strCache>
            </c:strRef>
          </c:cat>
          <c:val>
            <c:numRef>
              <c:f>'Qualità contrattuale'!$D$12:$D$14</c:f>
              <c:numCache>
                <c:formatCode>0.0%</c:formatCode>
                <c:ptCount val="3"/>
                <c:pt idx="0">
                  <c:v>0.20243902439024392</c:v>
                </c:pt>
                <c:pt idx="1">
                  <c:v>0.67560975609756102</c:v>
                </c:pt>
                <c:pt idx="2">
                  <c:v>0.12195121951219512</c:v>
                </c:pt>
              </c:numCache>
            </c:numRef>
          </c:val>
          <c:extLst xmlns:c16r2="http://schemas.microsoft.com/office/drawing/2015/06/chart">
            <c:ext xmlns:c16="http://schemas.microsoft.com/office/drawing/2014/chart" uri="{C3380CC4-5D6E-409C-BE32-E72D297353CC}">
              <c16:uniqueId val="{00000002-2DD9-4AB2-B577-4BC9CB193759}"/>
            </c:ext>
          </c:extLst>
        </c:ser>
        <c:dLbls>
          <c:showLegendKey val="0"/>
          <c:showVal val="0"/>
          <c:showCatName val="0"/>
          <c:showSerName val="0"/>
          <c:showPercent val="0"/>
          <c:showBubbleSize val="0"/>
        </c:dLbls>
        <c:gapWidth val="219"/>
        <c:overlap val="-27"/>
        <c:axId val="414023584"/>
        <c:axId val="414023976"/>
      </c:barChart>
      <c:catAx>
        <c:axId val="414023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414023976"/>
        <c:crosses val="autoZero"/>
        <c:auto val="1"/>
        <c:lblAlgn val="ctr"/>
        <c:lblOffset val="100"/>
        <c:noMultiLvlLbl val="0"/>
      </c:catAx>
      <c:valAx>
        <c:axId val="41402397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41402358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t-IT"/>
              <a:t>Qualità</a:t>
            </a:r>
            <a:r>
              <a:rPr lang="it-IT" baseline="0"/>
              <a:t> contrattuale per genere</a:t>
            </a:r>
            <a:endParaRPr lang="it-IT"/>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t-IT"/>
        </a:p>
      </c:txPr>
    </c:title>
    <c:autoTitleDeleted val="0"/>
    <c:plotArea>
      <c:layout/>
      <c:barChart>
        <c:barDir val="bar"/>
        <c:grouping val="clustered"/>
        <c:varyColors val="0"/>
        <c:ser>
          <c:idx val="0"/>
          <c:order val="0"/>
          <c:tx>
            <c:strRef>
              <c:f>'Qualità contrattuale'!$B$30</c:f>
              <c:strCache>
                <c:ptCount val="1"/>
                <c:pt idx="0">
                  <c:v>F</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'Qualità contrattuale'!$A$31:$A$33</c:f>
              <c:strCache>
                <c:ptCount val="3"/>
                <c:pt idx="0">
                  <c:v>Q. bassa</c:v>
                </c:pt>
                <c:pt idx="1">
                  <c:v>Q. media</c:v>
                </c:pt>
                <c:pt idx="2">
                  <c:v>Q. alta</c:v>
                </c:pt>
              </c:strCache>
            </c:strRef>
          </c:cat>
          <c:val>
            <c:numRef>
              <c:f>'Qualità contrattuale'!$B$31:$B$33</c:f>
              <c:numCache>
                <c:formatCode>0.0%</c:formatCode>
                <c:ptCount val="3"/>
                <c:pt idx="0">
                  <c:v>0.26315789473684209</c:v>
                </c:pt>
                <c:pt idx="1">
                  <c:v>0.36129647283126787</c:v>
                </c:pt>
                <c:pt idx="2">
                  <c:v>0.1926829268292683</c:v>
                </c:pt>
              </c:numCache>
            </c:numRef>
          </c:val>
          <c:extLst xmlns:c16r2="http://schemas.microsoft.com/office/drawing/2015/06/chart">
            <c:ext xmlns:c16="http://schemas.microsoft.com/office/drawing/2014/chart" uri="{C3380CC4-5D6E-409C-BE32-E72D297353CC}">
              <c16:uniqueId val="{00000000-2495-4F16-88D7-D5A89A2E2895}"/>
            </c:ext>
          </c:extLst>
        </c:ser>
        <c:ser>
          <c:idx val="1"/>
          <c:order val="1"/>
          <c:tx>
            <c:strRef>
              <c:f>'Qualità contrattuale'!$C$30</c:f>
              <c:strCache>
                <c:ptCount val="1"/>
                <c:pt idx="0">
                  <c:v>M</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'Qualità contrattuale'!$A$31:$A$33</c:f>
              <c:strCache>
                <c:ptCount val="3"/>
                <c:pt idx="0">
                  <c:v>Q. bassa</c:v>
                </c:pt>
                <c:pt idx="1">
                  <c:v>Q. media</c:v>
                </c:pt>
                <c:pt idx="2">
                  <c:v>Q. alta</c:v>
                </c:pt>
              </c:strCache>
            </c:strRef>
          </c:cat>
          <c:val>
            <c:numRef>
              <c:f>'Qualità contrattuale'!$C$31:$C$33</c:f>
              <c:numCache>
                <c:formatCode>0.0%</c:formatCode>
                <c:ptCount val="3"/>
                <c:pt idx="0">
                  <c:v>0.73684210526315785</c:v>
                </c:pt>
                <c:pt idx="1">
                  <c:v>0.63870352716873213</c:v>
                </c:pt>
                <c:pt idx="2">
                  <c:v>0.80731707317073176</c:v>
                </c:pt>
              </c:numCache>
            </c:numRef>
          </c:val>
          <c:extLst xmlns:c16r2="http://schemas.microsoft.com/office/drawing/2015/06/chart">
            <c:ext xmlns:c16="http://schemas.microsoft.com/office/drawing/2014/chart" uri="{C3380CC4-5D6E-409C-BE32-E72D297353CC}">
              <c16:uniqueId val="{00000001-2495-4F16-88D7-D5A89A2E2895}"/>
            </c:ext>
          </c:extLst>
        </c:ser>
        <c:dLbls>
          <c:showLegendKey val="0"/>
          <c:showVal val="0"/>
          <c:showCatName val="0"/>
          <c:showSerName val="0"/>
          <c:showPercent val="0"/>
          <c:showBubbleSize val="0"/>
        </c:dLbls>
        <c:gapWidth val="182"/>
        <c:axId val="414025936"/>
        <c:axId val="414026328"/>
      </c:barChart>
      <c:catAx>
        <c:axId val="4140259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414026328"/>
        <c:crosses val="autoZero"/>
        <c:auto val="1"/>
        <c:lblAlgn val="ctr"/>
        <c:lblOffset val="100"/>
        <c:noMultiLvlLbl val="0"/>
      </c:catAx>
      <c:valAx>
        <c:axId val="414026328"/>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4140259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a:solidFill>
                  <a:sysClr val="windowText" lastClr="000000"/>
                </a:solidFill>
              </a:rPr>
              <a:t>Andamento degli avviamenti inerenti le forme contrattuali più frequenti nel periodo 2011-2016 con base 2011=100</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t-IT"/>
        </a:p>
      </c:txPr>
    </c:title>
    <c:autoTitleDeleted val="0"/>
    <c:plotArea>
      <c:layout>
        <c:manualLayout>
          <c:layoutTarget val="inner"/>
          <c:xMode val="edge"/>
          <c:yMode val="edge"/>
          <c:x val="7.9247594050743664E-2"/>
          <c:y val="0.1902314814814815"/>
          <c:w val="0.89019685039370078"/>
          <c:h val="0.55034776902887139"/>
        </c:manualLayout>
      </c:layout>
      <c:lineChart>
        <c:grouping val="standard"/>
        <c:varyColors val="0"/>
        <c:ser>
          <c:idx val="0"/>
          <c:order val="0"/>
          <c:tx>
            <c:strRef>
              <c:f>[Cartel1]Foglio1!$A$11</c:f>
              <c:strCache>
                <c:ptCount val="1"/>
                <c:pt idx="0">
                  <c:v>LAVORO A TEMPO DETERMINATO</c:v>
                </c:pt>
              </c:strCache>
            </c:strRef>
          </c:tx>
          <c:spPr>
            <a:ln w="28575" cap="rnd">
              <a:solidFill>
                <a:schemeClr val="accent1"/>
              </a:solidFill>
              <a:round/>
            </a:ln>
            <a:effectLst/>
          </c:spPr>
          <c:marker>
            <c:symbol val="none"/>
          </c:marker>
          <c:dLbls>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[Cartel1]Foglio1!$B$10:$G$10</c:f>
              <c:numCache>
                <c:formatCode>General</c:formatCode>
                <c:ptCount val="6"/>
                <c:pt idx="0">
                  <c:v>2011</c:v>
                </c:pt>
                <c:pt idx="1">
                  <c:v>2012</c:v>
                </c:pt>
                <c:pt idx="2">
                  <c:v>2013</c:v>
                </c:pt>
                <c:pt idx="3">
                  <c:v>2014</c:v>
                </c:pt>
                <c:pt idx="4">
                  <c:v>2015</c:v>
                </c:pt>
                <c:pt idx="5">
                  <c:v>2016</c:v>
                </c:pt>
              </c:numCache>
            </c:numRef>
          </c:cat>
          <c:val>
            <c:numRef>
              <c:f>[Cartel1]Foglio1!$B$11:$G$11</c:f>
              <c:numCache>
                <c:formatCode>0</c:formatCode>
                <c:ptCount val="6"/>
                <c:pt idx="0">
                  <c:v>100</c:v>
                </c:pt>
                <c:pt idx="1">
                  <c:v>124.93887530562347</c:v>
                </c:pt>
                <c:pt idx="2">
                  <c:v>157.21271393643033</c:v>
                </c:pt>
                <c:pt idx="3">
                  <c:v>198.77750611246944</c:v>
                </c:pt>
                <c:pt idx="4">
                  <c:v>171.88264058679707</c:v>
                </c:pt>
                <c:pt idx="5">
                  <c:v>186.06356968215158</c:v>
                </c:pt>
              </c:numCache>
            </c:numRef>
          </c:val>
          <c:smooth val="0"/>
        </c:ser>
        <c:ser>
          <c:idx val="1"/>
          <c:order val="1"/>
          <c:tx>
            <c:strRef>
              <c:f>[Cartel1]Foglio1!$A$12</c:f>
              <c:strCache>
                <c:ptCount val="1"/>
                <c:pt idx="0">
                  <c:v>LAVORO A TEMPO INDETERMINATO</c:v>
                </c:pt>
              </c:strCache>
            </c:strRef>
          </c:tx>
          <c:spPr>
            <a:ln w="28575" cap="rnd">
              <a:solidFill>
                <a:schemeClr val="accent2"/>
              </a:solidFill>
              <a:round/>
            </a:ln>
            <a:effectLst/>
          </c:spPr>
          <c:marker>
            <c:symbol val="none"/>
          </c:marker>
          <c:dLbls>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[Cartel1]Foglio1!$B$10:$G$10</c:f>
              <c:numCache>
                <c:formatCode>General</c:formatCode>
                <c:ptCount val="6"/>
                <c:pt idx="0">
                  <c:v>2011</c:v>
                </c:pt>
                <c:pt idx="1">
                  <c:v>2012</c:v>
                </c:pt>
                <c:pt idx="2">
                  <c:v>2013</c:v>
                </c:pt>
                <c:pt idx="3">
                  <c:v>2014</c:v>
                </c:pt>
                <c:pt idx="4">
                  <c:v>2015</c:v>
                </c:pt>
                <c:pt idx="5">
                  <c:v>2016</c:v>
                </c:pt>
              </c:numCache>
            </c:numRef>
          </c:cat>
          <c:val>
            <c:numRef>
              <c:f>[Cartel1]Foglio1!$B$12:$G$12</c:f>
              <c:numCache>
                <c:formatCode>0</c:formatCode>
                <c:ptCount val="6"/>
                <c:pt idx="0">
                  <c:v>100</c:v>
                </c:pt>
                <c:pt idx="1">
                  <c:v>107.62711864406779</c:v>
                </c:pt>
                <c:pt idx="2">
                  <c:v>143.22033898305085</c:v>
                </c:pt>
                <c:pt idx="3">
                  <c:v>186.01694915254237</c:v>
                </c:pt>
                <c:pt idx="4">
                  <c:v>272.88135593220335</c:v>
                </c:pt>
                <c:pt idx="5">
                  <c:v>173.72881355932205</c:v>
                </c:pt>
              </c:numCache>
            </c:numRef>
          </c:val>
          <c:smooth val="0"/>
        </c:ser>
        <c:ser>
          <c:idx val="2"/>
          <c:order val="2"/>
          <c:tx>
            <c:strRef>
              <c:f>[Cartel1]Foglio1!$A$13</c:f>
              <c:strCache>
                <c:ptCount val="1"/>
                <c:pt idx="0">
                  <c:v>APPRENDISTATO</c:v>
                </c:pt>
              </c:strCache>
            </c:strRef>
          </c:tx>
          <c:spPr>
            <a:ln w="28575" cap="rnd">
              <a:solidFill>
                <a:schemeClr val="accent3"/>
              </a:solidFill>
              <a:round/>
            </a:ln>
            <a:effectLst/>
          </c:spPr>
          <c:marker>
            <c:symbol val="none"/>
          </c:marker>
          <c:dLbls>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[Cartel1]Foglio1!$B$10:$G$10</c:f>
              <c:numCache>
                <c:formatCode>General</c:formatCode>
                <c:ptCount val="6"/>
                <c:pt idx="0">
                  <c:v>2011</c:v>
                </c:pt>
                <c:pt idx="1">
                  <c:v>2012</c:v>
                </c:pt>
                <c:pt idx="2">
                  <c:v>2013</c:v>
                </c:pt>
                <c:pt idx="3">
                  <c:v>2014</c:v>
                </c:pt>
                <c:pt idx="4">
                  <c:v>2015</c:v>
                </c:pt>
                <c:pt idx="5">
                  <c:v>2016</c:v>
                </c:pt>
              </c:numCache>
            </c:numRef>
          </c:cat>
          <c:val>
            <c:numRef>
              <c:f>[Cartel1]Foglio1!$B$13:$G$13</c:f>
              <c:numCache>
                <c:formatCode>0</c:formatCode>
                <c:ptCount val="6"/>
                <c:pt idx="0">
                  <c:v>100</c:v>
                </c:pt>
                <c:pt idx="1">
                  <c:v>121.36752136752136</c:v>
                </c:pt>
                <c:pt idx="2">
                  <c:v>155.55555555555557</c:v>
                </c:pt>
                <c:pt idx="3">
                  <c:v>205.98290598290595</c:v>
                </c:pt>
                <c:pt idx="4">
                  <c:v>205.98290598290595</c:v>
                </c:pt>
                <c:pt idx="5">
                  <c:v>238.46153846153845</c:v>
                </c:pt>
              </c:numCache>
            </c:numRef>
          </c:val>
          <c:smooth val="0"/>
        </c:ser>
        <c:ser>
          <c:idx val="3"/>
          <c:order val="3"/>
          <c:tx>
            <c:strRef>
              <c:f>[Cartel1]Foglio1!$A$14</c:f>
              <c:strCache>
                <c:ptCount val="1"/>
                <c:pt idx="0">
                  <c:v>CONTRATTO DI SOMMINISTRAZIONE</c:v>
                </c:pt>
              </c:strCache>
            </c:strRef>
          </c:tx>
          <c:spPr>
            <a:ln w="28575" cap="rnd">
              <a:solidFill>
                <a:schemeClr val="accent4"/>
              </a:solidFill>
              <a:round/>
            </a:ln>
            <a:effectLst/>
          </c:spPr>
          <c:marker>
            <c:symbol val="none"/>
          </c:marker>
          <c:dLbls>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[Cartel1]Foglio1!$B$10:$G$10</c:f>
              <c:numCache>
                <c:formatCode>General</c:formatCode>
                <c:ptCount val="6"/>
                <c:pt idx="0">
                  <c:v>2011</c:v>
                </c:pt>
                <c:pt idx="1">
                  <c:v>2012</c:v>
                </c:pt>
                <c:pt idx="2">
                  <c:v>2013</c:v>
                </c:pt>
                <c:pt idx="3">
                  <c:v>2014</c:v>
                </c:pt>
                <c:pt idx="4">
                  <c:v>2015</c:v>
                </c:pt>
                <c:pt idx="5">
                  <c:v>2016</c:v>
                </c:pt>
              </c:numCache>
            </c:numRef>
          </c:cat>
          <c:val>
            <c:numRef>
              <c:f>[Cartel1]Foglio1!$B$14:$G$14</c:f>
              <c:numCache>
                <c:formatCode>0</c:formatCode>
                <c:ptCount val="6"/>
                <c:pt idx="0">
                  <c:v>100</c:v>
                </c:pt>
                <c:pt idx="1">
                  <c:v>153.03030303030303</c:v>
                </c:pt>
                <c:pt idx="2">
                  <c:v>10.606060606060606</c:v>
                </c:pt>
                <c:pt idx="3">
                  <c:v>1.5151515151515151</c:v>
                </c:pt>
                <c:pt idx="4">
                  <c:v>0</c:v>
                </c:pt>
                <c:pt idx="5">
                  <c:v>0</c:v>
                </c:pt>
              </c:numCache>
            </c:numRef>
          </c:val>
          <c:smooth val="0"/>
        </c:ser>
        <c:ser>
          <c:idx val="4"/>
          <c:order val="4"/>
          <c:tx>
            <c:strRef>
              <c:f>[Cartel1]Foglio1!$A$15</c:f>
              <c:strCache>
                <c:ptCount val="1"/>
                <c:pt idx="0">
                  <c:v>LAVORO A PROGETTO / COLLABORAZIONI </c:v>
                </c:pt>
              </c:strCache>
            </c:strRef>
          </c:tx>
          <c:spPr>
            <a:ln w="28575" cap="rnd">
              <a:solidFill>
                <a:schemeClr val="accent5"/>
              </a:solidFill>
              <a:round/>
            </a:ln>
            <a:effectLst/>
          </c:spPr>
          <c:marker>
            <c:symbol val="none"/>
          </c:marker>
          <c:dLbls>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[Cartel1]Foglio1!$B$10:$G$10</c:f>
              <c:numCache>
                <c:formatCode>General</c:formatCode>
                <c:ptCount val="6"/>
                <c:pt idx="0">
                  <c:v>2011</c:v>
                </c:pt>
                <c:pt idx="1">
                  <c:v>2012</c:v>
                </c:pt>
                <c:pt idx="2">
                  <c:v>2013</c:v>
                </c:pt>
                <c:pt idx="3">
                  <c:v>2014</c:v>
                </c:pt>
                <c:pt idx="4">
                  <c:v>2015</c:v>
                </c:pt>
                <c:pt idx="5">
                  <c:v>2016</c:v>
                </c:pt>
              </c:numCache>
            </c:numRef>
          </c:cat>
          <c:val>
            <c:numRef>
              <c:f>[Cartel1]Foglio1!$B$15:$G$15</c:f>
              <c:numCache>
                <c:formatCode>0</c:formatCode>
                <c:ptCount val="6"/>
                <c:pt idx="0">
                  <c:v>100</c:v>
                </c:pt>
                <c:pt idx="1">
                  <c:v>87.179487179487182</c:v>
                </c:pt>
                <c:pt idx="2">
                  <c:v>71.794871794871796</c:v>
                </c:pt>
                <c:pt idx="3">
                  <c:v>71.794871794871796</c:v>
                </c:pt>
                <c:pt idx="4">
                  <c:v>30.76923076923077</c:v>
                </c:pt>
                <c:pt idx="5">
                  <c:v>41.025641025641022</c:v>
                </c:pt>
              </c:numCache>
            </c:numRef>
          </c:val>
          <c:smooth val="0"/>
        </c:ser>
        <c:dLbls>
          <c:dLblPos val="t"/>
          <c:showLegendKey val="0"/>
          <c:showVal val="1"/>
          <c:showCatName val="0"/>
          <c:showSerName val="0"/>
          <c:showPercent val="0"/>
          <c:showBubbleSize val="0"/>
        </c:dLbls>
        <c:smooth val="0"/>
        <c:axId val="414027504"/>
        <c:axId val="414027896"/>
      </c:lineChart>
      <c:catAx>
        <c:axId val="414027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414027896"/>
        <c:crosses val="autoZero"/>
        <c:auto val="1"/>
        <c:lblAlgn val="ctr"/>
        <c:lblOffset val="100"/>
        <c:noMultiLvlLbl val="0"/>
      </c:catAx>
      <c:valAx>
        <c:axId val="4140278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414027504"/>
        <c:crosses val="autoZero"/>
        <c:crossBetween val="between"/>
      </c:valAx>
      <c:spPr>
        <a:noFill/>
        <a:ln>
          <a:noFill/>
        </a:ln>
        <a:effectLst/>
      </c:spPr>
    </c:plotArea>
    <c:legend>
      <c:legendPos val="b"/>
      <c:layout>
        <c:manualLayout>
          <c:xMode val="edge"/>
          <c:yMode val="edge"/>
          <c:x val="2.3498906386701653E-2"/>
          <c:y val="0.84316856226305048"/>
          <c:w val="0.94744641294838128"/>
          <c:h val="0.12905365995917178"/>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'Elab. dati 3 - Mansioni'!$AF$17</c:f>
              <c:strCache>
                <c:ptCount val="1"/>
                <c:pt idx="0">
                  <c:v>C/G</c:v>
                </c:pt>
              </c:strCache>
            </c:strRef>
          </c:tx>
          <c:spPr>
            <a:ln w="28575" cap="rnd">
              <a:solidFill>
                <a:schemeClr val="accent1"/>
              </a:solidFill>
              <a:round/>
            </a:ln>
            <a:effectLst/>
          </c:spPr>
          <c:marker>
            <c:symbol val="none"/>
          </c:marker>
          <c:dLbls>
            <c:dLbl>
              <c:idx val="1"/>
              <c:layout>
                <c:manualLayout>
                  <c:x val="1.0256411291783944E-2"/>
                  <c:y val="5.3676272903696171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'Elab. dati 3 - Mansioni'!$AG$16:$AK$16</c:f>
              <c:strCache>
                <c:ptCount val="5"/>
                <c:pt idx="0">
                  <c:v>Avviamenti 2011</c:v>
                </c:pt>
                <c:pt idx="1">
                  <c:v>Avviamenti 2012</c:v>
                </c:pt>
                <c:pt idx="2">
                  <c:v>Avviamenti 2013</c:v>
                </c:pt>
                <c:pt idx="3">
                  <c:v>Avviamenti 2014</c:v>
                </c:pt>
                <c:pt idx="4">
                  <c:v>Avviamenti 2015</c:v>
                </c:pt>
              </c:strCache>
            </c:strRef>
          </c:cat>
          <c:val>
            <c:numRef>
              <c:f>'Elab. dati 3 - Mansioni'!$AG$17:$AK$17</c:f>
              <c:numCache>
                <c:formatCode>0.0%</c:formatCode>
                <c:ptCount val="5"/>
                <c:pt idx="0">
                  <c:v>1</c:v>
                </c:pt>
                <c:pt idx="1">
                  <c:v>0.85185185185185186</c:v>
                </c:pt>
                <c:pt idx="2" formatCode="0.00%">
                  <c:v>0.93827160493827155</c:v>
                </c:pt>
                <c:pt idx="3" formatCode="0.00%">
                  <c:v>1.1358024691358024</c:v>
                </c:pt>
                <c:pt idx="4">
                  <c:v>1.2098765432098766</c:v>
                </c:pt>
              </c:numCache>
            </c:numRef>
          </c:val>
          <c:smooth val="0"/>
        </c:ser>
        <c:ser>
          <c:idx val="1"/>
          <c:order val="1"/>
          <c:tx>
            <c:strRef>
              <c:f>'Elab. dati 3 - Mansioni'!$AF$18</c:f>
              <c:strCache>
                <c:ptCount val="1"/>
                <c:pt idx="0">
                  <c:v>C/R</c:v>
                </c:pt>
              </c:strCache>
            </c:strRef>
          </c:tx>
          <c:spPr>
            <a:ln w="28575" cap="rnd">
              <a:solidFill>
                <a:schemeClr val="accent2"/>
              </a:solidFill>
              <a:round/>
            </a:ln>
            <a:effectLst/>
          </c:spPr>
          <c:marker>
            <c:symbol val="none"/>
          </c:marker>
          <c:dLbls>
            <c:dLbl>
              <c:idx val="1"/>
              <c:layout>
                <c:manualLayout>
                  <c:x val="-2.5641028229459275E-3"/>
                  <c:y val="5.6658288065012517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'Elab. dati 3 - Mansioni'!$AG$16:$AK$16</c:f>
              <c:strCache>
                <c:ptCount val="5"/>
                <c:pt idx="0">
                  <c:v>Avviamenti 2011</c:v>
                </c:pt>
                <c:pt idx="1">
                  <c:v>Avviamenti 2012</c:v>
                </c:pt>
                <c:pt idx="2">
                  <c:v>Avviamenti 2013</c:v>
                </c:pt>
                <c:pt idx="3">
                  <c:v>Avviamenti 2014</c:v>
                </c:pt>
                <c:pt idx="4">
                  <c:v>Avviamenti 2015</c:v>
                </c:pt>
              </c:strCache>
            </c:strRef>
          </c:cat>
          <c:val>
            <c:numRef>
              <c:f>'Elab. dati 3 - Mansioni'!$AG$18:$AK$18</c:f>
              <c:numCache>
                <c:formatCode>0.0%</c:formatCode>
                <c:ptCount val="5"/>
                <c:pt idx="0">
                  <c:v>1</c:v>
                </c:pt>
                <c:pt idx="1">
                  <c:v>1.1916666666666667</c:v>
                </c:pt>
                <c:pt idx="2" formatCode="0.00%">
                  <c:v>1.0666666666666667</c:v>
                </c:pt>
                <c:pt idx="3" formatCode="0.00%">
                  <c:v>1.2916666666666667</c:v>
                </c:pt>
                <c:pt idx="4">
                  <c:v>1.425</c:v>
                </c:pt>
              </c:numCache>
            </c:numRef>
          </c:val>
          <c:smooth val="0"/>
        </c:ser>
        <c:ser>
          <c:idx val="2"/>
          <c:order val="2"/>
          <c:tx>
            <c:strRef>
              <c:f>'Elab. dati 3 - Mansioni'!$AF$19</c:f>
              <c:strCache>
                <c:ptCount val="1"/>
                <c:pt idx="0">
                  <c:v>E</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'Elab. dati 3 - Mansioni'!$AG$16:$AK$16</c:f>
              <c:strCache>
                <c:ptCount val="5"/>
                <c:pt idx="0">
                  <c:v>Avviamenti 2011</c:v>
                </c:pt>
                <c:pt idx="1">
                  <c:v>Avviamenti 2012</c:v>
                </c:pt>
                <c:pt idx="2">
                  <c:v>Avviamenti 2013</c:v>
                </c:pt>
                <c:pt idx="3">
                  <c:v>Avviamenti 2014</c:v>
                </c:pt>
                <c:pt idx="4">
                  <c:v>Avviamenti 2015</c:v>
                </c:pt>
              </c:strCache>
            </c:strRef>
          </c:cat>
          <c:val>
            <c:numRef>
              <c:f>'Elab. dati 3 - Mansioni'!$AG$19:$AK$19</c:f>
              <c:numCache>
                <c:formatCode>0.0%</c:formatCode>
                <c:ptCount val="5"/>
                <c:pt idx="0">
                  <c:v>1</c:v>
                </c:pt>
                <c:pt idx="1">
                  <c:v>1.2414307004470939</c:v>
                </c:pt>
                <c:pt idx="2" formatCode="0.00%">
                  <c:v>1.5037257824143071</c:v>
                </c:pt>
                <c:pt idx="3" formatCode="0.00%">
                  <c:v>1.9210134128166916</c:v>
                </c:pt>
                <c:pt idx="4">
                  <c:v>1.9374068554396424</c:v>
                </c:pt>
              </c:numCache>
            </c:numRef>
          </c:val>
          <c:smooth val="0"/>
        </c:ser>
        <c:dLbls>
          <c:showLegendKey val="0"/>
          <c:showVal val="0"/>
          <c:showCatName val="0"/>
          <c:showSerName val="0"/>
          <c:showPercent val="0"/>
          <c:showBubbleSize val="0"/>
        </c:dLbls>
        <c:smooth val="0"/>
        <c:axId val="414703184"/>
        <c:axId val="414699656"/>
      </c:lineChart>
      <c:catAx>
        <c:axId val="414703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414699656"/>
        <c:crosses val="autoZero"/>
        <c:auto val="1"/>
        <c:lblAlgn val="ctr"/>
        <c:lblOffset val="100"/>
        <c:noMultiLvlLbl val="0"/>
      </c:catAx>
      <c:valAx>
        <c:axId val="41469965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41470318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9E26A-8A1B-4BCB-833B-649C420D2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41</Pages>
  <Words>13577</Words>
  <Characters>77389</Characters>
  <Application>Microsoft Office Word</Application>
  <DocSecurity>0</DocSecurity>
  <Lines>644</Lines>
  <Paragraphs>181</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90785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dc:creator>
  <cp:keywords/>
  <dc:description/>
  <cp:lastModifiedBy>Franco</cp:lastModifiedBy>
  <cp:revision>6</cp:revision>
  <cp:lastPrinted>2017-12-18T12:46:00Z</cp:lastPrinted>
  <dcterms:created xsi:type="dcterms:W3CDTF">2017-12-13T08:50:00Z</dcterms:created>
  <dcterms:modified xsi:type="dcterms:W3CDTF">2017-12-20T14:58:00Z</dcterms:modified>
</cp:coreProperties>
</file>