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42" w:rsidRDefault="00AD2242" w:rsidP="00AD2242">
      <w:pPr>
        <w:keepNext/>
      </w:pPr>
      <w:bookmarkStart w:id="0" w:name="_GoBack"/>
      <w:bookmarkEnd w:id="0"/>
      <w:r w:rsidRPr="00A950EA">
        <w:rPr>
          <w:noProof/>
          <w:lang w:eastAsia="it-IT"/>
        </w:rPr>
        <w:drawing>
          <wp:inline distT="0" distB="0" distL="0" distR="0">
            <wp:extent cx="1238250" cy="1238250"/>
            <wp:effectExtent l="19050" t="0" r="0" b="0"/>
            <wp:docPr id="17" name="fbPhotoImage" descr="https://fbcdn-sphotos-d-a.akamaihd.net/hphotos-ak-xft1/v/t1.0-9/1534349_1533138666959866_3110444129154330398_n.jpg?oh=c4ec1ddd60edb951b78d3c2e2bce9b36&amp;oe=55DC60B5&amp;__gda__=1441021759_0b134af60bee0bd33f36b3819198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d-a.akamaihd.net/hphotos-ak-xft1/v/t1.0-9/1534349_1533138666959866_3110444129154330398_n.jpg?oh=c4ec1ddd60edb951b78d3c2e2bce9b36&amp;oe=55DC60B5&amp;__gda__=1441021759_0b134af60bee0bd33f36b38191984923"/>
                    <pic:cNvPicPr>
                      <a:picLocks noChangeAspect="1" noChangeArrowheads="1"/>
                    </pic:cNvPicPr>
                  </pic:nvPicPr>
                  <pic:blipFill>
                    <a:blip r:embed="rId8" cstate="print"/>
                    <a:srcRect/>
                    <a:stretch>
                      <a:fillRect/>
                    </a:stretch>
                  </pic:blipFill>
                  <pic:spPr bwMode="auto">
                    <a:xfrm>
                      <a:off x="0" y="0"/>
                      <a:ext cx="1240084" cy="1240084"/>
                    </a:xfrm>
                    <a:prstGeom prst="rect">
                      <a:avLst/>
                    </a:prstGeom>
                    <a:noFill/>
                    <a:ln w="9525">
                      <a:noFill/>
                      <a:miter lim="800000"/>
                      <a:headEnd/>
                      <a:tailEnd/>
                    </a:ln>
                  </pic:spPr>
                </pic:pic>
              </a:graphicData>
            </a:graphic>
          </wp:inline>
        </w:drawing>
      </w:r>
      <w:r w:rsidRPr="00B147E2">
        <w:rPr>
          <w:noProof/>
          <w:lang w:eastAsia="it-IT"/>
        </w:rPr>
        <w:drawing>
          <wp:inline distT="0" distB="0" distL="0" distR="0">
            <wp:extent cx="1380348" cy="1380348"/>
            <wp:effectExtent l="19050" t="0" r="0" b="0"/>
            <wp:docPr id="2" name="fbPhotoImage" descr="https://scontent-ams.xx.fbcdn.net/hphotos-xpf1/v/t1.0-9/p720x720/1505468_770058583078281_4721241616217669040_n.jpg?oh=845ad8f0f916b09b9cf1c95c7c8b0ac1&amp;oe=559744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ams.xx.fbcdn.net/hphotos-xpf1/v/t1.0-9/p720x720/1505468_770058583078281_4721241616217669040_n.jpg?oh=845ad8f0f916b09b9cf1c95c7c8b0ac1&amp;oe=559744FC"/>
                    <pic:cNvPicPr>
                      <a:picLocks noChangeAspect="1" noChangeArrowheads="1"/>
                    </pic:cNvPicPr>
                  </pic:nvPicPr>
                  <pic:blipFill>
                    <a:blip r:embed="rId9" cstate="print"/>
                    <a:srcRect/>
                    <a:stretch>
                      <a:fillRect/>
                    </a:stretch>
                  </pic:blipFill>
                  <pic:spPr bwMode="auto">
                    <a:xfrm>
                      <a:off x="0" y="0"/>
                      <a:ext cx="1384139" cy="1384139"/>
                    </a:xfrm>
                    <a:prstGeom prst="rect">
                      <a:avLst/>
                    </a:prstGeom>
                    <a:noFill/>
                    <a:ln w="9525">
                      <a:noFill/>
                      <a:miter lim="800000"/>
                      <a:headEnd/>
                      <a:tailEnd/>
                    </a:ln>
                  </pic:spPr>
                </pic:pic>
              </a:graphicData>
            </a:graphic>
          </wp:inline>
        </w:drawing>
      </w:r>
      <w:r>
        <w:rPr>
          <w:noProof/>
          <w:lang w:eastAsia="it-IT"/>
        </w:rPr>
        <w:drawing>
          <wp:inline distT="0" distB="0" distL="0" distR="0">
            <wp:extent cx="884593" cy="1338176"/>
            <wp:effectExtent l="19050" t="0" r="0" b="0"/>
            <wp:docPr id="7" name="Immagine 1" descr="C:\Users\user\AppData\Local\Microsoft\Windows\Temporary Internet Files\Content.Outlook\KC459MFH\logo fp tosc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C459MFH\logo fp toscana.gif"/>
                    <pic:cNvPicPr>
                      <a:picLocks noChangeAspect="1" noChangeArrowheads="1"/>
                    </pic:cNvPicPr>
                  </pic:nvPicPr>
                  <pic:blipFill>
                    <a:blip r:embed="rId10" cstate="print"/>
                    <a:srcRect/>
                    <a:stretch>
                      <a:fillRect/>
                    </a:stretch>
                  </pic:blipFill>
                  <pic:spPr bwMode="auto">
                    <a:xfrm>
                      <a:off x="0" y="0"/>
                      <a:ext cx="889181" cy="1345117"/>
                    </a:xfrm>
                    <a:prstGeom prst="rect">
                      <a:avLst/>
                    </a:prstGeom>
                    <a:noFill/>
                    <a:ln w="9525">
                      <a:noFill/>
                      <a:miter lim="800000"/>
                      <a:headEnd/>
                      <a:tailEnd/>
                    </a:ln>
                  </pic:spPr>
                </pic:pic>
              </a:graphicData>
            </a:graphic>
          </wp:inline>
        </w:drawing>
      </w:r>
    </w:p>
    <w:p w:rsidR="00AD2242" w:rsidRDefault="00AD2242" w:rsidP="00AD2242">
      <w:r>
        <w:rPr>
          <w:noProof/>
          <w:lang w:eastAsia="it-IT"/>
        </w:rPr>
        <w:drawing>
          <wp:anchor distT="0" distB="0" distL="114300" distR="114300" simplePos="0" relativeHeight="251659264" behindDoc="0" locked="0" layoutInCell="1" allowOverlap="1">
            <wp:simplePos x="0" y="0"/>
            <wp:positionH relativeFrom="column">
              <wp:posOffset>312420</wp:posOffset>
            </wp:positionH>
            <wp:positionV relativeFrom="paragraph">
              <wp:posOffset>338455</wp:posOffset>
            </wp:positionV>
            <wp:extent cx="1083310" cy="785495"/>
            <wp:effectExtent l="19050" t="0" r="2540" b="0"/>
            <wp:wrapTopAndBottom/>
            <wp:docPr id="8" name="Immagine 2" descr="G:\PERSONAL\Marcello\Loghi ires\logo senza scrit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RSONAL\Marcello\Loghi ires\logo senza scritta.tif"/>
                    <pic:cNvPicPr>
                      <a:picLocks noChangeAspect="1" noChangeArrowheads="1"/>
                    </pic:cNvPicPr>
                  </pic:nvPicPr>
                  <pic:blipFill>
                    <a:blip r:embed="rId11" cstate="print"/>
                    <a:srcRect/>
                    <a:stretch>
                      <a:fillRect/>
                    </a:stretch>
                  </pic:blipFill>
                  <pic:spPr bwMode="auto">
                    <a:xfrm>
                      <a:off x="0" y="0"/>
                      <a:ext cx="1083310" cy="785495"/>
                    </a:xfrm>
                    <a:prstGeom prst="rect">
                      <a:avLst/>
                    </a:prstGeom>
                    <a:noFill/>
                    <a:ln w="9525">
                      <a:noFill/>
                      <a:miter lim="800000"/>
                      <a:headEnd/>
                      <a:tailEnd/>
                    </a:ln>
                  </pic:spPr>
                </pic:pic>
              </a:graphicData>
            </a:graphic>
          </wp:anchor>
        </w:drawing>
      </w:r>
    </w:p>
    <w:p w:rsidR="00AD2242" w:rsidRDefault="00AD2242" w:rsidP="00AD2242"/>
    <w:p w:rsidR="00AD2242" w:rsidRDefault="00AD2242" w:rsidP="00AD2242"/>
    <w:p w:rsidR="00AD2242" w:rsidRDefault="00AD2242" w:rsidP="00AD2242"/>
    <w:p w:rsidR="00AD2242" w:rsidRDefault="00AD2242" w:rsidP="00AD2242"/>
    <w:p w:rsidR="00AD2242" w:rsidRDefault="00AD2242" w:rsidP="00AD2242"/>
    <w:p w:rsidR="00AD2242" w:rsidRDefault="00AD2242" w:rsidP="00AD2242"/>
    <w:p w:rsidR="00AD2242" w:rsidRDefault="00F07DF4" w:rsidP="00AD2242">
      <w:pPr>
        <w:jc w:val="center"/>
        <w:rPr>
          <w:sz w:val="56"/>
          <w:szCs w:val="56"/>
        </w:rPr>
      </w:pPr>
      <w:r>
        <w:rPr>
          <w:sz w:val="56"/>
          <w:szCs w:val="56"/>
        </w:rPr>
        <w:t>Sest</w:t>
      </w:r>
      <w:r w:rsidR="00AD2242">
        <w:rPr>
          <w:sz w:val="56"/>
          <w:szCs w:val="56"/>
        </w:rPr>
        <w:t>o</w:t>
      </w:r>
      <w:r w:rsidR="00AD2242" w:rsidRPr="00E27FA1">
        <w:rPr>
          <w:sz w:val="56"/>
          <w:szCs w:val="56"/>
        </w:rPr>
        <w:t xml:space="preserve"> rapporto sulla contrattazione sociale in Toscana</w:t>
      </w:r>
    </w:p>
    <w:p w:rsidR="00AD2242" w:rsidRPr="00AF2B11" w:rsidRDefault="00AD2242" w:rsidP="00AD2242">
      <w:pPr>
        <w:jc w:val="center"/>
        <w:rPr>
          <w:sz w:val="40"/>
          <w:szCs w:val="40"/>
        </w:rPr>
      </w:pPr>
    </w:p>
    <w:p w:rsidR="00AD2242" w:rsidRDefault="00AD2242" w:rsidP="00AD2242">
      <w:pPr>
        <w:rPr>
          <w:sz w:val="24"/>
          <w:szCs w:val="24"/>
        </w:rPr>
      </w:pPr>
    </w:p>
    <w:p w:rsidR="00AD2242" w:rsidRDefault="00AD2242" w:rsidP="00AD2242">
      <w:pPr>
        <w:rPr>
          <w:sz w:val="24"/>
          <w:szCs w:val="24"/>
        </w:rPr>
      </w:pPr>
    </w:p>
    <w:p w:rsidR="00AD2242" w:rsidRPr="00E27FA1" w:rsidRDefault="00AD2242" w:rsidP="00AD2242">
      <w:pPr>
        <w:rPr>
          <w:sz w:val="24"/>
          <w:szCs w:val="24"/>
        </w:rPr>
      </w:pPr>
    </w:p>
    <w:p w:rsidR="00AD2242" w:rsidRDefault="00AD2242" w:rsidP="00AD2242"/>
    <w:p w:rsidR="00AD2242" w:rsidRPr="00E27FA1" w:rsidRDefault="00AD2242" w:rsidP="00AD2242">
      <w:pPr>
        <w:jc w:val="center"/>
        <w:rPr>
          <w:sz w:val="32"/>
          <w:szCs w:val="32"/>
        </w:rPr>
      </w:pPr>
      <w:r>
        <w:rPr>
          <w:sz w:val="32"/>
          <w:szCs w:val="32"/>
        </w:rPr>
        <w:t>a cura di Patrizia Costantini IRES Toscana</w:t>
      </w:r>
    </w:p>
    <w:p w:rsidR="00AD2242" w:rsidRDefault="00AD2242" w:rsidP="00AD2242"/>
    <w:p w:rsidR="00897002" w:rsidRDefault="00897002">
      <w:pPr>
        <w:rPr>
          <w:rFonts w:ascii="Century Gothic" w:hAnsi="Century Gothic"/>
          <w:b/>
          <w:sz w:val="28"/>
          <w:szCs w:val="28"/>
        </w:rPr>
      </w:pPr>
    </w:p>
    <w:p w:rsidR="00897002" w:rsidRDefault="00897002">
      <w:pPr>
        <w:rPr>
          <w:rFonts w:ascii="Century Gothic" w:hAnsi="Century Gothic"/>
          <w:b/>
          <w:sz w:val="28"/>
          <w:szCs w:val="28"/>
        </w:rPr>
        <w:sectPr w:rsidR="00897002" w:rsidSect="008838C0">
          <w:footerReference w:type="default" r:id="rId12"/>
          <w:footerReference w:type="first" r:id="rId13"/>
          <w:pgSz w:w="11906" w:h="16838"/>
          <w:pgMar w:top="1417" w:right="1134" w:bottom="1134" w:left="1134" w:header="708" w:footer="708" w:gutter="0"/>
          <w:pgNumType w:start="0"/>
          <w:cols w:space="708"/>
          <w:titlePg/>
          <w:docGrid w:linePitch="360"/>
        </w:sectPr>
      </w:pPr>
    </w:p>
    <w:p w:rsidR="00AD2242" w:rsidRPr="00206896" w:rsidRDefault="00AD2242" w:rsidP="00AD2242">
      <w:pPr>
        <w:spacing w:line="360" w:lineRule="auto"/>
        <w:rPr>
          <w:rFonts w:ascii="Century Gothic" w:hAnsi="Century Gothic"/>
          <w:b/>
          <w:i/>
        </w:rPr>
      </w:pPr>
      <w:r w:rsidRPr="00206896">
        <w:rPr>
          <w:rFonts w:ascii="Century Gothic" w:hAnsi="Century Gothic"/>
          <w:b/>
          <w:i/>
        </w:rPr>
        <w:lastRenderedPageBreak/>
        <w:t>INDICE</w:t>
      </w:r>
    </w:p>
    <w:p w:rsidR="00AD2242" w:rsidRPr="0035601B" w:rsidRDefault="00AD2242" w:rsidP="00AD2242">
      <w:pPr>
        <w:spacing w:line="360" w:lineRule="auto"/>
        <w:rPr>
          <w:rFonts w:ascii="Century Gothic" w:hAnsi="Century Gothic"/>
          <w:i/>
        </w:rPr>
      </w:pPr>
    </w:p>
    <w:p w:rsidR="00AD2242" w:rsidRPr="00206896" w:rsidRDefault="00AD2242" w:rsidP="00AD2242">
      <w:pPr>
        <w:autoSpaceDE w:val="0"/>
        <w:autoSpaceDN w:val="0"/>
        <w:adjustRightInd w:val="0"/>
        <w:spacing w:line="360" w:lineRule="auto"/>
        <w:jc w:val="both"/>
        <w:rPr>
          <w:rFonts w:ascii="Century Gothic" w:hAnsi="Century Gothic"/>
          <w:b/>
        </w:rPr>
      </w:pPr>
      <w:r w:rsidRPr="00206896">
        <w:rPr>
          <w:rFonts w:ascii="Century Gothic" w:hAnsi="Century Gothic"/>
          <w:b/>
        </w:rPr>
        <w:t>INTRODUZIONE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1</w:t>
      </w:r>
    </w:p>
    <w:p w:rsidR="00AD2242" w:rsidRPr="0035601B" w:rsidRDefault="00AD2242" w:rsidP="00AD2242">
      <w:pPr>
        <w:autoSpaceDE w:val="0"/>
        <w:autoSpaceDN w:val="0"/>
        <w:adjustRightInd w:val="0"/>
        <w:spacing w:line="360" w:lineRule="auto"/>
        <w:jc w:val="both"/>
        <w:rPr>
          <w:rFonts w:ascii="Century Gothic" w:hAnsi="Century Gothic"/>
        </w:rPr>
      </w:pPr>
    </w:p>
    <w:p w:rsidR="00AD2242" w:rsidRPr="00206896" w:rsidRDefault="00AD2242" w:rsidP="00AD2242">
      <w:pPr>
        <w:autoSpaceDE w:val="0"/>
        <w:autoSpaceDN w:val="0"/>
        <w:adjustRightInd w:val="0"/>
        <w:spacing w:line="360" w:lineRule="auto"/>
        <w:jc w:val="both"/>
        <w:rPr>
          <w:rFonts w:ascii="Century Gothic" w:hAnsi="Century Gothic"/>
          <w:b/>
        </w:rPr>
      </w:pPr>
      <w:r w:rsidRPr="00206896">
        <w:rPr>
          <w:rFonts w:ascii="Century Gothic" w:hAnsi="Century Gothic"/>
          <w:b/>
        </w:rPr>
        <w:t>1. METODOLOGIA</w:t>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r>
      <w:r w:rsidR="006C3DDF">
        <w:rPr>
          <w:rFonts w:ascii="Century Gothic" w:hAnsi="Century Gothic"/>
          <w:b/>
        </w:rPr>
        <w:tab/>
        <w:t>2</w:t>
      </w:r>
    </w:p>
    <w:p w:rsidR="00AD2242" w:rsidRPr="0035601B" w:rsidRDefault="00AD2242" w:rsidP="00AD2242">
      <w:pPr>
        <w:spacing w:line="360" w:lineRule="auto"/>
        <w:jc w:val="both"/>
        <w:rPr>
          <w:rFonts w:ascii="Century Gothic" w:hAnsi="Century Gothic" w:cs="Calibri"/>
        </w:rPr>
      </w:pPr>
    </w:p>
    <w:p w:rsidR="00AD2242" w:rsidRPr="00206896" w:rsidRDefault="00AD2242" w:rsidP="00AD2242">
      <w:pPr>
        <w:spacing w:line="360" w:lineRule="auto"/>
        <w:jc w:val="both"/>
        <w:rPr>
          <w:rFonts w:ascii="Century Gothic" w:hAnsi="Century Gothic" w:cs="Calibri"/>
          <w:b/>
        </w:rPr>
      </w:pPr>
      <w:r w:rsidRPr="00206896">
        <w:rPr>
          <w:rFonts w:ascii="Century Gothic" w:hAnsi="Century Gothic" w:cs="Calibri"/>
          <w:b/>
        </w:rPr>
        <w:t>2. I DATI</w:t>
      </w:r>
    </w:p>
    <w:p w:rsidR="00AD2242" w:rsidRDefault="00AD2242" w:rsidP="00AD2242">
      <w:pPr>
        <w:spacing w:line="360" w:lineRule="auto"/>
        <w:ind w:firstLine="709"/>
        <w:jc w:val="both"/>
        <w:rPr>
          <w:rFonts w:ascii="Century Gothic" w:hAnsi="Century Gothic" w:cs="Calibri"/>
        </w:rPr>
      </w:pPr>
      <w:r w:rsidRPr="00206896">
        <w:rPr>
          <w:rFonts w:ascii="Century Gothic" w:hAnsi="Century Gothic" w:cs="Calibri"/>
        </w:rPr>
        <w:t>2.1. Documenti: caratteristiche e tipologie</w:t>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Pr>
          <w:rFonts w:ascii="Century Gothic" w:hAnsi="Century Gothic" w:cs="Calibri"/>
        </w:rPr>
        <w:tab/>
      </w:r>
      <w:r w:rsidR="006C3DDF">
        <w:rPr>
          <w:rFonts w:ascii="Century Gothic" w:hAnsi="Century Gothic" w:cs="Calibri"/>
          <w:b/>
        </w:rPr>
        <w:t>4</w:t>
      </w:r>
    </w:p>
    <w:p w:rsidR="00AD2242" w:rsidRDefault="00AD2242" w:rsidP="00AD2242">
      <w:pPr>
        <w:spacing w:line="360" w:lineRule="auto"/>
        <w:ind w:firstLine="709"/>
        <w:jc w:val="both"/>
        <w:rPr>
          <w:rFonts w:ascii="Century Gothic" w:hAnsi="Century Gothic"/>
          <w:bCs/>
        </w:rPr>
      </w:pPr>
      <w:r>
        <w:rPr>
          <w:rFonts w:ascii="Century Gothic" w:hAnsi="Century Gothic"/>
          <w:bCs/>
        </w:rPr>
        <w:t>2.2. Le piattaforme e le delibere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p>
    <w:p w:rsidR="00AD2242" w:rsidRPr="00206896" w:rsidRDefault="00AD2242" w:rsidP="00AD2242">
      <w:pPr>
        <w:spacing w:line="360" w:lineRule="auto"/>
        <w:ind w:firstLine="709"/>
        <w:jc w:val="both"/>
        <w:rPr>
          <w:rFonts w:ascii="Century Gothic" w:hAnsi="Century Gothic"/>
          <w:bCs/>
        </w:rPr>
      </w:pPr>
      <w:r w:rsidRPr="00206896">
        <w:rPr>
          <w:rFonts w:ascii="Century Gothic" w:hAnsi="Century Gothic"/>
          <w:bCs/>
        </w:rPr>
        <w:t>2.</w:t>
      </w:r>
      <w:r>
        <w:rPr>
          <w:rFonts w:ascii="Century Gothic" w:hAnsi="Century Gothic"/>
          <w:bCs/>
        </w:rPr>
        <w:t>3</w:t>
      </w:r>
      <w:r w:rsidRPr="00206896">
        <w:rPr>
          <w:rFonts w:ascii="Century Gothic" w:hAnsi="Century Gothic"/>
          <w:bCs/>
        </w:rPr>
        <w:t>.</w:t>
      </w:r>
      <w:r>
        <w:rPr>
          <w:rFonts w:ascii="Century Gothic" w:hAnsi="Century Gothic"/>
          <w:bCs/>
        </w:rPr>
        <w:t xml:space="preserve"> </w:t>
      </w:r>
      <w:r w:rsidRPr="00206896">
        <w:rPr>
          <w:rFonts w:ascii="Century Gothic" w:hAnsi="Century Gothic"/>
          <w:bCs/>
        </w:rPr>
        <w:t>Il livello dell’accordo</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p>
    <w:p w:rsidR="00AD2242" w:rsidRPr="00206896" w:rsidRDefault="00AD2242" w:rsidP="00AD2242">
      <w:pPr>
        <w:spacing w:line="360" w:lineRule="auto"/>
        <w:ind w:firstLine="709"/>
        <w:jc w:val="both"/>
        <w:rPr>
          <w:rFonts w:ascii="Century Gothic" w:hAnsi="Century Gothic"/>
        </w:rPr>
      </w:pPr>
      <w:r w:rsidRPr="00206896">
        <w:rPr>
          <w:rFonts w:ascii="Century Gothic" w:hAnsi="Century Gothic"/>
        </w:rPr>
        <w:t>2.</w:t>
      </w:r>
      <w:r>
        <w:rPr>
          <w:rFonts w:ascii="Century Gothic" w:hAnsi="Century Gothic"/>
        </w:rPr>
        <w:t>3</w:t>
      </w:r>
      <w:r w:rsidRPr="00206896">
        <w:rPr>
          <w:rFonts w:ascii="Century Gothic" w:hAnsi="Century Gothic"/>
        </w:rPr>
        <w:t>. La delegazione trattante e i firmatari</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Pr="0035601B" w:rsidRDefault="00AD2242" w:rsidP="00AD2242">
      <w:pPr>
        <w:spacing w:line="360" w:lineRule="auto"/>
        <w:jc w:val="both"/>
        <w:rPr>
          <w:rFonts w:ascii="Century Gothic" w:hAnsi="Century Gothic"/>
        </w:rPr>
      </w:pPr>
    </w:p>
    <w:p w:rsidR="00AD2242" w:rsidRPr="00206896" w:rsidRDefault="00AD2242" w:rsidP="00AD2242">
      <w:pPr>
        <w:spacing w:line="360" w:lineRule="auto"/>
        <w:jc w:val="both"/>
        <w:rPr>
          <w:rFonts w:ascii="Century Gothic" w:hAnsi="Century Gothic"/>
          <w:b/>
        </w:rPr>
      </w:pPr>
      <w:r w:rsidRPr="00206896">
        <w:rPr>
          <w:rFonts w:ascii="Century Gothic" w:hAnsi="Century Gothic"/>
          <w:b/>
        </w:rPr>
        <w:t>3. LA PROPENSIONE CONTRATTUALE IN TOSCANA</w:t>
      </w:r>
    </w:p>
    <w:p w:rsidR="00AD2242" w:rsidRPr="00206896" w:rsidRDefault="00AD2242" w:rsidP="00AD2242">
      <w:pPr>
        <w:spacing w:line="360" w:lineRule="auto"/>
        <w:ind w:firstLine="709"/>
        <w:jc w:val="both"/>
        <w:rPr>
          <w:rFonts w:ascii="Century Gothic" w:hAnsi="Century Gothic"/>
        </w:rPr>
      </w:pPr>
      <w:r w:rsidRPr="00206896">
        <w:rPr>
          <w:rFonts w:ascii="Century Gothic" w:hAnsi="Century Gothic"/>
        </w:rPr>
        <w:t>3.1</w:t>
      </w:r>
      <w:r>
        <w:rPr>
          <w:rFonts w:ascii="Century Gothic" w:hAnsi="Century Gothic"/>
        </w:rPr>
        <w:t>.</w:t>
      </w:r>
      <w:r w:rsidRPr="00206896">
        <w:rPr>
          <w:rFonts w:ascii="Century Gothic" w:hAnsi="Century Gothic"/>
        </w:rPr>
        <w:t xml:space="preserve"> Un quadro complessivo della </w:t>
      </w:r>
      <w:r>
        <w:rPr>
          <w:rFonts w:ascii="Century Gothic" w:hAnsi="Century Gothic"/>
        </w:rPr>
        <w:t>regione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Default="00AD2242" w:rsidP="00AD2242">
      <w:pPr>
        <w:spacing w:line="360" w:lineRule="auto"/>
        <w:ind w:firstLine="709"/>
        <w:jc w:val="both"/>
        <w:rPr>
          <w:rFonts w:ascii="Century Gothic" w:hAnsi="Century Gothic"/>
        </w:rPr>
      </w:pPr>
      <w:r w:rsidRPr="00206896">
        <w:rPr>
          <w:rFonts w:ascii="Century Gothic" w:hAnsi="Century Gothic"/>
        </w:rPr>
        <w:t xml:space="preserve">3.2. La propensione negoziale per numero </w:t>
      </w:r>
    </w:p>
    <w:p w:rsidR="00AD2242" w:rsidRPr="00206896" w:rsidRDefault="00AD2242" w:rsidP="00AD2242">
      <w:pPr>
        <w:spacing w:line="360" w:lineRule="auto"/>
        <w:ind w:firstLine="1077"/>
        <w:jc w:val="both"/>
        <w:rPr>
          <w:rFonts w:ascii="Century Gothic" w:hAnsi="Century Gothic"/>
        </w:rPr>
      </w:pPr>
      <w:r w:rsidRPr="00206896">
        <w:rPr>
          <w:rFonts w:ascii="Century Gothic" w:hAnsi="Century Gothic"/>
        </w:rPr>
        <w:t>di comuni coperti da contrattazione sociale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Default="00AD2242" w:rsidP="00AD2242">
      <w:pPr>
        <w:spacing w:line="360" w:lineRule="auto"/>
        <w:ind w:firstLine="709"/>
        <w:jc w:val="both"/>
        <w:rPr>
          <w:rFonts w:ascii="Century Gothic" w:hAnsi="Century Gothic"/>
        </w:rPr>
      </w:pPr>
      <w:r w:rsidRPr="00206896">
        <w:rPr>
          <w:rFonts w:ascii="Century Gothic" w:hAnsi="Century Gothic"/>
        </w:rPr>
        <w:t xml:space="preserve">3.3. La propensione negoziale per popolazione coperta </w:t>
      </w:r>
    </w:p>
    <w:p w:rsidR="00AD2242" w:rsidRPr="00206896" w:rsidRDefault="00AD2242" w:rsidP="00AD2242">
      <w:pPr>
        <w:spacing w:line="360" w:lineRule="auto"/>
        <w:ind w:firstLine="1077"/>
        <w:jc w:val="both"/>
        <w:rPr>
          <w:rFonts w:ascii="Century Gothic" w:hAnsi="Century Gothic"/>
        </w:rPr>
      </w:pPr>
      <w:r w:rsidRPr="00206896">
        <w:rPr>
          <w:rFonts w:ascii="Century Gothic" w:hAnsi="Century Gothic"/>
        </w:rPr>
        <w:t>da contrattazione sociale nelle province della Toscana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Default="00AD2242" w:rsidP="00AD2242">
      <w:pPr>
        <w:spacing w:line="360" w:lineRule="auto"/>
        <w:ind w:firstLine="709"/>
        <w:jc w:val="both"/>
        <w:rPr>
          <w:rFonts w:ascii="Century Gothic" w:hAnsi="Century Gothic"/>
        </w:rPr>
      </w:pPr>
      <w:r w:rsidRPr="00206896">
        <w:rPr>
          <w:rFonts w:ascii="Century Gothic" w:hAnsi="Century Gothic"/>
        </w:rPr>
        <w:t>3.4</w:t>
      </w:r>
      <w:r>
        <w:rPr>
          <w:rFonts w:ascii="Century Gothic" w:hAnsi="Century Gothic"/>
        </w:rPr>
        <w:t>.</w:t>
      </w:r>
      <w:r w:rsidRPr="00206896">
        <w:rPr>
          <w:rFonts w:ascii="Century Gothic" w:hAnsi="Century Gothic"/>
        </w:rPr>
        <w:t xml:space="preserve"> Percentuali di comuni coperti da accordi  </w:t>
      </w:r>
    </w:p>
    <w:p w:rsidR="00AD2242" w:rsidRPr="00206896" w:rsidRDefault="00AD2242" w:rsidP="00AD2242">
      <w:pPr>
        <w:spacing w:line="360" w:lineRule="auto"/>
        <w:ind w:firstLine="1077"/>
        <w:jc w:val="both"/>
        <w:rPr>
          <w:rFonts w:ascii="Century Gothic" w:hAnsi="Century Gothic"/>
        </w:rPr>
      </w:pPr>
      <w:r w:rsidRPr="00206896">
        <w:rPr>
          <w:rFonts w:ascii="Century Gothic" w:hAnsi="Century Gothic"/>
        </w:rPr>
        <w:t>per classi di ampiezza demografica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Default="00AD2242" w:rsidP="00AD2242">
      <w:pPr>
        <w:spacing w:line="360" w:lineRule="auto"/>
        <w:ind w:firstLine="709"/>
        <w:jc w:val="both"/>
        <w:rPr>
          <w:rFonts w:ascii="Century Gothic" w:hAnsi="Century Gothic"/>
        </w:rPr>
      </w:pPr>
      <w:r w:rsidRPr="00206896">
        <w:rPr>
          <w:rFonts w:ascii="Century Gothic" w:hAnsi="Century Gothic"/>
        </w:rPr>
        <w:t>3.5</w:t>
      </w:r>
      <w:r>
        <w:rPr>
          <w:rFonts w:ascii="Century Gothic" w:hAnsi="Century Gothic"/>
        </w:rPr>
        <w:t>.</w:t>
      </w:r>
      <w:r w:rsidRPr="00206896">
        <w:rPr>
          <w:rFonts w:ascii="Century Gothic" w:hAnsi="Century Gothic"/>
        </w:rPr>
        <w:t xml:space="preserve"> Una panoramica dei territori</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Default="00AD2242" w:rsidP="00AD2242">
      <w:pPr>
        <w:spacing w:line="360" w:lineRule="auto"/>
        <w:jc w:val="both"/>
        <w:rPr>
          <w:rFonts w:ascii="Century Gothic" w:hAnsi="Century Gothic"/>
        </w:rPr>
      </w:pPr>
    </w:p>
    <w:p w:rsidR="00AD2242" w:rsidRPr="00206896" w:rsidRDefault="00AD2242" w:rsidP="00AD2242">
      <w:pPr>
        <w:spacing w:line="360" w:lineRule="auto"/>
        <w:jc w:val="both"/>
        <w:rPr>
          <w:rFonts w:ascii="Century Gothic" w:hAnsi="Century Gothic"/>
          <w:b/>
        </w:rPr>
      </w:pPr>
      <w:r w:rsidRPr="00206896">
        <w:rPr>
          <w:rFonts w:ascii="Century Gothic" w:hAnsi="Century Gothic"/>
          <w:b/>
        </w:rPr>
        <w:t>4. L’ANALISI DELLE AREE TEMATICHE NEGOZIALI</w:t>
      </w:r>
    </w:p>
    <w:p w:rsidR="00AD2242" w:rsidRPr="00206896" w:rsidRDefault="00AD2242" w:rsidP="00AD2242">
      <w:pPr>
        <w:spacing w:line="360" w:lineRule="auto"/>
        <w:ind w:firstLine="709"/>
        <w:jc w:val="both"/>
        <w:rPr>
          <w:rFonts w:ascii="Century Gothic" w:hAnsi="Century Gothic"/>
        </w:rPr>
      </w:pPr>
      <w:r w:rsidRPr="00206896">
        <w:rPr>
          <w:rFonts w:ascii="Century Gothic" w:hAnsi="Century Gothic"/>
        </w:rPr>
        <w:t>4.1 Gli argomenti oggetto di contrattazione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Pr="00206896" w:rsidRDefault="00AD2242" w:rsidP="00AD2242">
      <w:pPr>
        <w:spacing w:line="360" w:lineRule="auto"/>
        <w:ind w:firstLine="709"/>
        <w:jc w:val="both"/>
        <w:rPr>
          <w:rFonts w:ascii="Century Gothic" w:hAnsi="Century Gothic"/>
        </w:rPr>
      </w:pPr>
      <w:r w:rsidRPr="00206896">
        <w:rPr>
          <w:rFonts w:ascii="Century Gothic" w:hAnsi="Century Gothic"/>
        </w:rPr>
        <w:t>4.2. Esame delle aree tematiche negoziali</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D2242" w:rsidRPr="0035601B" w:rsidRDefault="00AD2242" w:rsidP="00AD2242">
      <w:pPr>
        <w:spacing w:line="360" w:lineRule="auto"/>
        <w:jc w:val="both"/>
        <w:rPr>
          <w:rFonts w:ascii="Century Gothic" w:hAnsi="Century Gothic"/>
          <w:b/>
        </w:rPr>
      </w:pPr>
    </w:p>
    <w:p w:rsidR="00AD2242" w:rsidRPr="0035601B" w:rsidRDefault="00AD2242" w:rsidP="00AD2242">
      <w:pPr>
        <w:spacing w:line="360" w:lineRule="auto"/>
        <w:jc w:val="both"/>
        <w:rPr>
          <w:rFonts w:ascii="Century Gothic" w:hAnsi="Century Gothic"/>
        </w:rPr>
      </w:pPr>
      <w:r>
        <w:rPr>
          <w:rFonts w:ascii="Century Gothic" w:hAnsi="Century Gothic"/>
          <w:b/>
        </w:rPr>
        <w:t>CONCLUSIONI</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AD2242" w:rsidRDefault="00AD2242" w:rsidP="00AD2242">
      <w:pPr>
        <w:spacing w:line="360" w:lineRule="auto"/>
        <w:jc w:val="both"/>
        <w:rPr>
          <w:rFonts w:ascii="Century Gothic" w:hAnsi="Century Gothic"/>
        </w:rPr>
      </w:pPr>
    </w:p>
    <w:p w:rsidR="00AD2242" w:rsidRDefault="00AD2242" w:rsidP="00AD2242">
      <w:pPr>
        <w:spacing w:line="360" w:lineRule="auto"/>
        <w:jc w:val="both"/>
        <w:rPr>
          <w:rFonts w:ascii="Century Gothic" w:hAnsi="Century Gothic"/>
          <w:b/>
        </w:rPr>
      </w:pPr>
      <w:r w:rsidRPr="00A379E5">
        <w:rPr>
          <w:rFonts w:ascii="Century Gothic" w:hAnsi="Century Gothic"/>
          <w:b/>
        </w:rPr>
        <w:t>BIBLIOGRAFIA ESSENZIALE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AD2242" w:rsidRPr="00A379E5" w:rsidRDefault="00AD2242" w:rsidP="00AD2242">
      <w:pPr>
        <w:spacing w:line="360" w:lineRule="auto"/>
        <w:jc w:val="both"/>
        <w:rPr>
          <w:rFonts w:ascii="Century Gothic" w:hAnsi="Century Gothic"/>
          <w:b/>
        </w:rPr>
      </w:pPr>
      <w:r>
        <w:rPr>
          <w:rFonts w:ascii="Century Gothic" w:hAnsi="Century Gothic"/>
          <w:b/>
        </w:rPr>
        <w:t>APPENDICE QUANTITATIVA</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8838C0" w:rsidRDefault="008838C0">
      <w:pPr>
        <w:rPr>
          <w:rFonts w:ascii="Century Gothic" w:hAnsi="Century Gothic"/>
          <w:b/>
          <w:sz w:val="28"/>
          <w:szCs w:val="28"/>
        </w:rPr>
      </w:pPr>
      <w:r>
        <w:rPr>
          <w:rFonts w:ascii="Century Gothic" w:hAnsi="Century Gothic"/>
          <w:b/>
          <w:sz w:val="28"/>
          <w:szCs w:val="28"/>
        </w:rPr>
        <w:br w:type="page"/>
      </w:r>
    </w:p>
    <w:p w:rsidR="00D756C5" w:rsidRPr="00E221AE" w:rsidRDefault="00D756C5" w:rsidP="00D756C5">
      <w:pPr>
        <w:autoSpaceDE w:val="0"/>
        <w:autoSpaceDN w:val="0"/>
        <w:adjustRightInd w:val="0"/>
        <w:spacing w:line="240" w:lineRule="auto"/>
        <w:rPr>
          <w:rFonts w:ascii="Century Gothic" w:hAnsi="Century Gothic"/>
          <w:b/>
          <w:sz w:val="28"/>
          <w:szCs w:val="28"/>
        </w:rPr>
      </w:pPr>
      <w:r>
        <w:rPr>
          <w:rFonts w:ascii="Century Gothic" w:hAnsi="Century Gothic"/>
          <w:b/>
          <w:sz w:val="28"/>
          <w:szCs w:val="28"/>
        </w:rPr>
        <w:lastRenderedPageBreak/>
        <w:t>INTRODUZIONE</w:t>
      </w:r>
    </w:p>
    <w:p w:rsidR="00D756C5" w:rsidRPr="0035601B" w:rsidRDefault="00D756C5" w:rsidP="00D756C5">
      <w:pPr>
        <w:autoSpaceDE w:val="0"/>
        <w:autoSpaceDN w:val="0"/>
        <w:adjustRightInd w:val="0"/>
        <w:spacing w:line="240" w:lineRule="auto"/>
        <w:rPr>
          <w:rFonts w:ascii="Century Gothic" w:hAnsi="Century Gothic"/>
          <w:b/>
        </w:rPr>
      </w:pPr>
    </w:p>
    <w:p w:rsidR="00D756C5" w:rsidRDefault="00D756C5" w:rsidP="00D756C5">
      <w:pPr>
        <w:jc w:val="both"/>
        <w:rPr>
          <w:rFonts w:ascii="Century Gothic" w:hAnsi="Century Gothic"/>
        </w:rPr>
      </w:pPr>
      <w:r w:rsidRPr="001168CC">
        <w:rPr>
          <w:rFonts w:ascii="Century Gothic" w:hAnsi="Century Gothic"/>
        </w:rPr>
        <w:t xml:space="preserve">Questo </w:t>
      </w:r>
      <w:r w:rsidR="002A2023">
        <w:rPr>
          <w:rFonts w:ascii="Century Gothic" w:hAnsi="Century Gothic"/>
        </w:rPr>
        <w:t>sesto</w:t>
      </w:r>
      <w:r w:rsidRPr="001168CC">
        <w:rPr>
          <w:rFonts w:ascii="Century Gothic" w:hAnsi="Century Gothic"/>
        </w:rPr>
        <w:t xml:space="preserve"> rapporto sulla contrattazione </w:t>
      </w:r>
      <w:r>
        <w:rPr>
          <w:rFonts w:ascii="Century Gothic" w:hAnsi="Century Gothic"/>
        </w:rPr>
        <w:t xml:space="preserve">sociale </w:t>
      </w:r>
      <w:r w:rsidRPr="001168CC">
        <w:rPr>
          <w:rFonts w:ascii="Century Gothic" w:hAnsi="Century Gothic"/>
        </w:rPr>
        <w:t xml:space="preserve">territoriale </w:t>
      </w:r>
      <w:r>
        <w:rPr>
          <w:rFonts w:ascii="Century Gothic" w:hAnsi="Century Gothic"/>
        </w:rPr>
        <w:t>i</w:t>
      </w:r>
      <w:r w:rsidRPr="001168CC">
        <w:rPr>
          <w:rFonts w:ascii="Century Gothic" w:hAnsi="Century Gothic"/>
        </w:rPr>
        <w:t xml:space="preserve">n </w:t>
      </w:r>
      <w:r>
        <w:rPr>
          <w:rFonts w:ascii="Century Gothic" w:hAnsi="Century Gothic"/>
        </w:rPr>
        <w:t>T</w:t>
      </w:r>
      <w:r w:rsidRPr="001168CC">
        <w:rPr>
          <w:rFonts w:ascii="Century Gothic" w:hAnsi="Century Gothic"/>
        </w:rPr>
        <w:t xml:space="preserve">oscana </w:t>
      </w:r>
      <w:r>
        <w:rPr>
          <w:rFonts w:ascii="Century Gothic" w:hAnsi="Century Gothic"/>
        </w:rPr>
        <w:t>riprende, in buona parte, l’articolazione dei precedenti rapporti</w:t>
      </w:r>
      <w:r w:rsidR="00445101">
        <w:rPr>
          <w:rFonts w:ascii="Century Gothic" w:hAnsi="Century Gothic"/>
        </w:rPr>
        <w:t xml:space="preserve">, in particolare </w:t>
      </w:r>
      <w:r w:rsidR="002A2023">
        <w:rPr>
          <w:rFonts w:ascii="Century Gothic" w:hAnsi="Century Gothic"/>
        </w:rPr>
        <w:t xml:space="preserve">a patire da </w:t>
      </w:r>
      <w:r w:rsidR="00445101">
        <w:rPr>
          <w:rFonts w:ascii="Century Gothic" w:hAnsi="Century Gothic"/>
        </w:rPr>
        <w:t>quello del 2014</w:t>
      </w:r>
      <w:r>
        <w:rPr>
          <w:rFonts w:ascii="Century Gothic" w:hAnsi="Century Gothic"/>
        </w:rPr>
        <w:t xml:space="preserve">. Dal 2011 viene, infatti, effettuato un esame della contrattazione sociale territoriale in Toscana, </w:t>
      </w:r>
      <w:r w:rsidR="00D72D0C">
        <w:rPr>
          <w:rFonts w:ascii="Century Gothic" w:hAnsi="Century Gothic"/>
        </w:rPr>
        <w:t>in</w:t>
      </w:r>
      <w:r>
        <w:rPr>
          <w:rFonts w:ascii="Century Gothic" w:hAnsi="Century Gothic"/>
        </w:rPr>
        <w:t xml:space="preserve"> armonia con </w:t>
      </w:r>
      <w:r w:rsidR="00D72D0C">
        <w:rPr>
          <w:rFonts w:ascii="Century Gothic" w:hAnsi="Century Gothic"/>
        </w:rPr>
        <w:t>la classificazione del</w:t>
      </w:r>
      <w:r>
        <w:rPr>
          <w:rFonts w:ascii="Century Gothic" w:hAnsi="Century Gothic"/>
        </w:rPr>
        <w:t xml:space="preserve">l’Osservatorio nazionale della contrattazione sociale. La </w:t>
      </w:r>
      <w:r w:rsidRPr="00FC7C67">
        <w:rPr>
          <w:rFonts w:ascii="Century Gothic" w:hAnsi="Century Gothic"/>
        </w:rPr>
        <w:t xml:space="preserve">contrattazione sociale, </w:t>
      </w:r>
      <w:r w:rsidRPr="008B3815">
        <w:rPr>
          <w:rFonts w:ascii="Century Gothic" w:hAnsi="Century Gothic"/>
        </w:rPr>
        <w:t>che all’inizio aveva</w:t>
      </w:r>
      <w:r w:rsidRPr="00FC7C67">
        <w:rPr>
          <w:rFonts w:ascii="Century Gothic" w:hAnsi="Century Gothic"/>
        </w:rPr>
        <w:t xml:space="preserve"> un ruolo secondario rispetto alla tradizionale contrattazione aziendale, assume un’importanza crescente </w:t>
      </w:r>
      <w:r>
        <w:rPr>
          <w:rFonts w:ascii="Century Gothic" w:hAnsi="Century Gothic"/>
        </w:rPr>
        <w:t>in un contesto di persistenza della crisi</w:t>
      </w:r>
      <w:r w:rsidR="00445101">
        <w:rPr>
          <w:rFonts w:ascii="Century Gothic" w:hAnsi="Century Gothic"/>
        </w:rPr>
        <w:t>,</w:t>
      </w:r>
      <w:r>
        <w:rPr>
          <w:rFonts w:ascii="Century Gothic" w:hAnsi="Century Gothic"/>
        </w:rPr>
        <w:t xml:space="preserve"> </w:t>
      </w:r>
      <w:r w:rsidRPr="007E15BC">
        <w:rPr>
          <w:rFonts w:ascii="Century Gothic" w:hAnsi="Century Gothic"/>
        </w:rPr>
        <w:t>con il conseguente aumento della disoccupazione e della richiesta di politiche sociali.</w:t>
      </w:r>
      <w:r w:rsidR="000B61EB">
        <w:rPr>
          <w:rFonts w:ascii="Century Gothic" w:hAnsi="Century Gothic"/>
        </w:rPr>
        <w:t xml:space="preserve"> </w:t>
      </w:r>
    </w:p>
    <w:p w:rsidR="00D756C5" w:rsidRDefault="00D756C5" w:rsidP="00D756C5">
      <w:pPr>
        <w:jc w:val="both"/>
        <w:rPr>
          <w:rFonts w:ascii="Century Gothic" w:hAnsi="Century Gothic"/>
        </w:rPr>
      </w:pPr>
      <w:r>
        <w:rPr>
          <w:rFonts w:ascii="Century Gothic" w:hAnsi="Century Gothic"/>
        </w:rPr>
        <w:t xml:space="preserve">Nel primo capitolo è descritta la metodologia adottata </w:t>
      </w:r>
      <w:r w:rsidR="00D72D0C">
        <w:rPr>
          <w:rFonts w:ascii="Century Gothic" w:hAnsi="Century Gothic"/>
        </w:rPr>
        <w:t>con l’esposizione del</w:t>
      </w:r>
      <w:r>
        <w:rPr>
          <w:rFonts w:ascii="Century Gothic" w:hAnsi="Century Gothic"/>
        </w:rPr>
        <w:t xml:space="preserve">la classificazione e </w:t>
      </w:r>
      <w:r w:rsidR="00D72D0C">
        <w:rPr>
          <w:rFonts w:ascii="Century Gothic" w:hAnsi="Century Gothic"/>
        </w:rPr>
        <w:t xml:space="preserve">della </w:t>
      </w:r>
      <w:r>
        <w:rPr>
          <w:rFonts w:ascii="Century Gothic" w:hAnsi="Century Gothic"/>
        </w:rPr>
        <w:t xml:space="preserve">definizione dei documenti raccolti (piattaforme, accordi, delibere) al fine della comprensione della consequenzialità del processo negoziale. </w:t>
      </w:r>
    </w:p>
    <w:p w:rsidR="00D756C5" w:rsidRDefault="00D756C5" w:rsidP="00D756C5">
      <w:pPr>
        <w:jc w:val="both"/>
        <w:rPr>
          <w:rFonts w:ascii="Century Gothic" w:hAnsi="Century Gothic"/>
        </w:rPr>
      </w:pPr>
      <w:r>
        <w:rPr>
          <w:rFonts w:ascii="Century Gothic" w:hAnsi="Century Gothic"/>
        </w:rPr>
        <w:t>Il secondo capitolo tratta della tipologia e delle caratteristiche della documentazione raccolta nell’anno 201</w:t>
      </w:r>
      <w:r w:rsidR="00D72D0C">
        <w:rPr>
          <w:rFonts w:ascii="Century Gothic" w:hAnsi="Century Gothic"/>
        </w:rPr>
        <w:t>6</w:t>
      </w:r>
      <w:r>
        <w:rPr>
          <w:rFonts w:ascii="Century Gothic" w:hAnsi="Century Gothic"/>
        </w:rPr>
        <w:t xml:space="preserve">, confrontandola con gli anni precedenti. Dopo un esame delle piattaforme e delle delibere, ci si sofferma sui diversi livelli dell’accordo (dal regionale al comunale) e sulla composizione della delegazione trattante e dei firmatari degli accordi comunali e intercomunali, che costituiscono la parte centrale della contrattazione sociale. </w:t>
      </w:r>
    </w:p>
    <w:p w:rsidR="00D756C5" w:rsidRDefault="00D756C5" w:rsidP="00D756C5">
      <w:pPr>
        <w:jc w:val="both"/>
        <w:rPr>
          <w:rFonts w:ascii="Century Gothic" w:hAnsi="Century Gothic"/>
        </w:rPr>
      </w:pPr>
      <w:r>
        <w:rPr>
          <w:rFonts w:ascii="Century Gothic" w:hAnsi="Century Gothic"/>
        </w:rPr>
        <w:t>Il terzo capitolo riguarda la propensione contrattuale in Toscana, quindi esamina, sulla base di elaborazioni statistiche, il numero di comuni e la percentuale di popolazione coperti da contrattazione sociale, sempre nell’ottica di un confronto con gli anni precedenti, in particolare con il 201</w:t>
      </w:r>
      <w:r w:rsidR="00D72D0C">
        <w:rPr>
          <w:rFonts w:ascii="Century Gothic" w:hAnsi="Century Gothic"/>
        </w:rPr>
        <w:t>5</w:t>
      </w:r>
      <w:r>
        <w:rPr>
          <w:rFonts w:ascii="Century Gothic" w:hAnsi="Century Gothic"/>
        </w:rPr>
        <w:t xml:space="preserve">. Viene, inoltre, fornita una panoramica delle caratteristiche della contrattazione nelle varie province. </w:t>
      </w:r>
    </w:p>
    <w:p w:rsidR="00D756C5" w:rsidRDefault="00D756C5" w:rsidP="00D756C5">
      <w:pPr>
        <w:jc w:val="both"/>
        <w:rPr>
          <w:rFonts w:ascii="Century Gothic" w:hAnsi="Century Gothic"/>
        </w:rPr>
      </w:pPr>
      <w:r>
        <w:rPr>
          <w:rFonts w:ascii="Century Gothic" w:hAnsi="Century Gothic"/>
        </w:rPr>
        <w:t>Il quarto capitolo è dedicato all’analisi delle aree tematiche negoziali. Prendendo come riferimento la classificazione</w:t>
      </w:r>
      <w:r w:rsidRPr="00982B3E">
        <w:rPr>
          <w:rFonts w:ascii="Century Gothic" w:hAnsi="Century Gothic"/>
        </w:rPr>
        <w:t xml:space="preserve"> dell’albero logico adottato a livello nazionale</w:t>
      </w:r>
      <w:r>
        <w:rPr>
          <w:rFonts w:ascii="Century Gothic" w:hAnsi="Century Gothic"/>
        </w:rPr>
        <w:t>, viene presentata una panoramica dei principali argomenti trattati nelle intese stipulate con le amministrazioni comunali nel corso del 201</w:t>
      </w:r>
      <w:r w:rsidR="00D72D0C">
        <w:rPr>
          <w:rFonts w:ascii="Century Gothic" w:hAnsi="Century Gothic"/>
        </w:rPr>
        <w:t>6</w:t>
      </w:r>
      <w:r>
        <w:rPr>
          <w:rFonts w:ascii="Century Gothic" w:hAnsi="Century Gothic"/>
        </w:rPr>
        <w:t>.</w:t>
      </w:r>
      <w:r w:rsidR="00797C50">
        <w:rPr>
          <w:rFonts w:ascii="Century Gothic" w:hAnsi="Century Gothic"/>
        </w:rPr>
        <w:t xml:space="preserve"> </w:t>
      </w:r>
    </w:p>
    <w:p w:rsidR="00D756C5" w:rsidRDefault="00D756C5" w:rsidP="00D756C5">
      <w:pPr>
        <w:jc w:val="both"/>
        <w:rPr>
          <w:rFonts w:ascii="Century Gothic" w:hAnsi="Century Gothic"/>
        </w:rPr>
      </w:pPr>
      <w:r>
        <w:rPr>
          <w:rFonts w:ascii="Century Gothic" w:hAnsi="Century Gothic"/>
        </w:rPr>
        <w:t xml:space="preserve">Nelle conclusioni è fornito un quadro dei tratti </w:t>
      </w:r>
      <w:r w:rsidRPr="007E15BC">
        <w:rPr>
          <w:rFonts w:ascii="Century Gothic" w:hAnsi="Century Gothic"/>
        </w:rPr>
        <w:t>distintivi</w:t>
      </w:r>
      <w:r>
        <w:rPr>
          <w:rFonts w:ascii="Century Gothic" w:hAnsi="Century Gothic"/>
        </w:rPr>
        <w:t xml:space="preserve"> della contrattazione sociale nel 201</w:t>
      </w:r>
      <w:r w:rsidR="00D72D0C">
        <w:rPr>
          <w:rFonts w:ascii="Century Gothic" w:hAnsi="Century Gothic"/>
        </w:rPr>
        <w:t>6</w:t>
      </w:r>
      <w:r>
        <w:rPr>
          <w:rFonts w:ascii="Century Gothic" w:hAnsi="Century Gothic"/>
        </w:rPr>
        <w:t>, che emergono dall’analisi dei precedenti capitoli.</w:t>
      </w:r>
    </w:p>
    <w:p w:rsidR="00D756C5" w:rsidRDefault="00D756C5">
      <w:pPr>
        <w:rPr>
          <w:rFonts w:ascii="Century Gothic" w:hAnsi="Century Gothic"/>
          <w:b/>
          <w:sz w:val="28"/>
          <w:szCs w:val="28"/>
        </w:rPr>
      </w:pPr>
      <w:r>
        <w:rPr>
          <w:rFonts w:ascii="Century Gothic" w:hAnsi="Century Gothic"/>
          <w:b/>
          <w:sz w:val="28"/>
          <w:szCs w:val="28"/>
        </w:rPr>
        <w:br w:type="page"/>
      </w:r>
    </w:p>
    <w:p w:rsidR="00D61A80" w:rsidRPr="00C95BF6" w:rsidRDefault="00D61A80" w:rsidP="00DC64C9">
      <w:pPr>
        <w:pStyle w:val="Paragrafoelenco"/>
        <w:numPr>
          <w:ilvl w:val="0"/>
          <w:numId w:val="12"/>
        </w:numPr>
        <w:autoSpaceDE w:val="0"/>
        <w:autoSpaceDN w:val="0"/>
        <w:adjustRightInd w:val="0"/>
        <w:spacing w:line="240" w:lineRule="auto"/>
        <w:ind w:left="357" w:hanging="357"/>
        <w:jc w:val="both"/>
        <w:rPr>
          <w:rFonts w:ascii="Century Gothic" w:hAnsi="Century Gothic"/>
          <w:b/>
          <w:sz w:val="28"/>
          <w:szCs w:val="28"/>
        </w:rPr>
      </w:pPr>
      <w:r w:rsidRPr="00C95BF6">
        <w:rPr>
          <w:rFonts w:ascii="Century Gothic" w:hAnsi="Century Gothic"/>
          <w:b/>
          <w:sz w:val="28"/>
          <w:szCs w:val="28"/>
        </w:rPr>
        <w:lastRenderedPageBreak/>
        <w:t>METODOLOGIA</w:t>
      </w:r>
    </w:p>
    <w:p w:rsidR="00C95BF6" w:rsidRPr="00C95BF6" w:rsidRDefault="00C95BF6" w:rsidP="00C95BF6">
      <w:pPr>
        <w:autoSpaceDE w:val="0"/>
        <w:autoSpaceDN w:val="0"/>
        <w:adjustRightInd w:val="0"/>
        <w:spacing w:line="240" w:lineRule="auto"/>
        <w:ind w:left="360"/>
        <w:jc w:val="both"/>
        <w:rPr>
          <w:rFonts w:ascii="Century Gothic" w:hAnsi="Century Gothic"/>
          <w:b/>
          <w:sz w:val="28"/>
          <w:szCs w:val="28"/>
        </w:rPr>
      </w:pPr>
    </w:p>
    <w:p w:rsidR="00D61A80" w:rsidRDefault="00D61A80" w:rsidP="00D61A80">
      <w:pPr>
        <w:jc w:val="both"/>
        <w:rPr>
          <w:rFonts w:ascii="Century Gothic" w:hAnsi="Century Gothic"/>
        </w:rPr>
      </w:pPr>
      <w:r w:rsidRPr="001168CC">
        <w:rPr>
          <w:rFonts w:ascii="Century Gothic" w:hAnsi="Century Gothic"/>
        </w:rPr>
        <w:t xml:space="preserve">Questo </w:t>
      </w:r>
      <w:r w:rsidR="00C95BF6">
        <w:rPr>
          <w:rFonts w:ascii="Century Gothic" w:hAnsi="Century Gothic"/>
        </w:rPr>
        <w:t>sesto</w:t>
      </w:r>
      <w:r w:rsidRPr="001168CC">
        <w:rPr>
          <w:rFonts w:ascii="Century Gothic" w:hAnsi="Century Gothic"/>
        </w:rPr>
        <w:t xml:space="preserve"> rapporto sulla contrattazione </w:t>
      </w:r>
      <w:r>
        <w:rPr>
          <w:rFonts w:ascii="Century Gothic" w:hAnsi="Century Gothic"/>
        </w:rPr>
        <w:t xml:space="preserve">sociale </w:t>
      </w:r>
      <w:r w:rsidRPr="001168CC">
        <w:rPr>
          <w:rFonts w:ascii="Century Gothic" w:hAnsi="Century Gothic"/>
        </w:rPr>
        <w:t xml:space="preserve">territoriale in </w:t>
      </w:r>
      <w:r>
        <w:rPr>
          <w:rFonts w:ascii="Century Gothic" w:hAnsi="Century Gothic"/>
        </w:rPr>
        <w:t>T</w:t>
      </w:r>
      <w:r w:rsidRPr="001168CC">
        <w:rPr>
          <w:rFonts w:ascii="Century Gothic" w:hAnsi="Century Gothic"/>
        </w:rPr>
        <w:t>oscana analizza</w:t>
      </w:r>
      <w:r>
        <w:rPr>
          <w:rFonts w:ascii="Century Gothic" w:hAnsi="Century Gothic"/>
          <w:i/>
        </w:rPr>
        <w:t xml:space="preserve"> </w:t>
      </w:r>
      <w:r w:rsidRPr="0035601B">
        <w:rPr>
          <w:rFonts w:ascii="Century Gothic" w:hAnsi="Century Gothic"/>
        </w:rPr>
        <w:t>i documenti di contrattazion</w:t>
      </w:r>
      <w:r>
        <w:rPr>
          <w:rFonts w:ascii="Century Gothic" w:hAnsi="Century Gothic"/>
        </w:rPr>
        <w:t xml:space="preserve">e territoriale siglati </w:t>
      </w:r>
      <w:r w:rsidRPr="0035601B">
        <w:rPr>
          <w:rFonts w:ascii="Century Gothic" w:hAnsi="Century Gothic"/>
        </w:rPr>
        <w:t xml:space="preserve">dalle delegazioni sindacali </w:t>
      </w:r>
      <w:r>
        <w:rPr>
          <w:rFonts w:ascii="Century Gothic" w:hAnsi="Century Gothic"/>
        </w:rPr>
        <w:t>d</w:t>
      </w:r>
      <w:r w:rsidRPr="0035601B">
        <w:rPr>
          <w:rFonts w:ascii="Century Gothic" w:hAnsi="Century Gothic"/>
        </w:rPr>
        <w:t>a un lato (Confederazione, Sindacato dei Pensionati o altre categorie</w:t>
      </w:r>
      <w:r>
        <w:rPr>
          <w:rFonts w:ascii="Century Gothic" w:hAnsi="Century Gothic"/>
        </w:rPr>
        <w:t>)</w:t>
      </w:r>
      <w:r w:rsidRPr="0035601B">
        <w:rPr>
          <w:rFonts w:ascii="Century Gothic" w:hAnsi="Century Gothic"/>
        </w:rPr>
        <w:t xml:space="preserve"> e interlocutori istituzionali dall’altro (prevalentemente enti locali in forma singola o associata, comuni, unioni di comuni, ma anche Socie</w:t>
      </w:r>
      <w:r>
        <w:rPr>
          <w:rFonts w:ascii="Century Gothic" w:hAnsi="Century Gothic"/>
        </w:rPr>
        <w:t>tà della Salute, Asl e Regione) nel territorio regionale toscano nel corso del 201</w:t>
      </w:r>
      <w:r w:rsidR="00C95BF6">
        <w:rPr>
          <w:rFonts w:ascii="Century Gothic" w:hAnsi="Century Gothic"/>
        </w:rPr>
        <w:t>6</w:t>
      </w:r>
      <w:r>
        <w:rPr>
          <w:rFonts w:ascii="Century Gothic" w:hAnsi="Century Gothic"/>
        </w:rPr>
        <w:t xml:space="preserve">. La metodologia è simile a quella degli anni precedenti, in particolare </w:t>
      </w:r>
      <w:r w:rsidR="00B75B06">
        <w:rPr>
          <w:rFonts w:ascii="Century Gothic" w:hAnsi="Century Gothic"/>
        </w:rPr>
        <w:t>a partire dal</w:t>
      </w:r>
      <w:r>
        <w:rPr>
          <w:rFonts w:ascii="Century Gothic" w:hAnsi="Century Gothic"/>
        </w:rPr>
        <w:t xml:space="preserve"> 2013. Infatti </w:t>
      </w:r>
      <w:r w:rsidR="00B75B06">
        <w:rPr>
          <w:rFonts w:ascii="Century Gothic" w:hAnsi="Century Gothic"/>
        </w:rPr>
        <w:t>dal</w:t>
      </w:r>
      <w:r>
        <w:rPr>
          <w:rFonts w:ascii="Century Gothic" w:hAnsi="Century Gothic"/>
        </w:rPr>
        <w:t xml:space="preserve"> 2013, </w:t>
      </w:r>
      <w:r w:rsidR="00B75B06">
        <w:rPr>
          <w:rFonts w:ascii="Century Gothic" w:hAnsi="Century Gothic"/>
        </w:rPr>
        <w:t xml:space="preserve">si prende come riferimento </w:t>
      </w:r>
      <w:r>
        <w:rPr>
          <w:rFonts w:ascii="Century Gothic" w:hAnsi="Century Gothic"/>
        </w:rPr>
        <w:t>l</w:t>
      </w:r>
      <w:r w:rsidR="00B75B06">
        <w:rPr>
          <w:rFonts w:ascii="Century Gothic" w:hAnsi="Century Gothic"/>
        </w:rPr>
        <w:t>’</w:t>
      </w:r>
      <w:r>
        <w:rPr>
          <w:rFonts w:ascii="Century Gothic" w:hAnsi="Century Gothic"/>
        </w:rPr>
        <w:t xml:space="preserve">anno solare e i </w:t>
      </w:r>
      <w:r w:rsidRPr="0062358F">
        <w:rPr>
          <w:rFonts w:ascii="Century Gothic" w:hAnsi="Century Gothic"/>
        </w:rPr>
        <w:t xml:space="preserve">documenti analizzati </w:t>
      </w:r>
      <w:r w:rsidR="002E76A9">
        <w:rPr>
          <w:rFonts w:ascii="Century Gothic" w:hAnsi="Century Gothic"/>
        </w:rPr>
        <w:t>in questo rapporto afferiscono</w:t>
      </w:r>
      <w:r w:rsidR="00B75B06">
        <w:rPr>
          <w:rFonts w:ascii="Century Gothic" w:hAnsi="Century Gothic"/>
        </w:rPr>
        <w:t xml:space="preserve"> principalmente </w:t>
      </w:r>
      <w:r w:rsidR="002E76A9">
        <w:rPr>
          <w:rFonts w:ascii="Century Gothic" w:hAnsi="Century Gothic"/>
        </w:rPr>
        <w:t>a</w:t>
      </w:r>
      <w:r w:rsidR="00B75B06">
        <w:rPr>
          <w:rFonts w:ascii="Century Gothic" w:hAnsi="Century Gothic"/>
        </w:rPr>
        <w:t>l 201</w:t>
      </w:r>
      <w:r w:rsidR="00C95BF6">
        <w:rPr>
          <w:rFonts w:ascii="Century Gothic" w:hAnsi="Century Gothic"/>
        </w:rPr>
        <w:t>6</w:t>
      </w:r>
      <w:r>
        <w:rPr>
          <w:rFonts w:ascii="Century Gothic" w:hAnsi="Century Gothic"/>
        </w:rPr>
        <w:t xml:space="preserve">. </w:t>
      </w:r>
      <w:r w:rsidR="00B75B06">
        <w:rPr>
          <w:rFonts w:ascii="Century Gothic" w:hAnsi="Century Gothic"/>
        </w:rPr>
        <w:t>Sono presenti anche degli accordi siglati alla fine del 201</w:t>
      </w:r>
      <w:r w:rsidR="00C95BF6">
        <w:rPr>
          <w:rFonts w:ascii="Century Gothic" w:hAnsi="Century Gothic"/>
        </w:rPr>
        <w:t>5</w:t>
      </w:r>
      <w:r w:rsidR="00B75B06">
        <w:rPr>
          <w:rFonts w:ascii="Century Gothic" w:hAnsi="Century Gothic"/>
        </w:rPr>
        <w:t>, che, quindi, riguardano i bilanci preventivi 201</w:t>
      </w:r>
      <w:r w:rsidR="00C95BF6">
        <w:rPr>
          <w:rFonts w:ascii="Century Gothic" w:hAnsi="Century Gothic"/>
        </w:rPr>
        <w:t>6</w:t>
      </w:r>
      <w:r w:rsidR="00B75B06">
        <w:rPr>
          <w:rFonts w:ascii="Century Gothic" w:hAnsi="Century Gothic"/>
        </w:rPr>
        <w:t xml:space="preserve">. </w:t>
      </w:r>
    </w:p>
    <w:p w:rsidR="00C95BF6" w:rsidRDefault="00D61A80" w:rsidP="00D61A80">
      <w:pPr>
        <w:jc w:val="both"/>
        <w:rPr>
          <w:rFonts w:ascii="Century Gothic" w:hAnsi="Century Gothic"/>
        </w:rPr>
      </w:pPr>
      <w:r>
        <w:rPr>
          <w:rFonts w:ascii="Century Gothic" w:hAnsi="Century Gothic"/>
        </w:rPr>
        <w:t xml:space="preserve">I documenti sono suddivisi in quattro macrocategorie principali: accordi e verbali di incontro, piattaforme, </w:t>
      </w:r>
      <w:r w:rsidRPr="00D81127">
        <w:rPr>
          <w:rFonts w:ascii="Century Gothic" w:hAnsi="Century Gothic"/>
        </w:rPr>
        <w:t>delibere</w:t>
      </w:r>
      <w:r>
        <w:rPr>
          <w:rFonts w:ascii="Century Gothic" w:hAnsi="Century Gothic"/>
        </w:rPr>
        <w:t>,</w:t>
      </w:r>
      <w:r w:rsidRPr="00D81127">
        <w:rPr>
          <w:rFonts w:ascii="Century Gothic" w:hAnsi="Century Gothic"/>
        </w:rPr>
        <w:t xml:space="preserve"> </w:t>
      </w:r>
      <w:r>
        <w:rPr>
          <w:rFonts w:ascii="Century Gothic" w:hAnsi="Century Gothic"/>
        </w:rPr>
        <w:t>materiale documentale</w:t>
      </w:r>
      <w:r w:rsidRPr="00D81127">
        <w:rPr>
          <w:rFonts w:ascii="Century Gothic" w:hAnsi="Century Gothic"/>
        </w:rPr>
        <w:t xml:space="preserve"> </w:t>
      </w:r>
      <w:r>
        <w:rPr>
          <w:rFonts w:ascii="Century Gothic" w:hAnsi="Century Gothic"/>
        </w:rPr>
        <w:t>di altro tipo</w:t>
      </w:r>
      <w:r w:rsidRPr="00D81127">
        <w:rPr>
          <w:rFonts w:ascii="Century Gothic" w:hAnsi="Century Gothic"/>
        </w:rPr>
        <w:t xml:space="preserve"> come dichiarazioni, comunicati sindacali, le</w:t>
      </w:r>
      <w:r>
        <w:rPr>
          <w:rFonts w:ascii="Century Gothic" w:hAnsi="Century Gothic"/>
        </w:rPr>
        <w:t xml:space="preserve">ttere e richieste di incontro. </w:t>
      </w:r>
    </w:p>
    <w:p w:rsidR="00D61A80" w:rsidRPr="0035601B" w:rsidRDefault="00C95BF6" w:rsidP="00D61A80">
      <w:pPr>
        <w:jc w:val="both"/>
        <w:rPr>
          <w:rFonts w:ascii="Century Gothic" w:hAnsi="Century Gothic"/>
        </w:rPr>
      </w:pPr>
      <w:r>
        <w:rPr>
          <w:rFonts w:ascii="Century Gothic" w:hAnsi="Century Gothic"/>
        </w:rPr>
        <w:t xml:space="preserve">Passiamo a esaminare le caratteristiche dei </w:t>
      </w:r>
      <w:r w:rsidR="00D61A80">
        <w:rPr>
          <w:rFonts w:ascii="Century Gothic" w:hAnsi="Century Gothic"/>
        </w:rPr>
        <w:t xml:space="preserve">documenti </w:t>
      </w:r>
      <w:r>
        <w:rPr>
          <w:rFonts w:ascii="Century Gothic" w:hAnsi="Century Gothic"/>
        </w:rPr>
        <w:t>compresi nelle tre</w:t>
      </w:r>
      <w:r w:rsidR="00D61A80">
        <w:rPr>
          <w:rFonts w:ascii="Century Gothic" w:hAnsi="Century Gothic"/>
        </w:rPr>
        <w:t xml:space="preserve"> categorie principali</w:t>
      </w:r>
      <w:r w:rsidR="00D61A80" w:rsidRPr="0035601B">
        <w:rPr>
          <w:rFonts w:ascii="Century Gothic" w:hAnsi="Century Gothic"/>
        </w:rPr>
        <w:t xml:space="preserve">: </w:t>
      </w:r>
      <w:r w:rsidR="00D61A80" w:rsidRPr="0035601B">
        <w:rPr>
          <w:rFonts w:ascii="Century Gothic" w:hAnsi="Century Gothic"/>
          <w:b/>
        </w:rPr>
        <w:t>le piattaforme</w:t>
      </w:r>
      <w:r w:rsidR="00D61A80" w:rsidRPr="0035601B">
        <w:rPr>
          <w:rFonts w:ascii="Century Gothic" w:hAnsi="Century Gothic"/>
        </w:rPr>
        <w:t xml:space="preserve">, </w:t>
      </w:r>
      <w:r w:rsidR="00D61A80" w:rsidRPr="0035601B">
        <w:rPr>
          <w:rFonts w:ascii="Century Gothic" w:hAnsi="Century Gothic"/>
          <w:b/>
        </w:rPr>
        <w:t>gli accordi</w:t>
      </w:r>
      <w:r w:rsidR="00D61A80">
        <w:rPr>
          <w:rFonts w:ascii="Century Gothic" w:hAnsi="Century Gothic"/>
          <w:b/>
        </w:rPr>
        <w:t xml:space="preserve">, </w:t>
      </w:r>
      <w:r w:rsidR="00D61A80" w:rsidRPr="0035601B">
        <w:rPr>
          <w:rFonts w:ascii="Century Gothic" w:hAnsi="Century Gothic"/>
          <w:b/>
        </w:rPr>
        <w:t>le delibere.</w:t>
      </w:r>
    </w:p>
    <w:p w:rsidR="00D61A80" w:rsidRDefault="00D61A80" w:rsidP="00D61A80">
      <w:pPr>
        <w:jc w:val="both"/>
        <w:rPr>
          <w:rFonts w:ascii="Century Gothic" w:hAnsi="Century Gothic"/>
        </w:rPr>
      </w:pPr>
      <w:r w:rsidRPr="0035601B">
        <w:rPr>
          <w:rFonts w:ascii="Century Gothic" w:hAnsi="Century Gothic"/>
        </w:rPr>
        <w:t xml:space="preserve">Come </w:t>
      </w:r>
      <w:r>
        <w:rPr>
          <w:rFonts w:ascii="Century Gothic" w:hAnsi="Century Gothic"/>
        </w:rPr>
        <w:t xml:space="preserve">è stato più volte </w:t>
      </w:r>
      <w:r w:rsidRPr="0035601B">
        <w:rPr>
          <w:rFonts w:ascii="Century Gothic" w:hAnsi="Century Gothic"/>
        </w:rPr>
        <w:t>spiega</w:t>
      </w:r>
      <w:r>
        <w:rPr>
          <w:rFonts w:ascii="Century Gothic" w:hAnsi="Century Gothic"/>
        </w:rPr>
        <w:t>to,</w:t>
      </w:r>
      <w:r w:rsidRPr="0035601B">
        <w:rPr>
          <w:rFonts w:ascii="Century Gothic" w:hAnsi="Century Gothic"/>
        </w:rPr>
        <w:t xml:space="preserve"> queste tre tipologie </w:t>
      </w:r>
      <w:r>
        <w:rPr>
          <w:rFonts w:ascii="Century Gothic" w:hAnsi="Century Gothic"/>
        </w:rPr>
        <w:t xml:space="preserve">si </w:t>
      </w:r>
      <w:r w:rsidR="003B1217">
        <w:rPr>
          <w:rFonts w:ascii="Century Gothic" w:hAnsi="Century Gothic"/>
        </w:rPr>
        <w:t xml:space="preserve">dovrebbero </w:t>
      </w:r>
      <w:r>
        <w:rPr>
          <w:rFonts w:ascii="Century Gothic" w:hAnsi="Century Gothic"/>
        </w:rPr>
        <w:t>colloca</w:t>
      </w:r>
      <w:r w:rsidR="003B1217">
        <w:rPr>
          <w:rFonts w:ascii="Century Gothic" w:hAnsi="Century Gothic"/>
        </w:rPr>
        <w:t>re, almeno a livello ideale,</w:t>
      </w:r>
      <w:r>
        <w:rPr>
          <w:rFonts w:ascii="Century Gothic" w:hAnsi="Century Gothic"/>
        </w:rPr>
        <w:t xml:space="preserve"> in modo consequenziale all’interno del processo della contrattazione sociale</w:t>
      </w:r>
      <w:r w:rsidRPr="0035601B">
        <w:rPr>
          <w:rFonts w:ascii="Century Gothic" w:hAnsi="Century Gothic"/>
        </w:rPr>
        <w:t xml:space="preserve">. </w:t>
      </w:r>
      <w:r w:rsidRPr="008B3815">
        <w:rPr>
          <w:rFonts w:ascii="Century Gothic" w:hAnsi="Century Gothic"/>
        </w:rPr>
        <w:t xml:space="preserve">Al centro si trova l’insieme degli </w:t>
      </w:r>
      <w:r w:rsidRPr="008B3815">
        <w:rPr>
          <w:rFonts w:ascii="Century Gothic" w:hAnsi="Century Gothic"/>
          <w:b/>
        </w:rPr>
        <w:t>accordi</w:t>
      </w:r>
      <w:r w:rsidRPr="008B3815">
        <w:rPr>
          <w:rFonts w:ascii="Century Gothic" w:hAnsi="Century Gothic"/>
        </w:rPr>
        <w:t>, che comprende “tutte le varie forme di documenti conclusivi di un percorso negoziale, sia che questo giunga al suo termine con la redazione di un documento di intesa centrato su una molteplicità di punti precedentemente discussi e negoziati, sia che rappresenti in ogni caso un’ultima tappa del negoziato, non corrispondente alla totalità dei temi posti in avvio del processo negoziale. In sostanza sotto la voce accordi ritroviamo diverse varietà di denominazioni (Accordi, Intese, Protocolli di intesa, Verbali di intesa) che non è possibile collocare semplicemente lungo una linea compresa tra maggiore e minore completezza e ampiezza tematica e procedurale; spesso, difatti, tali espressioni sono utilizzate come sinonimi”.</w:t>
      </w:r>
      <w:r w:rsidRPr="008B3815">
        <w:rPr>
          <w:rStyle w:val="Rimandonotaapidipagina"/>
          <w:rFonts w:ascii="Century Gothic" w:hAnsi="Century Gothic"/>
        </w:rPr>
        <w:footnoteReference w:id="1"/>
      </w:r>
      <w:r w:rsidRPr="008B3815">
        <w:rPr>
          <w:rFonts w:ascii="Century Gothic" w:hAnsi="Century Gothic"/>
        </w:rPr>
        <w:t xml:space="preserve"> </w:t>
      </w:r>
      <w:r>
        <w:rPr>
          <w:rFonts w:ascii="Century Gothic" w:hAnsi="Century Gothic"/>
        </w:rPr>
        <w:t xml:space="preserve">Inoltre, in molti casi, un verbale di incontro può essere assimilabile a un accordo vero e proprio, mentre in altri casi mantiene il significato originario. La stessa denominazione data a un documento può avere un significato diverso a seconda delle provincie. </w:t>
      </w:r>
    </w:p>
    <w:p w:rsidR="00D61A80" w:rsidRPr="0035601B" w:rsidRDefault="00D61A80" w:rsidP="00D61A80">
      <w:pPr>
        <w:jc w:val="both"/>
        <w:rPr>
          <w:rFonts w:ascii="Century Gothic" w:hAnsi="Century Gothic"/>
        </w:rPr>
      </w:pPr>
      <w:r w:rsidRPr="0035601B">
        <w:rPr>
          <w:rFonts w:ascii="Century Gothic" w:hAnsi="Century Gothic"/>
          <w:b/>
        </w:rPr>
        <w:t xml:space="preserve">Le piattaforme </w:t>
      </w:r>
      <w:r w:rsidRPr="0035601B">
        <w:rPr>
          <w:rFonts w:ascii="Century Gothic" w:hAnsi="Century Gothic"/>
        </w:rPr>
        <w:t xml:space="preserve">precedono </w:t>
      </w:r>
      <w:r>
        <w:rPr>
          <w:rFonts w:ascii="Century Gothic" w:hAnsi="Century Gothic"/>
        </w:rPr>
        <w:t xml:space="preserve">gli accordi e </w:t>
      </w:r>
      <w:r w:rsidRPr="0035601B">
        <w:rPr>
          <w:rFonts w:ascii="Century Gothic" w:hAnsi="Century Gothic"/>
        </w:rPr>
        <w:t xml:space="preserve">sono importanti per comprendere </w:t>
      </w:r>
      <w:r>
        <w:rPr>
          <w:rFonts w:ascii="Century Gothic" w:hAnsi="Century Gothic"/>
        </w:rPr>
        <w:t>vari aspetti:</w:t>
      </w:r>
      <w:r w:rsidRPr="0035601B">
        <w:rPr>
          <w:rFonts w:ascii="Century Gothic" w:hAnsi="Century Gothic"/>
        </w:rPr>
        <w:t xml:space="preserve"> il punto di partenza del sindacato, il grado di coinvolgimento della base sindacale, il mandato e la rappresentatività, </w:t>
      </w:r>
      <w:r>
        <w:rPr>
          <w:rFonts w:ascii="Century Gothic" w:hAnsi="Century Gothic"/>
        </w:rPr>
        <w:t>l’apporto dato</w:t>
      </w:r>
      <w:r w:rsidRPr="0035601B">
        <w:rPr>
          <w:rFonts w:ascii="Century Gothic" w:hAnsi="Century Gothic"/>
        </w:rPr>
        <w:t xml:space="preserve"> d</w:t>
      </w:r>
      <w:r>
        <w:rPr>
          <w:rFonts w:ascii="Century Gothic" w:hAnsi="Century Gothic"/>
        </w:rPr>
        <w:t>a</w:t>
      </w:r>
      <w:r w:rsidRPr="0035601B">
        <w:rPr>
          <w:rFonts w:ascii="Century Gothic" w:hAnsi="Century Gothic"/>
        </w:rPr>
        <w:t xml:space="preserve">l sindacato rispetto </w:t>
      </w:r>
      <w:r>
        <w:rPr>
          <w:rFonts w:ascii="Century Gothic" w:hAnsi="Century Gothic"/>
        </w:rPr>
        <w:t>al</w:t>
      </w:r>
      <w:r w:rsidRPr="0035601B">
        <w:rPr>
          <w:rFonts w:ascii="Century Gothic" w:hAnsi="Century Gothic"/>
        </w:rPr>
        <w:t>la norma</w:t>
      </w:r>
      <w:r>
        <w:rPr>
          <w:rFonts w:ascii="Century Gothic" w:hAnsi="Century Gothic"/>
        </w:rPr>
        <w:t>l</w:t>
      </w:r>
      <w:r w:rsidRPr="0035601B">
        <w:rPr>
          <w:rFonts w:ascii="Century Gothic" w:hAnsi="Century Gothic"/>
        </w:rPr>
        <w:t>e attività amministrativa dell’ente locale di riferimento</w:t>
      </w:r>
      <w:r>
        <w:rPr>
          <w:rFonts w:ascii="Century Gothic" w:hAnsi="Century Gothic"/>
        </w:rPr>
        <w:t>; la concretezza degli obiettivi</w:t>
      </w:r>
      <w:r w:rsidRPr="0035601B">
        <w:rPr>
          <w:rFonts w:ascii="Century Gothic" w:hAnsi="Century Gothic"/>
        </w:rPr>
        <w:t xml:space="preserve">. Le piattaforme possono essere di durata annuale ma anche coprire un’intera legislatura. </w:t>
      </w:r>
    </w:p>
    <w:p w:rsidR="003B1217" w:rsidRDefault="003A249D" w:rsidP="00D61A80">
      <w:pPr>
        <w:jc w:val="both"/>
        <w:rPr>
          <w:rFonts w:ascii="Century Gothic" w:hAnsi="Century Gothic"/>
        </w:rPr>
      </w:pPr>
      <w:r>
        <w:rPr>
          <w:rFonts w:ascii="Century Gothic" w:hAnsi="Century Gothic"/>
        </w:rPr>
        <w:t xml:space="preserve">Rispetto ai documenti considerati </w:t>
      </w:r>
      <w:r w:rsidR="003B1217">
        <w:rPr>
          <w:rFonts w:ascii="Century Gothic" w:hAnsi="Century Gothic"/>
        </w:rPr>
        <w:t xml:space="preserve">dall’osservatorio a livello nazionale, in Toscana sono </w:t>
      </w:r>
      <w:r>
        <w:rPr>
          <w:rFonts w:ascii="Century Gothic" w:hAnsi="Century Gothic"/>
        </w:rPr>
        <w:t>archiviate</w:t>
      </w:r>
      <w:r w:rsidR="003B1217">
        <w:rPr>
          <w:rFonts w:ascii="Century Gothic" w:hAnsi="Century Gothic"/>
        </w:rPr>
        <w:t xml:space="preserve"> anche </w:t>
      </w:r>
      <w:r w:rsidR="003B1217">
        <w:rPr>
          <w:rFonts w:ascii="Century Gothic" w:hAnsi="Century Gothic"/>
          <w:b/>
        </w:rPr>
        <w:t xml:space="preserve">le </w:t>
      </w:r>
      <w:r w:rsidR="00D61A80" w:rsidRPr="0035601B">
        <w:rPr>
          <w:rFonts w:ascii="Century Gothic" w:hAnsi="Century Gothic"/>
          <w:b/>
        </w:rPr>
        <w:t>delibere</w:t>
      </w:r>
      <w:r w:rsidR="00D61A80" w:rsidRPr="0035601B">
        <w:rPr>
          <w:rFonts w:ascii="Century Gothic" w:hAnsi="Century Gothic"/>
        </w:rPr>
        <w:t xml:space="preserve">, </w:t>
      </w:r>
      <w:r w:rsidR="003B1217">
        <w:rPr>
          <w:rFonts w:ascii="Century Gothic" w:hAnsi="Century Gothic"/>
        </w:rPr>
        <w:t xml:space="preserve">che, almeno a livello teorico, dovrebbero costituire </w:t>
      </w:r>
      <w:r w:rsidR="00D61A80" w:rsidRPr="0035601B">
        <w:rPr>
          <w:rFonts w:ascii="Century Gothic" w:hAnsi="Century Gothic"/>
        </w:rPr>
        <w:t>il punto di arrivo della contrattazione, la formalizzazione degli impegni in un atto che vincola direttamente l’amministrazione agli impegni presi in sede negoziale</w:t>
      </w:r>
      <w:r w:rsidR="003B1217">
        <w:rPr>
          <w:rFonts w:ascii="Century Gothic" w:hAnsi="Century Gothic"/>
        </w:rPr>
        <w:t>.</w:t>
      </w:r>
    </w:p>
    <w:p w:rsidR="00C95BF6" w:rsidRDefault="00D61A80" w:rsidP="00C95BF6">
      <w:pPr>
        <w:jc w:val="both"/>
        <w:rPr>
          <w:rFonts w:ascii="Century Gothic" w:hAnsi="Century Gothic"/>
        </w:rPr>
      </w:pPr>
      <w:r>
        <w:rPr>
          <w:rFonts w:ascii="Century Gothic" w:hAnsi="Century Gothic"/>
        </w:rPr>
        <w:t>Come già rilevato, o</w:t>
      </w:r>
      <w:r w:rsidRPr="0035601B">
        <w:rPr>
          <w:rFonts w:ascii="Century Gothic" w:hAnsi="Century Gothic"/>
        </w:rPr>
        <w:t>ltre alle tre tipologie principali</w:t>
      </w:r>
      <w:r>
        <w:rPr>
          <w:rFonts w:ascii="Century Gothic" w:hAnsi="Century Gothic"/>
        </w:rPr>
        <w:t>,</w:t>
      </w:r>
      <w:r w:rsidRPr="0035601B">
        <w:rPr>
          <w:rFonts w:ascii="Century Gothic" w:hAnsi="Century Gothic"/>
        </w:rPr>
        <w:t xml:space="preserve"> </w:t>
      </w:r>
      <w:r>
        <w:rPr>
          <w:rFonts w:ascii="Century Gothic" w:hAnsi="Century Gothic"/>
        </w:rPr>
        <w:t xml:space="preserve">sono raccolti </w:t>
      </w:r>
      <w:r w:rsidRPr="0035601B">
        <w:rPr>
          <w:rFonts w:ascii="Century Gothic" w:hAnsi="Century Gothic"/>
        </w:rPr>
        <w:t>altri ti</w:t>
      </w:r>
      <w:r>
        <w:rPr>
          <w:rFonts w:ascii="Century Gothic" w:hAnsi="Century Gothic"/>
        </w:rPr>
        <w:t xml:space="preserve">pi di documentazione, utili per comprendere la contrattazione sociale, che sono stati raggruppati in </w:t>
      </w:r>
      <w:r w:rsidRPr="00E221AE">
        <w:rPr>
          <w:rFonts w:ascii="Century Gothic" w:hAnsi="Century Gothic"/>
        </w:rPr>
        <w:t>un’unica categoria residuale</w:t>
      </w:r>
      <w:r>
        <w:rPr>
          <w:rFonts w:ascii="Century Gothic" w:hAnsi="Century Gothic"/>
        </w:rPr>
        <w:t xml:space="preserve">: comunicati sindacali, comunicati stampa, </w:t>
      </w:r>
      <w:r>
        <w:rPr>
          <w:rFonts w:ascii="Century Gothic" w:hAnsi="Century Gothic"/>
        </w:rPr>
        <w:lastRenderedPageBreak/>
        <w:t>richieste di incontro, verbali di incontro</w:t>
      </w:r>
      <w:r w:rsidR="006B0317">
        <w:rPr>
          <w:rFonts w:ascii="Century Gothic" w:hAnsi="Century Gothic"/>
        </w:rPr>
        <w:t xml:space="preserve">, verbali e comunicati di istituzioni, </w:t>
      </w:r>
      <w:r w:rsidR="006B0317" w:rsidRPr="006B0317">
        <w:rPr>
          <w:rFonts w:ascii="Century Gothic" w:hAnsi="Century Gothic"/>
        </w:rPr>
        <w:t>convenzioni, progetti</w:t>
      </w:r>
      <w:r w:rsidR="007C0D9C">
        <w:rPr>
          <w:rFonts w:ascii="Century Gothic" w:hAnsi="Century Gothic"/>
        </w:rPr>
        <w:t>, articoli di giornali</w:t>
      </w:r>
      <w:r>
        <w:rPr>
          <w:rFonts w:ascii="Century Gothic" w:hAnsi="Century Gothic"/>
        </w:rPr>
        <w:t xml:space="preserve">. </w:t>
      </w:r>
      <w:r w:rsidR="00C95BF6">
        <w:rPr>
          <w:rFonts w:ascii="Century Gothic" w:hAnsi="Century Gothic"/>
        </w:rPr>
        <w:t>La lettura dei documenti di quest’ultima</w:t>
      </w:r>
      <w:r w:rsidR="00C95BF6" w:rsidRPr="00D81127">
        <w:rPr>
          <w:rFonts w:ascii="Century Gothic" w:hAnsi="Century Gothic"/>
        </w:rPr>
        <w:t xml:space="preserve"> </w:t>
      </w:r>
      <w:r w:rsidR="00C95BF6">
        <w:rPr>
          <w:rFonts w:ascii="Century Gothic" w:hAnsi="Century Gothic"/>
        </w:rPr>
        <w:t>tipologis consente</w:t>
      </w:r>
      <w:r w:rsidR="00C95BF6" w:rsidRPr="00D81127">
        <w:rPr>
          <w:rFonts w:ascii="Century Gothic" w:hAnsi="Century Gothic"/>
        </w:rPr>
        <w:t xml:space="preserve"> </w:t>
      </w:r>
      <w:r w:rsidR="00C95BF6">
        <w:rPr>
          <w:rFonts w:ascii="Century Gothic" w:hAnsi="Century Gothic"/>
        </w:rPr>
        <w:t xml:space="preserve">di acquisire utili informazioni </w:t>
      </w:r>
      <w:r w:rsidR="00C95BF6" w:rsidRPr="00D81127">
        <w:rPr>
          <w:rFonts w:ascii="Century Gothic" w:hAnsi="Century Gothic"/>
        </w:rPr>
        <w:t xml:space="preserve">per comprendere </w:t>
      </w:r>
      <w:r w:rsidR="00C95BF6">
        <w:rPr>
          <w:rFonts w:ascii="Century Gothic" w:hAnsi="Century Gothic"/>
        </w:rPr>
        <w:t>il percorso negoziale dal punto di vista delle</w:t>
      </w:r>
      <w:r w:rsidR="00C95BF6" w:rsidRPr="00D81127">
        <w:rPr>
          <w:rFonts w:ascii="Century Gothic" w:hAnsi="Century Gothic"/>
        </w:rPr>
        <w:t xml:space="preserve"> difficoltà</w:t>
      </w:r>
      <w:r w:rsidR="00C95BF6">
        <w:rPr>
          <w:rFonts w:ascii="Century Gothic" w:hAnsi="Century Gothic"/>
        </w:rPr>
        <w:t xml:space="preserve"> e delle posizioni</w:t>
      </w:r>
      <w:r w:rsidR="00C95BF6" w:rsidRPr="00D81127">
        <w:rPr>
          <w:rFonts w:ascii="Century Gothic" w:hAnsi="Century Gothic"/>
        </w:rPr>
        <w:t xml:space="preserve"> dei principali </w:t>
      </w:r>
      <w:r w:rsidR="00C95BF6">
        <w:rPr>
          <w:rFonts w:ascii="Century Gothic" w:hAnsi="Century Gothic"/>
        </w:rPr>
        <w:t>soggetti</w:t>
      </w:r>
      <w:r w:rsidR="00C95BF6" w:rsidRPr="00D81127">
        <w:rPr>
          <w:rFonts w:ascii="Century Gothic" w:hAnsi="Century Gothic"/>
        </w:rPr>
        <w:t xml:space="preserve"> coinvolti nella contrattazione</w:t>
      </w:r>
      <w:r w:rsidR="00C95BF6">
        <w:rPr>
          <w:rFonts w:ascii="Century Gothic" w:hAnsi="Century Gothic"/>
        </w:rPr>
        <w:t xml:space="preserve"> sociale</w:t>
      </w:r>
      <w:r w:rsidR="00C95BF6" w:rsidRPr="00D81127">
        <w:rPr>
          <w:rFonts w:ascii="Century Gothic" w:hAnsi="Century Gothic"/>
        </w:rPr>
        <w:t>.</w:t>
      </w:r>
    </w:p>
    <w:p w:rsidR="006B0317" w:rsidRDefault="006B0317" w:rsidP="00D61A80">
      <w:pPr>
        <w:jc w:val="both"/>
        <w:rPr>
          <w:rFonts w:ascii="Century Gothic" w:hAnsi="Century Gothic"/>
        </w:rPr>
      </w:pPr>
    </w:p>
    <w:p w:rsidR="00D61A80" w:rsidRDefault="00D61A80" w:rsidP="00D61A80"/>
    <w:p w:rsidR="00D61A80" w:rsidRDefault="00D61A80">
      <w:pPr>
        <w:rPr>
          <w:rFonts w:ascii="Century Gothic" w:hAnsi="Century Gothic"/>
          <w:b/>
          <w:sz w:val="28"/>
          <w:szCs w:val="28"/>
        </w:rPr>
      </w:pPr>
      <w:r>
        <w:rPr>
          <w:rFonts w:ascii="Century Gothic" w:hAnsi="Century Gothic"/>
          <w:b/>
          <w:sz w:val="28"/>
          <w:szCs w:val="28"/>
        </w:rPr>
        <w:br w:type="page"/>
      </w:r>
    </w:p>
    <w:p w:rsidR="00462B52" w:rsidRPr="00462B52" w:rsidRDefault="006A175D" w:rsidP="00EF17FB">
      <w:pPr>
        <w:tabs>
          <w:tab w:val="left" w:pos="8222"/>
        </w:tabs>
        <w:jc w:val="both"/>
        <w:rPr>
          <w:rFonts w:ascii="Century Gothic" w:hAnsi="Century Gothic"/>
          <w:b/>
          <w:sz w:val="28"/>
          <w:szCs w:val="28"/>
        </w:rPr>
      </w:pPr>
      <w:r>
        <w:rPr>
          <w:rFonts w:ascii="Century Gothic" w:hAnsi="Century Gothic"/>
          <w:b/>
          <w:sz w:val="28"/>
          <w:szCs w:val="28"/>
        </w:rPr>
        <w:lastRenderedPageBreak/>
        <w:t xml:space="preserve">2. </w:t>
      </w:r>
      <w:r w:rsidR="00C45369">
        <w:rPr>
          <w:rFonts w:ascii="Century Gothic" w:hAnsi="Century Gothic"/>
          <w:b/>
          <w:sz w:val="28"/>
          <w:szCs w:val="28"/>
        </w:rPr>
        <w:t>I DATI</w:t>
      </w:r>
    </w:p>
    <w:p w:rsidR="00462B52" w:rsidRPr="0035601B" w:rsidRDefault="00462B52" w:rsidP="00462B52">
      <w:pPr>
        <w:jc w:val="both"/>
        <w:rPr>
          <w:rFonts w:ascii="Century Gothic" w:hAnsi="Century Gothic"/>
        </w:rPr>
      </w:pPr>
    </w:p>
    <w:p w:rsidR="00C45369" w:rsidRDefault="006A175D" w:rsidP="00C45369">
      <w:pPr>
        <w:jc w:val="both"/>
        <w:rPr>
          <w:rFonts w:ascii="Century Gothic" w:hAnsi="Century Gothic" w:cs="Calibri"/>
          <w:b/>
        </w:rPr>
      </w:pPr>
      <w:r>
        <w:rPr>
          <w:rFonts w:ascii="Century Gothic" w:hAnsi="Century Gothic" w:cs="Calibri"/>
          <w:b/>
        </w:rPr>
        <w:t>2.</w:t>
      </w:r>
      <w:r w:rsidR="00C45369" w:rsidRPr="0035601B">
        <w:rPr>
          <w:rFonts w:ascii="Century Gothic" w:hAnsi="Century Gothic" w:cs="Calibri"/>
          <w:b/>
        </w:rPr>
        <w:t>1. Documenti: caratteristiche e tipologie</w:t>
      </w:r>
    </w:p>
    <w:p w:rsidR="00C31707" w:rsidRDefault="00C31707" w:rsidP="000E6CB4">
      <w:pPr>
        <w:jc w:val="both"/>
        <w:rPr>
          <w:rFonts w:ascii="Century Gothic" w:hAnsi="Century Gothic"/>
        </w:rPr>
      </w:pPr>
    </w:p>
    <w:p w:rsidR="00593CE1" w:rsidRDefault="00593CE1" w:rsidP="00593CE1">
      <w:pPr>
        <w:jc w:val="both"/>
        <w:rPr>
          <w:rFonts w:ascii="Century Gothic" w:hAnsi="Century Gothic"/>
          <w:highlight w:val="yellow"/>
        </w:rPr>
      </w:pPr>
      <w:r w:rsidRPr="00E173CA">
        <w:rPr>
          <w:rFonts w:ascii="Century Gothic" w:hAnsi="Century Gothic"/>
        </w:rPr>
        <w:t xml:space="preserve">Il numero </w:t>
      </w:r>
      <w:r w:rsidR="00380C02">
        <w:rPr>
          <w:rFonts w:ascii="Century Gothic" w:hAnsi="Century Gothic"/>
        </w:rPr>
        <w:t>dei documenti raccolti nelle categorie principali (accordi, piattaforme, delibere)</w:t>
      </w:r>
      <w:r w:rsidRPr="00E173CA">
        <w:rPr>
          <w:rFonts w:ascii="Century Gothic" w:hAnsi="Century Gothic"/>
        </w:rPr>
        <w:t xml:space="preserve"> nel </w:t>
      </w:r>
      <w:r w:rsidR="00380C02">
        <w:rPr>
          <w:rFonts w:ascii="Century Gothic" w:hAnsi="Century Gothic"/>
        </w:rPr>
        <w:t xml:space="preserve">corso del </w:t>
      </w:r>
      <w:r w:rsidRPr="00E173CA">
        <w:rPr>
          <w:rFonts w:ascii="Century Gothic" w:hAnsi="Century Gothic"/>
        </w:rPr>
        <w:t>2016</w:t>
      </w:r>
      <w:r w:rsidR="00380C02">
        <w:rPr>
          <w:rFonts w:ascii="Century Gothic" w:hAnsi="Century Gothic"/>
        </w:rPr>
        <w:t xml:space="preserve"> </w:t>
      </w:r>
      <w:r w:rsidRPr="00E173CA">
        <w:rPr>
          <w:rFonts w:ascii="Century Gothic" w:hAnsi="Century Gothic"/>
        </w:rPr>
        <w:t xml:space="preserve">ritorna al livello </w:t>
      </w:r>
      <w:r w:rsidR="00380C02">
        <w:rPr>
          <w:rFonts w:ascii="Century Gothic" w:hAnsi="Century Gothic"/>
        </w:rPr>
        <w:t xml:space="preserve">del </w:t>
      </w:r>
      <w:r w:rsidRPr="00E173CA">
        <w:rPr>
          <w:rFonts w:ascii="Century Gothic" w:hAnsi="Century Gothic"/>
        </w:rPr>
        <w:t>2014 (68)</w:t>
      </w:r>
      <w:r>
        <w:rPr>
          <w:rFonts w:ascii="Century Gothic" w:hAnsi="Century Gothic"/>
        </w:rPr>
        <w:t xml:space="preserve">; si tratta di </w:t>
      </w:r>
      <w:r w:rsidR="00B210DE">
        <w:rPr>
          <w:rFonts w:ascii="Century Gothic" w:hAnsi="Century Gothic"/>
        </w:rPr>
        <w:t>una cifra</w:t>
      </w:r>
      <w:r>
        <w:rPr>
          <w:rFonts w:ascii="Century Gothic" w:hAnsi="Century Gothic"/>
        </w:rPr>
        <w:t xml:space="preserve"> inferiore a</w:t>
      </w:r>
      <w:r w:rsidR="00B210DE">
        <w:rPr>
          <w:rFonts w:ascii="Century Gothic" w:hAnsi="Century Gothic"/>
        </w:rPr>
        <w:t>i</w:t>
      </w:r>
      <w:r>
        <w:rPr>
          <w:rFonts w:ascii="Century Gothic" w:hAnsi="Century Gothic"/>
        </w:rPr>
        <w:t xml:space="preserve"> </w:t>
      </w:r>
      <w:r w:rsidR="00B210DE">
        <w:rPr>
          <w:rFonts w:ascii="Century Gothic" w:hAnsi="Century Gothic"/>
        </w:rPr>
        <w:t>valori del periodo</w:t>
      </w:r>
      <w:r>
        <w:rPr>
          <w:rFonts w:ascii="Century Gothic" w:hAnsi="Century Gothic"/>
        </w:rPr>
        <w:t xml:space="preserve"> nel quale abbiamo effettuato la rilevazione, nonostante che </w:t>
      </w:r>
      <w:r w:rsidR="00380C02">
        <w:rPr>
          <w:rFonts w:ascii="Century Gothic" w:hAnsi="Century Gothic"/>
        </w:rPr>
        <w:t>la raccolta</w:t>
      </w:r>
      <w:r>
        <w:rPr>
          <w:rFonts w:ascii="Century Gothic" w:hAnsi="Century Gothic"/>
        </w:rPr>
        <w:t xml:space="preserve"> </w:t>
      </w:r>
      <w:r w:rsidR="00380C02">
        <w:rPr>
          <w:rFonts w:ascii="Century Gothic" w:hAnsi="Century Gothic"/>
        </w:rPr>
        <w:t xml:space="preserve">effettuata </w:t>
      </w:r>
      <w:r>
        <w:rPr>
          <w:rFonts w:ascii="Century Gothic" w:hAnsi="Century Gothic"/>
        </w:rPr>
        <w:t xml:space="preserve">nel 2015 (87) avesse fatto pensare a una ripresa della contrattazione sociale. </w:t>
      </w:r>
    </w:p>
    <w:p w:rsidR="00593CE1" w:rsidRPr="000A5EE7" w:rsidRDefault="00593CE1" w:rsidP="00593CE1">
      <w:pPr>
        <w:jc w:val="both"/>
        <w:rPr>
          <w:rFonts w:ascii="Century Gothic" w:hAnsi="Century Gothic"/>
          <w:highlight w:val="yellow"/>
        </w:rPr>
      </w:pPr>
      <w:r w:rsidRPr="00E173CA">
        <w:rPr>
          <w:rFonts w:ascii="Century Gothic" w:hAnsi="Century Gothic"/>
        </w:rPr>
        <w:t xml:space="preserve">A partire dal 2012 </w:t>
      </w:r>
      <w:r w:rsidR="00380C02">
        <w:rPr>
          <w:rFonts w:ascii="Century Gothic" w:hAnsi="Century Gothic"/>
        </w:rPr>
        <w:t xml:space="preserve">è stato ritenuto opportuno raccogliere anche </w:t>
      </w:r>
      <w:r w:rsidRPr="00E173CA">
        <w:rPr>
          <w:rFonts w:ascii="Century Gothic" w:hAnsi="Century Gothic"/>
        </w:rPr>
        <w:t>materia</w:t>
      </w:r>
      <w:r>
        <w:rPr>
          <w:rFonts w:ascii="Century Gothic" w:hAnsi="Century Gothic"/>
        </w:rPr>
        <w:t>l</w:t>
      </w:r>
      <w:r w:rsidR="00380C02">
        <w:rPr>
          <w:rFonts w:ascii="Century Gothic" w:hAnsi="Century Gothic"/>
        </w:rPr>
        <w:t xml:space="preserve">i </w:t>
      </w:r>
      <w:r w:rsidRPr="00E173CA">
        <w:rPr>
          <w:rFonts w:ascii="Century Gothic" w:hAnsi="Century Gothic"/>
        </w:rPr>
        <w:t xml:space="preserve">non direttamente definibili </w:t>
      </w:r>
      <w:r w:rsidR="00380C02">
        <w:rPr>
          <w:rFonts w:ascii="Century Gothic" w:hAnsi="Century Gothic"/>
        </w:rPr>
        <w:t>di contrattazione sociale</w:t>
      </w:r>
      <w:r w:rsidRPr="00E173CA">
        <w:rPr>
          <w:rFonts w:ascii="Century Gothic" w:hAnsi="Century Gothic"/>
        </w:rPr>
        <w:t xml:space="preserve">, ma che comunque gettano luce su alcuni aspetti </w:t>
      </w:r>
      <w:r w:rsidR="00380C02">
        <w:rPr>
          <w:rFonts w:ascii="Century Gothic" w:hAnsi="Century Gothic"/>
        </w:rPr>
        <w:t>di questo processo</w:t>
      </w:r>
      <w:r w:rsidRPr="00E173CA">
        <w:rPr>
          <w:rFonts w:ascii="Century Gothic" w:hAnsi="Century Gothic"/>
        </w:rPr>
        <w:t xml:space="preserve">: </w:t>
      </w:r>
      <w:r>
        <w:rPr>
          <w:rFonts w:ascii="Century Gothic" w:hAnsi="Century Gothic"/>
        </w:rPr>
        <w:t xml:space="preserve">comunicati sindacali, comunicati stampa, richieste di incontro, verbali di incontro, verbali e comunicati di istituzioni, </w:t>
      </w:r>
      <w:r w:rsidRPr="006B0317">
        <w:rPr>
          <w:rFonts w:ascii="Century Gothic" w:hAnsi="Century Gothic"/>
        </w:rPr>
        <w:t>convenzioni, progetti</w:t>
      </w:r>
      <w:r>
        <w:rPr>
          <w:rFonts w:ascii="Century Gothic" w:hAnsi="Century Gothic"/>
        </w:rPr>
        <w:t>, articoli di giornali, etc.</w:t>
      </w:r>
      <w:r w:rsidR="006632EC">
        <w:rPr>
          <w:rFonts w:ascii="Century Gothic" w:hAnsi="Century Gothic"/>
        </w:rPr>
        <w:t xml:space="preserve"> Vengono</w:t>
      </w:r>
      <w:r>
        <w:rPr>
          <w:rFonts w:ascii="Century Gothic" w:hAnsi="Century Gothic"/>
        </w:rPr>
        <w:t xml:space="preserve"> classificati a parte</w:t>
      </w:r>
      <w:r w:rsidR="006632EC">
        <w:rPr>
          <w:rFonts w:ascii="Century Gothic" w:hAnsi="Century Gothic"/>
        </w:rPr>
        <w:t xml:space="preserve"> rispetto alle tipologie più rilevanti, e </w:t>
      </w:r>
      <w:r>
        <w:rPr>
          <w:rFonts w:ascii="Century Gothic" w:hAnsi="Century Gothic"/>
        </w:rPr>
        <w:t xml:space="preserve">il loro numero </w:t>
      </w:r>
      <w:r w:rsidR="006632EC">
        <w:rPr>
          <w:rFonts w:ascii="Century Gothic" w:hAnsi="Century Gothic"/>
        </w:rPr>
        <w:t xml:space="preserve">rimane consistente </w:t>
      </w:r>
      <w:r>
        <w:rPr>
          <w:rFonts w:ascii="Century Gothic" w:hAnsi="Century Gothic"/>
        </w:rPr>
        <w:t>nel 2016</w:t>
      </w:r>
      <w:r w:rsidR="006632EC">
        <w:rPr>
          <w:rFonts w:ascii="Century Gothic" w:hAnsi="Century Gothic"/>
        </w:rPr>
        <w:t>, anche se</w:t>
      </w:r>
      <w:r>
        <w:rPr>
          <w:rFonts w:ascii="Century Gothic" w:hAnsi="Century Gothic"/>
        </w:rPr>
        <w:t xml:space="preserve"> si è dimezzato rispetto all’anno precedente (da 56 a 28</w:t>
      </w:r>
      <w:r w:rsidR="006632EC">
        <w:rPr>
          <w:rFonts w:ascii="Century Gothic" w:hAnsi="Century Gothic"/>
        </w:rPr>
        <w:t>)</w:t>
      </w:r>
      <w:r>
        <w:rPr>
          <w:rFonts w:ascii="Century Gothic" w:hAnsi="Century Gothic"/>
        </w:rPr>
        <w:t xml:space="preserve">. </w:t>
      </w:r>
    </w:p>
    <w:p w:rsidR="00593CE1" w:rsidRDefault="00593CE1" w:rsidP="000E6CB4">
      <w:pPr>
        <w:jc w:val="both"/>
        <w:rPr>
          <w:rFonts w:ascii="Century Gothic" w:hAnsi="Century Gothic"/>
        </w:rPr>
      </w:pPr>
    </w:p>
    <w:p w:rsidR="00C45369" w:rsidRDefault="00C45369" w:rsidP="00C45369">
      <w:pPr>
        <w:jc w:val="both"/>
        <w:rPr>
          <w:rFonts w:ascii="Century Gothic" w:hAnsi="Century Gothic" w:cs="Calibri"/>
          <w:b/>
        </w:rPr>
      </w:pPr>
      <w:r w:rsidRPr="0035601B">
        <w:rPr>
          <w:rFonts w:ascii="Century Gothic" w:hAnsi="Century Gothic" w:cs="Calibri"/>
          <w:b/>
        </w:rPr>
        <w:t xml:space="preserve">Graf. </w:t>
      </w:r>
      <w:r w:rsidR="000E6CB4" w:rsidRPr="0035601B">
        <w:rPr>
          <w:rFonts w:ascii="Century Gothic" w:hAnsi="Century Gothic" w:cs="Calibri"/>
          <w:b/>
        </w:rPr>
        <w:t>N</w:t>
      </w:r>
      <w:r w:rsidR="000E6CB4">
        <w:rPr>
          <w:rFonts w:ascii="Century Gothic" w:hAnsi="Century Gothic" w:cs="Calibri"/>
          <w:b/>
        </w:rPr>
        <w:t xml:space="preserve"> 1</w:t>
      </w:r>
      <w:r w:rsidRPr="0035601B">
        <w:rPr>
          <w:rFonts w:ascii="Century Gothic" w:hAnsi="Century Gothic" w:cs="Calibri"/>
          <w:b/>
        </w:rPr>
        <w:t>. - Numero di documen</w:t>
      </w:r>
      <w:r>
        <w:rPr>
          <w:rFonts w:ascii="Century Gothic" w:hAnsi="Century Gothic" w:cs="Calibri"/>
          <w:b/>
        </w:rPr>
        <w:t>ti pervenuti per anno (2009-201</w:t>
      </w:r>
      <w:r w:rsidR="00EE7621">
        <w:rPr>
          <w:rFonts w:ascii="Century Gothic" w:hAnsi="Century Gothic" w:cs="Calibri"/>
          <w:b/>
        </w:rPr>
        <w:t>6</w:t>
      </w:r>
      <w:r w:rsidRPr="0035601B">
        <w:rPr>
          <w:rFonts w:ascii="Century Gothic" w:hAnsi="Century Gothic" w:cs="Calibri"/>
          <w:b/>
        </w:rPr>
        <w:t>)</w:t>
      </w:r>
    </w:p>
    <w:p w:rsidR="00593CE1" w:rsidRDefault="00593CE1" w:rsidP="00C45369">
      <w:pPr>
        <w:jc w:val="both"/>
        <w:rPr>
          <w:rFonts w:ascii="Century Gothic" w:hAnsi="Century Gothic" w:cs="Calibri"/>
          <w:b/>
        </w:rPr>
      </w:pPr>
    </w:p>
    <w:p w:rsidR="00593CE1" w:rsidRDefault="00593CE1" w:rsidP="00C45369">
      <w:pPr>
        <w:jc w:val="both"/>
        <w:rPr>
          <w:rFonts w:ascii="Century Gothic" w:hAnsi="Century Gothic" w:cs="Calibri"/>
          <w:b/>
        </w:rPr>
      </w:pPr>
      <w:r w:rsidRPr="00593CE1">
        <w:rPr>
          <w:rFonts w:ascii="Century Gothic" w:hAnsi="Century Gothic" w:cs="Calibri"/>
          <w:b/>
          <w:noProof/>
          <w:lang w:eastAsia="it-IT"/>
        </w:rPr>
        <w:drawing>
          <wp:inline distT="0" distB="0" distL="0" distR="0">
            <wp:extent cx="4602377" cy="2743200"/>
            <wp:effectExtent l="19050" t="0" r="26773"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3CE1" w:rsidRDefault="00593CE1" w:rsidP="00C45369">
      <w:pPr>
        <w:jc w:val="both"/>
        <w:rPr>
          <w:rFonts w:ascii="Century Gothic" w:hAnsi="Century Gothic" w:cs="Calibri"/>
          <w:b/>
        </w:rPr>
      </w:pPr>
    </w:p>
    <w:p w:rsidR="004B5B77" w:rsidRPr="00F03C96" w:rsidRDefault="004B5B77" w:rsidP="004B5B77">
      <w:pPr>
        <w:jc w:val="both"/>
        <w:rPr>
          <w:rFonts w:ascii="Century Gothic" w:hAnsi="Century Gothic" w:cs="Calibri"/>
        </w:rPr>
      </w:pPr>
      <w:r w:rsidRPr="00F03C96">
        <w:rPr>
          <w:rFonts w:ascii="Century Gothic" w:hAnsi="Century Gothic" w:cs="Calibri"/>
        </w:rPr>
        <w:t xml:space="preserve">Le </w:t>
      </w:r>
      <w:r>
        <w:rPr>
          <w:rFonts w:ascii="Century Gothic" w:hAnsi="Century Gothic" w:cs="Calibri"/>
        </w:rPr>
        <w:t xml:space="preserve">delegazioni territoriali continuano, quindi, a documentare l’attività di contrattazione sociale svolta a livello locale. Come ricordato in precedenti rapporti, il materiale di supporto consente, da una parte, di comprendere in maniera più approfondita le modalità di negoziazione e le criticità incontrate e, dall’altra, di conoscere iniziative al di fuori della tradizionale attività di trattativa e intesa a livello comunale, ma che comunque </w:t>
      </w:r>
      <w:r w:rsidR="0075329A">
        <w:rPr>
          <w:rFonts w:ascii="Century Gothic" w:hAnsi="Century Gothic" w:cs="Calibri"/>
        </w:rPr>
        <w:t>si pongono a salvaguardia</w:t>
      </w:r>
      <w:r>
        <w:rPr>
          <w:rFonts w:ascii="Century Gothic" w:hAnsi="Century Gothic" w:cs="Calibri"/>
        </w:rPr>
        <w:t xml:space="preserve"> </w:t>
      </w:r>
      <w:r w:rsidR="0075329A">
        <w:rPr>
          <w:rFonts w:ascii="Century Gothic" w:hAnsi="Century Gothic" w:cs="Calibri"/>
        </w:rPr>
        <w:t>de</w:t>
      </w:r>
      <w:r>
        <w:rPr>
          <w:rFonts w:ascii="Century Gothic" w:hAnsi="Century Gothic" w:cs="Calibri"/>
        </w:rPr>
        <w:t xml:space="preserve">i gruppi </w:t>
      </w:r>
      <w:r w:rsidR="0075329A">
        <w:rPr>
          <w:rFonts w:ascii="Century Gothic" w:hAnsi="Century Gothic" w:cs="Calibri"/>
        </w:rPr>
        <w:t>deboli</w:t>
      </w:r>
      <w:r>
        <w:rPr>
          <w:rFonts w:ascii="Century Gothic" w:hAnsi="Century Gothic" w:cs="Calibri"/>
        </w:rPr>
        <w:t xml:space="preserve"> della popolazione</w:t>
      </w:r>
      <w:r w:rsidR="0075329A">
        <w:rPr>
          <w:rFonts w:ascii="Century Gothic" w:hAnsi="Century Gothic" w:cs="Calibri"/>
        </w:rPr>
        <w:t>,</w:t>
      </w:r>
      <w:r>
        <w:rPr>
          <w:rFonts w:ascii="Century Gothic" w:hAnsi="Century Gothic" w:cs="Calibri"/>
        </w:rPr>
        <w:t xml:space="preserve"> come le campagne </w:t>
      </w:r>
      <w:r w:rsidR="0075329A">
        <w:rPr>
          <w:rFonts w:ascii="Century Gothic" w:hAnsi="Century Gothic" w:cs="Calibri"/>
        </w:rPr>
        <w:t xml:space="preserve">a tutela </w:t>
      </w:r>
      <w:r>
        <w:rPr>
          <w:rFonts w:ascii="Century Gothic" w:hAnsi="Century Gothic" w:cs="Calibri"/>
        </w:rPr>
        <w:t>del sistema socio-sanitario</w:t>
      </w:r>
      <w:r w:rsidR="0075329A">
        <w:rPr>
          <w:rFonts w:ascii="Century Gothic" w:hAnsi="Century Gothic" w:cs="Calibri"/>
        </w:rPr>
        <w:t xml:space="preserve"> o in difesa della casa</w:t>
      </w:r>
      <w:r>
        <w:rPr>
          <w:rFonts w:ascii="Century Gothic" w:hAnsi="Century Gothic" w:cs="Calibri"/>
        </w:rPr>
        <w:t xml:space="preserve">. </w:t>
      </w:r>
    </w:p>
    <w:p w:rsidR="0050394D" w:rsidRDefault="0052120E" w:rsidP="00593CE1">
      <w:pPr>
        <w:jc w:val="both"/>
        <w:rPr>
          <w:rFonts w:ascii="Century Gothic" w:hAnsi="Century Gothic"/>
        </w:rPr>
      </w:pPr>
      <w:r>
        <w:rPr>
          <w:rFonts w:ascii="Century Gothic" w:hAnsi="Century Gothic"/>
        </w:rPr>
        <w:t>Rispetto al 2015</w:t>
      </w:r>
      <w:r w:rsidR="006632EC">
        <w:rPr>
          <w:rFonts w:ascii="Century Gothic" w:hAnsi="Century Gothic"/>
        </w:rPr>
        <w:t>,</w:t>
      </w:r>
      <w:r w:rsidR="006632EC" w:rsidRPr="0064637A">
        <w:rPr>
          <w:rFonts w:ascii="Century Gothic" w:hAnsi="Century Gothic"/>
        </w:rPr>
        <w:t xml:space="preserve"> </w:t>
      </w:r>
      <w:r>
        <w:rPr>
          <w:rFonts w:ascii="Century Gothic" w:hAnsi="Century Gothic"/>
        </w:rPr>
        <w:t>il</w:t>
      </w:r>
      <w:r w:rsidR="006632EC">
        <w:rPr>
          <w:rFonts w:ascii="Century Gothic" w:hAnsi="Century Gothic"/>
        </w:rPr>
        <w:t xml:space="preserve"> ridimensionamento del</w:t>
      </w:r>
      <w:r w:rsidR="00593CE1" w:rsidRPr="0064637A">
        <w:rPr>
          <w:rFonts w:ascii="Century Gothic" w:hAnsi="Century Gothic"/>
        </w:rPr>
        <w:t xml:space="preserve">la quota </w:t>
      </w:r>
      <w:r>
        <w:rPr>
          <w:rFonts w:ascii="Century Gothic" w:hAnsi="Century Gothic"/>
        </w:rPr>
        <w:t xml:space="preserve">della documentazione </w:t>
      </w:r>
      <w:r w:rsidRPr="0098311D">
        <w:rPr>
          <w:rFonts w:ascii="Century Gothic" w:hAnsi="Century Gothic"/>
        </w:rPr>
        <w:t>di supporto</w:t>
      </w:r>
      <w:r>
        <w:rPr>
          <w:rFonts w:ascii="Century Gothic" w:hAnsi="Century Gothic"/>
        </w:rPr>
        <w:t xml:space="preserve"> (da 39% a 29%) viene bilanciato da un aumento del peso degli accordi, che sale dal 51% a</w:t>
      </w:r>
      <w:r w:rsidR="00593CE1" w:rsidRPr="0064637A">
        <w:rPr>
          <w:rFonts w:ascii="Century Gothic" w:hAnsi="Century Gothic"/>
        </w:rPr>
        <w:t xml:space="preserve"> 6</w:t>
      </w:r>
      <w:r>
        <w:rPr>
          <w:rFonts w:ascii="Century Gothic" w:hAnsi="Century Gothic"/>
        </w:rPr>
        <w:t>2</w:t>
      </w:r>
      <w:r w:rsidR="00593CE1" w:rsidRPr="0064637A">
        <w:rPr>
          <w:rFonts w:ascii="Century Gothic" w:hAnsi="Century Gothic"/>
        </w:rPr>
        <w:t>% del totale del materiale raccolto</w:t>
      </w:r>
      <w:r>
        <w:rPr>
          <w:rFonts w:ascii="Century Gothic" w:hAnsi="Century Gothic"/>
        </w:rPr>
        <w:t>. P</w:t>
      </w:r>
      <w:r w:rsidR="00593CE1" w:rsidRPr="0064637A">
        <w:rPr>
          <w:rFonts w:ascii="Century Gothic" w:hAnsi="Century Gothic"/>
        </w:rPr>
        <w:t xml:space="preserve">er il resto, </w:t>
      </w:r>
      <w:r>
        <w:rPr>
          <w:rFonts w:ascii="Century Gothic" w:hAnsi="Century Gothic"/>
        </w:rPr>
        <w:t>si registra</w:t>
      </w:r>
      <w:r w:rsidR="00593CE1" w:rsidRPr="0064637A">
        <w:rPr>
          <w:rFonts w:ascii="Century Gothic" w:hAnsi="Century Gothic"/>
        </w:rPr>
        <w:t xml:space="preserve"> una minima quota di delibere (</w:t>
      </w:r>
      <w:r w:rsidR="001B4E26">
        <w:rPr>
          <w:rFonts w:ascii="Century Gothic" w:hAnsi="Century Gothic"/>
        </w:rPr>
        <w:t>2</w:t>
      </w:r>
      <w:r w:rsidR="00593CE1" w:rsidRPr="0064637A">
        <w:rPr>
          <w:rFonts w:ascii="Century Gothic" w:hAnsi="Century Gothic"/>
        </w:rPr>
        <w:t>%</w:t>
      </w:r>
      <w:r>
        <w:rPr>
          <w:rFonts w:ascii="Century Gothic" w:hAnsi="Century Gothic"/>
        </w:rPr>
        <w:t xml:space="preserve"> rispetto al </w:t>
      </w:r>
      <w:r w:rsidR="001B4E26">
        <w:rPr>
          <w:rFonts w:ascii="Century Gothic" w:hAnsi="Century Gothic"/>
        </w:rPr>
        <w:t>6</w:t>
      </w:r>
      <w:r>
        <w:rPr>
          <w:rFonts w:ascii="Century Gothic" w:hAnsi="Century Gothic"/>
        </w:rPr>
        <w:t>% del 2015</w:t>
      </w:r>
      <w:r w:rsidR="00593CE1" w:rsidRPr="0064637A">
        <w:rPr>
          <w:rFonts w:ascii="Century Gothic" w:hAnsi="Century Gothic"/>
        </w:rPr>
        <w:t xml:space="preserve">) e </w:t>
      </w:r>
      <w:r>
        <w:rPr>
          <w:rFonts w:ascii="Century Gothic" w:hAnsi="Century Gothic"/>
        </w:rPr>
        <w:t xml:space="preserve">un aumento </w:t>
      </w:r>
      <w:r w:rsidR="0050394D">
        <w:rPr>
          <w:rFonts w:ascii="Century Gothic" w:hAnsi="Century Gothic"/>
        </w:rPr>
        <w:t xml:space="preserve">in termini percentuali </w:t>
      </w:r>
      <w:r>
        <w:rPr>
          <w:rFonts w:ascii="Century Gothic" w:hAnsi="Century Gothic"/>
        </w:rPr>
        <w:t xml:space="preserve">delle </w:t>
      </w:r>
      <w:r w:rsidR="00593CE1" w:rsidRPr="0064637A">
        <w:rPr>
          <w:rFonts w:ascii="Century Gothic" w:hAnsi="Century Gothic"/>
        </w:rPr>
        <w:t>piattaforme</w:t>
      </w:r>
      <w:r>
        <w:rPr>
          <w:rFonts w:ascii="Century Gothic" w:hAnsi="Century Gothic"/>
        </w:rPr>
        <w:t xml:space="preserve"> </w:t>
      </w:r>
      <w:r w:rsidR="00593CE1">
        <w:rPr>
          <w:rFonts w:ascii="Century Gothic" w:hAnsi="Century Gothic"/>
        </w:rPr>
        <w:t>(</w:t>
      </w:r>
      <w:r>
        <w:rPr>
          <w:rFonts w:ascii="Century Gothic" w:hAnsi="Century Gothic"/>
        </w:rPr>
        <w:t>da 4% a</w:t>
      </w:r>
      <w:r w:rsidR="001B4E26">
        <w:rPr>
          <w:rFonts w:ascii="Century Gothic" w:hAnsi="Century Gothic"/>
        </w:rPr>
        <w:t xml:space="preserve"> </w:t>
      </w:r>
      <w:r w:rsidR="00593CE1">
        <w:rPr>
          <w:rFonts w:ascii="Century Gothic" w:hAnsi="Century Gothic"/>
        </w:rPr>
        <w:t>7%)</w:t>
      </w:r>
      <w:r w:rsidR="0050394D">
        <w:rPr>
          <w:rFonts w:ascii="Century Gothic" w:hAnsi="Century Gothic"/>
        </w:rPr>
        <w:t>, anche se in valori assoluti la cifra rimane stabile</w:t>
      </w:r>
      <w:r>
        <w:rPr>
          <w:rFonts w:ascii="Century Gothic" w:hAnsi="Century Gothic"/>
        </w:rPr>
        <w:t>.</w:t>
      </w:r>
      <w:r w:rsidR="00593CE1">
        <w:rPr>
          <w:rFonts w:ascii="Century Gothic" w:hAnsi="Century Gothic"/>
        </w:rPr>
        <w:t xml:space="preserve"> </w:t>
      </w:r>
      <w:r>
        <w:rPr>
          <w:rFonts w:ascii="Century Gothic" w:hAnsi="Century Gothic"/>
        </w:rPr>
        <w:t xml:space="preserve">Nell’ambito </w:t>
      </w:r>
      <w:r w:rsidR="0050394D">
        <w:rPr>
          <w:rFonts w:ascii="Century Gothic" w:hAnsi="Century Gothic"/>
        </w:rPr>
        <w:t>della categoria “altra documentazione” circa un terzo è costituito da veri e propri verbali di incontro, quindi non assimilabili ad accordi, ma che, comunque, testimoniano la presenza di un confronto, con la definizione di punti di condivisione o almeno con l’impegno da parte delle amministrazioni a prendere in considerazione alcune proposte del sindacato.</w:t>
      </w:r>
    </w:p>
    <w:p w:rsidR="00BE331A" w:rsidRDefault="00BE331A" w:rsidP="00593CE1">
      <w:pPr>
        <w:jc w:val="both"/>
        <w:rPr>
          <w:rFonts w:ascii="Century Gothic" w:hAnsi="Century Gothic"/>
        </w:rPr>
      </w:pPr>
    </w:p>
    <w:p w:rsidR="00593CE1" w:rsidRDefault="00593CE1" w:rsidP="00C45369">
      <w:pPr>
        <w:jc w:val="both"/>
        <w:rPr>
          <w:rFonts w:ascii="Century Gothic" w:hAnsi="Century Gothic" w:cs="Calibri"/>
          <w:b/>
        </w:rPr>
      </w:pPr>
      <w:r w:rsidRPr="00593CE1">
        <w:rPr>
          <w:rFonts w:ascii="Century Gothic" w:hAnsi="Century Gothic" w:cs="Calibri"/>
          <w:b/>
          <w:noProof/>
          <w:lang w:eastAsia="it-IT"/>
        </w:rPr>
        <w:drawing>
          <wp:inline distT="0" distB="0" distL="0" distR="0">
            <wp:extent cx="4407192" cy="2619633"/>
            <wp:effectExtent l="19050" t="0" r="12408" b="9267"/>
            <wp:docPr id="5"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3CE1" w:rsidRDefault="00593CE1" w:rsidP="00C45369">
      <w:pPr>
        <w:jc w:val="both"/>
        <w:rPr>
          <w:rFonts w:ascii="Century Gothic" w:hAnsi="Century Gothic" w:cs="Calibri"/>
          <w:b/>
        </w:rPr>
      </w:pPr>
    </w:p>
    <w:p w:rsidR="00665074" w:rsidRDefault="0090759C" w:rsidP="00665074">
      <w:pPr>
        <w:rPr>
          <w:rFonts w:ascii="Century Gothic" w:hAnsi="Century Gothic"/>
          <w:b/>
        </w:rPr>
      </w:pPr>
      <w:r>
        <w:rPr>
          <w:rFonts w:ascii="Century Gothic" w:hAnsi="Century Gothic"/>
          <w:b/>
        </w:rPr>
        <w:t xml:space="preserve">2.2. </w:t>
      </w:r>
      <w:r w:rsidR="00665074" w:rsidRPr="00665074">
        <w:rPr>
          <w:rFonts w:ascii="Century Gothic" w:hAnsi="Century Gothic"/>
          <w:b/>
        </w:rPr>
        <w:t>Le piattaforme</w:t>
      </w:r>
      <w:r w:rsidR="00CB4AE0">
        <w:rPr>
          <w:rFonts w:ascii="Century Gothic" w:hAnsi="Century Gothic"/>
          <w:b/>
        </w:rPr>
        <w:t xml:space="preserve"> e le delibere</w:t>
      </w:r>
    </w:p>
    <w:p w:rsidR="004408C8" w:rsidRPr="00665074" w:rsidRDefault="004408C8" w:rsidP="00665074">
      <w:pPr>
        <w:rPr>
          <w:rFonts w:ascii="Century Gothic" w:hAnsi="Century Gothic"/>
          <w:b/>
        </w:rPr>
      </w:pPr>
    </w:p>
    <w:p w:rsidR="00406F50" w:rsidRDefault="00406F50" w:rsidP="00220961">
      <w:pPr>
        <w:jc w:val="both"/>
        <w:rPr>
          <w:rFonts w:ascii="Century Gothic" w:hAnsi="Century Gothic"/>
        </w:rPr>
      </w:pPr>
      <w:r>
        <w:rPr>
          <w:rFonts w:ascii="Century Gothic" w:hAnsi="Century Gothic"/>
        </w:rPr>
        <w:t>Nel 2016 il</w:t>
      </w:r>
      <w:r w:rsidR="0045245D">
        <w:rPr>
          <w:rFonts w:ascii="Century Gothic" w:hAnsi="Century Gothic"/>
        </w:rPr>
        <w:t xml:space="preserve"> 7% della documentazione raccolta consiste in</w:t>
      </w:r>
      <w:r w:rsidR="00665074" w:rsidRPr="00420030">
        <w:rPr>
          <w:rFonts w:ascii="Century Gothic" w:hAnsi="Century Gothic"/>
        </w:rPr>
        <w:t xml:space="preserve"> piattaforme</w:t>
      </w:r>
      <w:r w:rsidR="00BE1FC5">
        <w:rPr>
          <w:rFonts w:ascii="Century Gothic" w:hAnsi="Century Gothic"/>
        </w:rPr>
        <w:t xml:space="preserve">, </w:t>
      </w:r>
      <w:r w:rsidR="0045245D">
        <w:rPr>
          <w:rFonts w:ascii="Century Gothic" w:hAnsi="Century Gothic"/>
        </w:rPr>
        <w:t xml:space="preserve">che si articolano in vari livelli dal regionale al comunale. A livello regionale si rilevano due piattaforme, una presentata dalle organizzazioni sindacali confederali e l’altra dai relativi sindacati dei pensionati. Entrambi i documenti focalizzano l’attenzione sulle tematiche socio-sanitarie, che rivestono sempre più importanza a causa </w:t>
      </w:r>
      <w:r w:rsidR="00A10AB8">
        <w:rPr>
          <w:rFonts w:ascii="Century Gothic" w:hAnsi="Century Gothic"/>
        </w:rPr>
        <w:t xml:space="preserve">sia </w:t>
      </w:r>
      <w:r w:rsidR="0045245D">
        <w:rPr>
          <w:rFonts w:ascii="Century Gothic" w:hAnsi="Century Gothic"/>
        </w:rPr>
        <w:t xml:space="preserve">della riorganizzazione del settore </w:t>
      </w:r>
      <w:r w:rsidR="00A10AB8">
        <w:rPr>
          <w:rFonts w:ascii="Century Gothic" w:hAnsi="Century Gothic"/>
        </w:rPr>
        <w:t>che</w:t>
      </w:r>
      <w:r w:rsidR="0045245D">
        <w:rPr>
          <w:rFonts w:ascii="Century Gothic" w:hAnsi="Century Gothic"/>
        </w:rPr>
        <w:t xml:space="preserve"> dell’aumento della popolazione anziana. </w:t>
      </w:r>
      <w:r w:rsidR="0088429A">
        <w:rPr>
          <w:rFonts w:ascii="Century Gothic" w:hAnsi="Century Gothic"/>
        </w:rPr>
        <w:t xml:space="preserve">In particolare la trattazione riguarda gli argomenti propri </w:t>
      </w:r>
      <w:r w:rsidR="00557BCF">
        <w:rPr>
          <w:rFonts w:ascii="Century Gothic" w:hAnsi="Century Gothic"/>
        </w:rPr>
        <w:t xml:space="preserve">delle politiche sociali </w:t>
      </w:r>
      <w:r w:rsidR="0088429A" w:rsidRPr="00B56CDD">
        <w:rPr>
          <w:rFonts w:ascii="Century Gothic" w:hAnsi="Century Gothic"/>
        </w:rPr>
        <w:t>tra i quali</w:t>
      </w:r>
      <w:r w:rsidR="0088429A">
        <w:rPr>
          <w:rFonts w:ascii="Century Gothic" w:hAnsi="Century Gothic"/>
        </w:rPr>
        <w:t>: integrazione socio-sanitaria, servizi territoriali,</w:t>
      </w:r>
      <w:r w:rsidR="0088429A" w:rsidRPr="0088429A">
        <w:rPr>
          <w:rFonts w:ascii="Century Gothic" w:hAnsi="Century Gothic"/>
        </w:rPr>
        <w:t xml:space="preserve"> </w:t>
      </w:r>
      <w:r w:rsidR="0088429A">
        <w:rPr>
          <w:rFonts w:ascii="Century Gothic" w:hAnsi="Century Gothic"/>
        </w:rPr>
        <w:t xml:space="preserve">liste d’attesa non autosufficienza, </w:t>
      </w:r>
      <w:r w:rsidR="00A10AB8">
        <w:rPr>
          <w:rFonts w:ascii="Century Gothic" w:hAnsi="Century Gothic"/>
        </w:rPr>
        <w:t xml:space="preserve">assistenza domiciliare e residenze sanitarie assistite. Bisogna segnalare che entrambe le piattaforme affrontano il tema della sanità integrativa, rilevante in un periodo in cui si diffondono fondi contrattuali dai quali sono esclusi i cittadini in </w:t>
      </w:r>
      <w:r w:rsidR="00A10AB8" w:rsidRPr="00B56CDD">
        <w:rPr>
          <w:rFonts w:ascii="Century Gothic" w:hAnsi="Century Gothic"/>
        </w:rPr>
        <w:t>uno stato di maggiore fragilità</w:t>
      </w:r>
      <w:r w:rsidR="00A10AB8">
        <w:rPr>
          <w:rFonts w:ascii="Century Gothic" w:hAnsi="Century Gothic"/>
        </w:rPr>
        <w:t xml:space="preserve"> (anziani, precari, atipici, disoccupati). Viene, quindi, proposta una riflessione sull’idea di un “fondo territoriale Regionale”per l’erogazione di prestazioni extra LEA aperto </w:t>
      </w:r>
      <w:r>
        <w:rPr>
          <w:rFonts w:ascii="Century Gothic" w:hAnsi="Century Gothic"/>
        </w:rPr>
        <w:t xml:space="preserve">all’adesione volontaria di cittadini anche non lavoratori, con l’intervento delle amministrazioni pubbliche territoriali che favorisca la mutualità e il supporto dei soggetti più deboli. Se </w:t>
      </w:r>
      <w:r w:rsidR="00850BF6">
        <w:rPr>
          <w:rFonts w:ascii="Century Gothic" w:hAnsi="Century Gothic"/>
        </w:rPr>
        <w:t xml:space="preserve">il documento delle organizzazioni sindacali è incentrato sull’ambito socio-sanitario, quello </w:t>
      </w:r>
      <w:r>
        <w:rPr>
          <w:rFonts w:ascii="Century Gothic" w:hAnsi="Century Gothic"/>
        </w:rPr>
        <w:t xml:space="preserve">dei sindacati dei pensionati tratta anche altre tematiche della negoziazione sociale: </w:t>
      </w:r>
      <w:r w:rsidR="00850BF6">
        <w:rPr>
          <w:rFonts w:ascii="Century Gothic" w:hAnsi="Century Gothic"/>
        </w:rPr>
        <w:t>politiche abitative, servizi pubblici locali, riorganizzazione degli en</w:t>
      </w:r>
      <w:r w:rsidR="001B4E26">
        <w:rPr>
          <w:rFonts w:ascii="Century Gothic" w:hAnsi="Century Gothic"/>
        </w:rPr>
        <w:t>ti locali, politiche di genere.</w:t>
      </w:r>
    </w:p>
    <w:p w:rsidR="004010AF" w:rsidRDefault="00C1000D" w:rsidP="00220961">
      <w:pPr>
        <w:jc w:val="both"/>
        <w:rPr>
          <w:rFonts w:ascii="Century Gothic" w:hAnsi="Century Gothic"/>
        </w:rPr>
      </w:pPr>
      <w:r>
        <w:rPr>
          <w:rFonts w:ascii="Century Gothic" w:hAnsi="Century Gothic"/>
        </w:rPr>
        <w:t xml:space="preserve">All’ambito socio-sanitario </w:t>
      </w:r>
      <w:r w:rsidR="000D6712">
        <w:rPr>
          <w:rFonts w:ascii="Century Gothic" w:hAnsi="Century Gothic"/>
        </w:rPr>
        <w:t>è dedicata</w:t>
      </w:r>
      <w:r>
        <w:rPr>
          <w:rFonts w:ascii="Century Gothic" w:hAnsi="Century Gothic"/>
        </w:rPr>
        <w:t xml:space="preserve"> </w:t>
      </w:r>
      <w:r w:rsidR="000D6712">
        <w:rPr>
          <w:rFonts w:ascii="Century Gothic" w:hAnsi="Century Gothic"/>
        </w:rPr>
        <w:t>un’</w:t>
      </w:r>
      <w:r>
        <w:rPr>
          <w:rFonts w:ascii="Century Gothic" w:hAnsi="Century Gothic"/>
        </w:rPr>
        <w:t>altr</w:t>
      </w:r>
      <w:r w:rsidR="000D6712">
        <w:rPr>
          <w:rFonts w:ascii="Century Gothic" w:hAnsi="Century Gothic"/>
        </w:rPr>
        <w:t>a</w:t>
      </w:r>
      <w:r>
        <w:rPr>
          <w:rFonts w:ascii="Century Gothic" w:hAnsi="Century Gothic"/>
        </w:rPr>
        <w:t xml:space="preserve"> piattaform</w:t>
      </w:r>
      <w:r w:rsidR="000D6712">
        <w:rPr>
          <w:rFonts w:ascii="Century Gothic" w:hAnsi="Century Gothic"/>
        </w:rPr>
        <w:t xml:space="preserve">a </w:t>
      </w:r>
      <w:r>
        <w:rPr>
          <w:rFonts w:ascii="Century Gothic" w:hAnsi="Century Gothic"/>
        </w:rPr>
        <w:t>a livello sub-provinciale</w:t>
      </w:r>
      <w:r w:rsidR="000D6712">
        <w:rPr>
          <w:rFonts w:ascii="Century Gothic" w:hAnsi="Century Gothic"/>
        </w:rPr>
        <w:t>,</w:t>
      </w:r>
      <w:r>
        <w:rPr>
          <w:rFonts w:ascii="Century Gothic" w:hAnsi="Century Gothic"/>
        </w:rPr>
        <w:t xml:space="preserve"> </w:t>
      </w:r>
      <w:r w:rsidR="000D6712">
        <w:rPr>
          <w:rFonts w:ascii="Century Gothic" w:hAnsi="Century Gothic"/>
        </w:rPr>
        <w:t>che</w:t>
      </w:r>
      <w:r>
        <w:rPr>
          <w:rFonts w:ascii="Century Gothic" w:hAnsi="Century Gothic"/>
        </w:rPr>
        <w:t xml:space="preserve"> si ricollega alla riorganizzazione in atto del sistema socio-sanitario con l’individuazione di tre distretti nella Provincia di Lucca</w:t>
      </w:r>
      <w:r w:rsidR="000D6712">
        <w:rPr>
          <w:rFonts w:ascii="Century Gothic" w:hAnsi="Century Gothic"/>
        </w:rPr>
        <w:t xml:space="preserve">. L’analisi è concentrata sulle esigenze specifiche della zona-distretto della Piana di Lucca riguardo a temi generali quali: Case della Salute, liste di attesa, pronto soccorso, RSA, consultori. </w:t>
      </w:r>
    </w:p>
    <w:p w:rsidR="00A309FC" w:rsidRDefault="00A8466C" w:rsidP="00220961">
      <w:pPr>
        <w:jc w:val="both"/>
        <w:rPr>
          <w:rFonts w:ascii="Century Gothic" w:hAnsi="Century Gothic"/>
        </w:rPr>
      </w:pPr>
      <w:r>
        <w:rPr>
          <w:rFonts w:ascii="Century Gothic" w:hAnsi="Century Gothic"/>
        </w:rPr>
        <w:t xml:space="preserve">A livello provinciale sono presenti </w:t>
      </w:r>
      <w:r w:rsidR="00D821B8" w:rsidRPr="00812CD9">
        <w:rPr>
          <w:rFonts w:ascii="Century Gothic" w:hAnsi="Century Gothic"/>
        </w:rPr>
        <w:t>tre</w:t>
      </w:r>
      <w:r w:rsidR="00D821B8">
        <w:rPr>
          <w:rFonts w:ascii="Century Gothic" w:hAnsi="Century Gothic"/>
        </w:rPr>
        <w:t xml:space="preserve"> </w:t>
      </w:r>
      <w:r>
        <w:rPr>
          <w:rFonts w:ascii="Century Gothic" w:hAnsi="Century Gothic"/>
        </w:rPr>
        <w:t>piattaforme</w:t>
      </w:r>
      <w:r w:rsidR="00812CD9">
        <w:rPr>
          <w:rFonts w:ascii="Century Gothic" w:hAnsi="Century Gothic"/>
        </w:rPr>
        <w:t xml:space="preserve"> che afferiscono </w:t>
      </w:r>
      <w:r w:rsidR="00D8681E">
        <w:rPr>
          <w:rFonts w:ascii="Century Gothic" w:hAnsi="Century Gothic"/>
        </w:rPr>
        <w:t>ai</w:t>
      </w:r>
      <w:r w:rsidR="00812CD9">
        <w:rPr>
          <w:rFonts w:ascii="Century Gothic" w:hAnsi="Century Gothic"/>
        </w:rPr>
        <w:t xml:space="preserve"> seguenti </w:t>
      </w:r>
      <w:r w:rsidR="00D8681E">
        <w:rPr>
          <w:rFonts w:ascii="Century Gothic" w:hAnsi="Century Gothic"/>
        </w:rPr>
        <w:t>territori</w:t>
      </w:r>
      <w:r w:rsidR="00812CD9">
        <w:rPr>
          <w:rFonts w:ascii="Century Gothic" w:hAnsi="Century Gothic"/>
        </w:rPr>
        <w:t xml:space="preserve">: Arezzo, Prato, </w:t>
      </w:r>
      <w:r>
        <w:rPr>
          <w:rFonts w:ascii="Century Gothic" w:hAnsi="Century Gothic"/>
        </w:rPr>
        <w:t xml:space="preserve">Siena. </w:t>
      </w:r>
      <w:r w:rsidR="00692251">
        <w:rPr>
          <w:rFonts w:ascii="Century Gothic" w:hAnsi="Century Gothic"/>
        </w:rPr>
        <w:t xml:space="preserve">Come per anni precedenti, ad Arezzo è stato presentato documento di riferimento provinciale </w:t>
      </w:r>
      <w:r w:rsidR="006E09CF">
        <w:rPr>
          <w:rFonts w:ascii="Century Gothic" w:hAnsi="Century Gothic"/>
        </w:rPr>
        <w:t xml:space="preserve">con valenza biennale (2016-2017), </w:t>
      </w:r>
      <w:r w:rsidR="00692251">
        <w:rPr>
          <w:rFonts w:ascii="Century Gothic" w:hAnsi="Century Gothic"/>
        </w:rPr>
        <w:t xml:space="preserve">che può essere definito in sede di trattativa a seconda delle </w:t>
      </w:r>
      <w:r w:rsidR="00A309FC">
        <w:rPr>
          <w:rFonts w:ascii="Century Gothic" w:hAnsi="Century Gothic"/>
        </w:rPr>
        <w:t xml:space="preserve">esigenze </w:t>
      </w:r>
      <w:r w:rsidR="00A44CAE">
        <w:rPr>
          <w:rFonts w:ascii="Century Gothic" w:hAnsi="Century Gothic"/>
        </w:rPr>
        <w:t xml:space="preserve">delle singole zone o </w:t>
      </w:r>
      <w:r w:rsidR="00692251">
        <w:rPr>
          <w:rFonts w:ascii="Century Gothic" w:hAnsi="Century Gothic"/>
        </w:rPr>
        <w:t>dei singoli comuni</w:t>
      </w:r>
      <w:r w:rsidR="006E09CF">
        <w:rPr>
          <w:rFonts w:ascii="Century Gothic" w:hAnsi="Century Gothic"/>
        </w:rPr>
        <w:t>.</w:t>
      </w:r>
      <w:r w:rsidR="00692251">
        <w:rPr>
          <w:rFonts w:ascii="Century Gothic" w:hAnsi="Century Gothic"/>
        </w:rPr>
        <w:t xml:space="preserve"> Dopo una premessa che evidenzia l’importanza della contrattazione sociale per la popolazione nel suo complesso, si trattano </w:t>
      </w:r>
      <w:r w:rsidR="00A309FC">
        <w:rPr>
          <w:rFonts w:ascii="Century Gothic" w:hAnsi="Century Gothic"/>
        </w:rPr>
        <w:t>gli</w:t>
      </w:r>
      <w:r w:rsidR="00692251">
        <w:rPr>
          <w:rFonts w:ascii="Century Gothic" w:hAnsi="Century Gothic"/>
        </w:rPr>
        <w:t xml:space="preserve"> specific</w:t>
      </w:r>
      <w:r w:rsidR="00A309FC">
        <w:rPr>
          <w:rFonts w:ascii="Century Gothic" w:hAnsi="Century Gothic"/>
        </w:rPr>
        <w:t>i</w:t>
      </w:r>
      <w:r w:rsidR="00692251">
        <w:rPr>
          <w:rFonts w:ascii="Century Gothic" w:hAnsi="Century Gothic"/>
        </w:rPr>
        <w:t xml:space="preserve"> </w:t>
      </w:r>
      <w:r w:rsidR="00A309FC">
        <w:rPr>
          <w:rFonts w:ascii="Century Gothic" w:hAnsi="Century Gothic"/>
        </w:rPr>
        <w:t xml:space="preserve">argomenti: il welfare sociale e sanitario con particolare attenzione al riordino del sistema sanitario regionale; i servizi e la tassazione comunale; le politiche abitative; le politiche di genere. Rispetto alla precedente piattaforma 2014-2015, sono presenti alcune nuove tematiche: </w:t>
      </w:r>
      <w:r w:rsidR="00303EED">
        <w:rPr>
          <w:rFonts w:ascii="Century Gothic" w:hAnsi="Century Gothic"/>
        </w:rPr>
        <w:t xml:space="preserve">politiche di </w:t>
      </w:r>
      <w:r w:rsidR="00A309FC">
        <w:rPr>
          <w:rFonts w:ascii="Century Gothic" w:hAnsi="Century Gothic"/>
        </w:rPr>
        <w:t xml:space="preserve">immigrazione e accoglienza, </w:t>
      </w:r>
      <w:r w:rsidR="00303EED">
        <w:rPr>
          <w:rFonts w:ascii="Century Gothic" w:hAnsi="Century Gothic"/>
        </w:rPr>
        <w:t>divenute ormai rilevanti in Italia</w:t>
      </w:r>
      <w:r w:rsidR="00A309FC">
        <w:rPr>
          <w:rFonts w:ascii="Century Gothic" w:hAnsi="Century Gothic"/>
        </w:rPr>
        <w:t xml:space="preserve">; </w:t>
      </w:r>
      <w:r w:rsidR="00303EED">
        <w:rPr>
          <w:rFonts w:ascii="Century Gothic" w:hAnsi="Century Gothic"/>
        </w:rPr>
        <w:t>l’economia della condivisione, che,</w:t>
      </w:r>
      <w:r w:rsidR="001B4E26">
        <w:rPr>
          <w:rFonts w:ascii="Century Gothic" w:hAnsi="Century Gothic"/>
        </w:rPr>
        <w:t xml:space="preserve"> </w:t>
      </w:r>
      <w:r w:rsidR="00303EED">
        <w:rPr>
          <w:rFonts w:ascii="Century Gothic" w:hAnsi="Century Gothic"/>
        </w:rPr>
        <w:t>riallacciandosi alla cultura delle piccole comunità del passato, può riguardare vari aspetti</w:t>
      </w:r>
      <w:r w:rsidR="001B4E26">
        <w:rPr>
          <w:rFonts w:ascii="Century Gothic" w:hAnsi="Century Gothic"/>
        </w:rPr>
        <w:t xml:space="preserve"> (</w:t>
      </w:r>
      <w:r w:rsidR="00303EED">
        <w:rPr>
          <w:rFonts w:ascii="Century Gothic" w:hAnsi="Century Gothic"/>
        </w:rPr>
        <w:t>dal</w:t>
      </w:r>
      <w:r w:rsidR="001B4E26">
        <w:rPr>
          <w:rFonts w:ascii="Century Gothic" w:hAnsi="Century Gothic"/>
        </w:rPr>
        <w:t>la riduzione del</w:t>
      </w:r>
      <w:r w:rsidR="00303EED">
        <w:rPr>
          <w:rFonts w:ascii="Century Gothic" w:hAnsi="Century Gothic"/>
        </w:rPr>
        <w:t xml:space="preserve"> cibo sprecato al co-housing</w:t>
      </w:r>
      <w:r w:rsidR="001B4E26">
        <w:rPr>
          <w:rFonts w:ascii="Century Gothic" w:hAnsi="Century Gothic"/>
        </w:rPr>
        <w:t>)</w:t>
      </w:r>
      <w:r w:rsidR="00303EED">
        <w:rPr>
          <w:rFonts w:ascii="Century Gothic" w:hAnsi="Century Gothic"/>
        </w:rPr>
        <w:t xml:space="preserve">; le patologie derivanti dall’elettrosmog con la necessità di installazioni di telefonia mobile in zone con minor impatto per la salute dei cittadini. </w:t>
      </w:r>
    </w:p>
    <w:p w:rsidR="00F14CFC" w:rsidRDefault="00A8466C" w:rsidP="00220961">
      <w:pPr>
        <w:jc w:val="both"/>
        <w:rPr>
          <w:rFonts w:ascii="Century Gothic" w:hAnsi="Century Gothic"/>
        </w:rPr>
      </w:pPr>
      <w:r>
        <w:rPr>
          <w:rFonts w:ascii="Century Gothic" w:hAnsi="Century Gothic"/>
        </w:rPr>
        <w:t xml:space="preserve">Nella provincia di Prato è stato redatto un documento sintetico che si sofferma sulla programmazione socio-sanitaria e sulle politiche abitative (con particolare riguardo per gli anziani), ma che evidenzia altri temi come gestione degli appalti, servizi pubblici locali, politiche di genere, bilancio di genere. </w:t>
      </w:r>
      <w:r w:rsidR="00F14CFC">
        <w:rPr>
          <w:rFonts w:ascii="Century Gothic" w:hAnsi="Century Gothic"/>
        </w:rPr>
        <w:t xml:space="preserve">All’inizio del 2016, dalla delegazione di Siena è stato definita una bozza di protocollo di intesa da usare come modello per la contrattazione con i comuni della provincia, che è stata recepita nell’accordo con il comune di Siena. </w:t>
      </w:r>
    </w:p>
    <w:p w:rsidR="000D6712" w:rsidRDefault="00F14CFC" w:rsidP="00220961">
      <w:pPr>
        <w:jc w:val="both"/>
        <w:rPr>
          <w:rFonts w:ascii="Century Gothic" w:hAnsi="Century Gothic"/>
        </w:rPr>
      </w:pPr>
      <w:r>
        <w:rPr>
          <w:rFonts w:ascii="Century Gothic" w:hAnsi="Century Gothic"/>
        </w:rPr>
        <w:t xml:space="preserve">Per quanto riguarda il </w:t>
      </w:r>
      <w:r w:rsidRPr="00F14CFC">
        <w:rPr>
          <w:rFonts w:ascii="Century Gothic" w:hAnsi="Century Gothic"/>
        </w:rPr>
        <w:t xml:space="preserve">livello </w:t>
      </w:r>
      <w:r w:rsidR="000D6712" w:rsidRPr="00F14CFC">
        <w:rPr>
          <w:rFonts w:ascii="Century Gothic" w:hAnsi="Century Gothic"/>
        </w:rPr>
        <w:t xml:space="preserve">comunale </w:t>
      </w:r>
      <w:r w:rsidRPr="00F14CFC">
        <w:rPr>
          <w:rFonts w:ascii="Century Gothic" w:hAnsi="Century Gothic"/>
        </w:rPr>
        <w:t xml:space="preserve">si rileva un documento </w:t>
      </w:r>
      <w:r>
        <w:rPr>
          <w:rFonts w:ascii="Century Gothic" w:hAnsi="Century Gothic"/>
        </w:rPr>
        <w:t xml:space="preserve">della Lega SPI CGIL di </w:t>
      </w:r>
      <w:r w:rsidR="000D6712" w:rsidRPr="00F14CFC">
        <w:rPr>
          <w:rFonts w:ascii="Century Gothic" w:hAnsi="Century Gothic"/>
        </w:rPr>
        <w:t>Fiesole</w:t>
      </w:r>
      <w:r>
        <w:rPr>
          <w:rFonts w:ascii="Century Gothic" w:hAnsi="Century Gothic"/>
        </w:rPr>
        <w:t xml:space="preserve"> che, sulla base di incontri con gli iscritti, ha individuato </w:t>
      </w:r>
      <w:r w:rsidR="00D821B8">
        <w:rPr>
          <w:rFonts w:ascii="Century Gothic" w:hAnsi="Century Gothic"/>
        </w:rPr>
        <w:t>i bisogni</w:t>
      </w:r>
      <w:r>
        <w:rPr>
          <w:rFonts w:ascii="Century Gothic" w:hAnsi="Century Gothic"/>
        </w:rPr>
        <w:t xml:space="preserve"> della popolazione anziana residente nel comune. In primo luogo emerge </w:t>
      </w:r>
      <w:r w:rsidR="00D821B8">
        <w:rPr>
          <w:rFonts w:ascii="Century Gothic" w:hAnsi="Century Gothic"/>
        </w:rPr>
        <w:t xml:space="preserve">l’esigenza di una riflessione sullo stato dei servizi socio-sanitari locali alla luce della riorganizzazione del sistema sanitario regionale, con l’evidenziazione di alcune questioni specifiche. </w:t>
      </w:r>
      <w:r w:rsidR="006458F0">
        <w:rPr>
          <w:rFonts w:ascii="Century Gothic" w:hAnsi="Century Gothic"/>
        </w:rPr>
        <w:t>L’attenzione</w:t>
      </w:r>
      <w:r w:rsidR="00D821B8">
        <w:rPr>
          <w:rFonts w:ascii="Century Gothic" w:hAnsi="Century Gothic"/>
        </w:rPr>
        <w:t xml:space="preserve"> si concentra</w:t>
      </w:r>
      <w:r w:rsidR="006458F0">
        <w:rPr>
          <w:rFonts w:ascii="Century Gothic" w:hAnsi="Century Gothic"/>
        </w:rPr>
        <w:t xml:space="preserve"> anche </w:t>
      </w:r>
      <w:r w:rsidR="00D821B8">
        <w:rPr>
          <w:rFonts w:ascii="Century Gothic" w:hAnsi="Century Gothic"/>
        </w:rPr>
        <w:t xml:space="preserve">sulla manutenzione del territorio, con la messa in sicurezza e la pulizia di </w:t>
      </w:r>
      <w:r w:rsidR="006458F0">
        <w:rPr>
          <w:rFonts w:ascii="Century Gothic" w:hAnsi="Century Gothic"/>
        </w:rPr>
        <w:t xml:space="preserve">aree e strade comunali. </w:t>
      </w:r>
    </w:p>
    <w:p w:rsidR="00026223" w:rsidRDefault="00026223" w:rsidP="00220961">
      <w:pPr>
        <w:jc w:val="both"/>
        <w:rPr>
          <w:rFonts w:ascii="Century Gothic" w:hAnsi="Century Gothic"/>
        </w:rPr>
      </w:pPr>
      <w:r w:rsidRPr="0090280A">
        <w:rPr>
          <w:rFonts w:ascii="Century Gothic" w:hAnsi="Century Gothic"/>
        </w:rPr>
        <w:t xml:space="preserve">Da un esame complessivo delle piattaforme, si </w:t>
      </w:r>
      <w:r w:rsidR="00613E7B" w:rsidRPr="0090280A">
        <w:rPr>
          <w:rFonts w:ascii="Century Gothic" w:hAnsi="Century Gothic"/>
        </w:rPr>
        <w:t xml:space="preserve">rileva </w:t>
      </w:r>
      <w:r w:rsidR="0022470F" w:rsidRPr="0090280A">
        <w:rPr>
          <w:rFonts w:ascii="Century Gothic" w:hAnsi="Century Gothic"/>
        </w:rPr>
        <w:t xml:space="preserve">la centralità della questione della </w:t>
      </w:r>
      <w:r w:rsidRPr="0090280A">
        <w:rPr>
          <w:rFonts w:ascii="Century Gothic" w:hAnsi="Century Gothic"/>
        </w:rPr>
        <w:t>riorganizzazione del sistema socio-sanitario</w:t>
      </w:r>
      <w:r w:rsidR="0090280A">
        <w:rPr>
          <w:rFonts w:ascii="Century Gothic" w:hAnsi="Century Gothic"/>
        </w:rPr>
        <w:t xml:space="preserve">, che, come rilevato nella piattaforma regionale delle organizzazioni sindacali confederali, pone l’esigenza di un costante monitoraggio al fine di garantire omogeneità e qualità delle prestazioni. </w:t>
      </w:r>
    </w:p>
    <w:p w:rsidR="0090280A" w:rsidRDefault="0090280A" w:rsidP="00220961">
      <w:pPr>
        <w:jc w:val="both"/>
        <w:rPr>
          <w:rFonts w:ascii="Century Gothic" w:hAnsi="Century Gothic"/>
        </w:rPr>
      </w:pPr>
      <w:r>
        <w:rPr>
          <w:rFonts w:ascii="Century Gothic" w:hAnsi="Century Gothic"/>
        </w:rPr>
        <w:t xml:space="preserve">Al settore </w:t>
      </w:r>
      <w:r w:rsidR="006E09CF">
        <w:rPr>
          <w:rFonts w:ascii="Century Gothic" w:hAnsi="Century Gothic"/>
        </w:rPr>
        <w:t>socio-</w:t>
      </w:r>
      <w:r>
        <w:rPr>
          <w:rFonts w:ascii="Century Gothic" w:hAnsi="Century Gothic"/>
        </w:rPr>
        <w:t xml:space="preserve">sanitario afferisce anche una delle due delibere raccolte nel 2016, </w:t>
      </w:r>
      <w:r w:rsidR="007E2BE4">
        <w:rPr>
          <w:rFonts w:ascii="Century Gothic" w:hAnsi="Century Gothic"/>
        </w:rPr>
        <w:t xml:space="preserve">che è stata </w:t>
      </w:r>
      <w:r>
        <w:rPr>
          <w:rFonts w:ascii="Century Gothic" w:hAnsi="Century Gothic"/>
        </w:rPr>
        <w:t>emanata dalla Società della Salute di Firenze</w:t>
      </w:r>
      <w:r w:rsidR="007E2BE4">
        <w:rPr>
          <w:rFonts w:ascii="Century Gothic" w:hAnsi="Century Gothic"/>
        </w:rPr>
        <w:t xml:space="preserve"> e riguarda l’approvazione di nuovi regolamenti </w:t>
      </w:r>
      <w:r w:rsidR="006E09CF">
        <w:rPr>
          <w:rFonts w:ascii="Century Gothic" w:hAnsi="Century Gothic"/>
        </w:rPr>
        <w:t>per l’accesso</w:t>
      </w:r>
      <w:r w:rsidR="007E2BE4">
        <w:rPr>
          <w:rFonts w:ascii="Century Gothic" w:hAnsi="Century Gothic"/>
        </w:rPr>
        <w:t xml:space="preserve"> </w:t>
      </w:r>
      <w:r w:rsidR="006E09CF">
        <w:rPr>
          <w:rFonts w:ascii="Century Gothic" w:hAnsi="Century Gothic"/>
        </w:rPr>
        <w:t>alle prestazioni</w:t>
      </w:r>
      <w:r w:rsidR="007E2BE4">
        <w:rPr>
          <w:rFonts w:ascii="Century Gothic" w:hAnsi="Century Gothic"/>
        </w:rPr>
        <w:t xml:space="preserve"> domiciliar</w:t>
      </w:r>
      <w:r w:rsidR="006E09CF">
        <w:rPr>
          <w:rFonts w:ascii="Century Gothic" w:hAnsi="Century Gothic"/>
        </w:rPr>
        <w:t>i</w:t>
      </w:r>
      <w:r w:rsidR="007E2BE4">
        <w:rPr>
          <w:rFonts w:ascii="Century Gothic" w:hAnsi="Century Gothic"/>
        </w:rPr>
        <w:t xml:space="preserve">, </w:t>
      </w:r>
      <w:r w:rsidR="006E09CF">
        <w:rPr>
          <w:rFonts w:ascii="Century Gothic" w:hAnsi="Century Gothic"/>
        </w:rPr>
        <w:t>alle</w:t>
      </w:r>
      <w:r w:rsidR="007E2BE4">
        <w:rPr>
          <w:rFonts w:ascii="Century Gothic" w:hAnsi="Century Gothic"/>
        </w:rPr>
        <w:t xml:space="preserve"> residenze sanitarie assistite, </w:t>
      </w:r>
      <w:r w:rsidR="006E09CF">
        <w:rPr>
          <w:rFonts w:ascii="Century Gothic" w:hAnsi="Century Gothic"/>
        </w:rPr>
        <w:t>a</w:t>
      </w:r>
      <w:r w:rsidR="007E2BE4">
        <w:rPr>
          <w:rFonts w:ascii="Century Gothic" w:hAnsi="Century Gothic"/>
        </w:rPr>
        <w:t xml:space="preserve">gli interventi economici di assistenza sociale. L’approvazione di questi regolamenti è stata preceduta da un processo di </w:t>
      </w:r>
      <w:r w:rsidR="006E09CF">
        <w:rPr>
          <w:rFonts w:ascii="Century Gothic" w:hAnsi="Century Gothic"/>
        </w:rPr>
        <w:t>coinvolgimento</w:t>
      </w:r>
      <w:r>
        <w:rPr>
          <w:rFonts w:ascii="Century Gothic" w:hAnsi="Century Gothic"/>
        </w:rPr>
        <w:t xml:space="preserve"> </w:t>
      </w:r>
      <w:r w:rsidR="006E09CF">
        <w:rPr>
          <w:rFonts w:ascii="Century Gothic" w:hAnsi="Century Gothic"/>
        </w:rPr>
        <w:t>dell</w:t>
      </w:r>
      <w:r w:rsidR="007E2BE4">
        <w:rPr>
          <w:rFonts w:ascii="Century Gothic" w:hAnsi="Century Gothic"/>
        </w:rPr>
        <w:t>e organizzazioni sindacali confederali</w:t>
      </w:r>
      <w:r w:rsidR="006E09CF">
        <w:rPr>
          <w:rFonts w:ascii="Century Gothic" w:hAnsi="Century Gothic"/>
        </w:rPr>
        <w:t>,</w:t>
      </w:r>
      <w:r w:rsidR="007E2BE4">
        <w:rPr>
          <w:rFonts w:ascii="Century Gothic" w:hAnsi="Century Gothic"/>
        </w:rPr>
        <w:t xml:space="preserve"> in cui</w:t>
      </w:r>
      <w:r w:rsidR="00ED13A6">
        <w:rPr>
          <w:rFonts w:ascii="Century Gothic" w:hAnsi="Century Gothic"/>
        </w:rPr>
        <w:t xml:space="preserve"> </w:t>
      </w:r>
      <w:r w:rsidR="006E09CF">
        <w:rPr>
          <w:rFonts w:ascii="Century Gothic" w:hAnsi="Century Gothic"/>
        </w:rPr>
        <w:t>è stata condivisa la necessità di modifiche regolamentari al fine di garantire equità e sostenibilità della spesa sociale. La seconda d</w:t>
      </w:r>
      <w:r w:rsidR="0057572E">
        <w:rPr>
          <w:rFonts w:ascii="Century Gothic" w:hAnsi="Century Gothic"/>
        </w:rPr>
        <w:t xml:space="preserve">elibera è di livello comunale e definisce i criteri di accesso al fondo anti-crisi dell’amministrazione di Serravalle Pistoiese, che sono concordati con le organizzazioni sindacali. </w:t>
      </w:r>
      <w:r w:rsidR="001B4E26" w:rsidRPr="00145142">
        <w:rPr>
          <w:rFonts w:ascii="Century Gothic" w:hAnsi="Century Gothic"/>
        </w:rPr>
        <w:t>La d</w:t>
      </w:r>
      <w:r w:rsidR="00FB01FB" w:rsidRPr="00145142">
        <w:rPr>
          <w:rFonts w:ascii="Century Gothic" w:hAnsi="Century Gothic"/>
        </w:rPr>
        <w:t xml:space="preserve">elibera </w:t>
      </w:r>
      <w:r w:rsidR="001B4E26" w:rsidRPr="00145142">
        <w:rPr>
          <w:rFonts w:ascii="Century Gothic" w:hAnsi="Century Gothic"/>
        </w:rPr>
        <w:t>è stata emanata nell’agosto 2015, ma è stata considerata nel materiale 2016, dato che è stata inviata come parte integrante dell’accordo sul bilancio 2016.</w:t>
      </w:r>
    </w:p>
    <w:p w:rsidR="00916AC1" w:rsidRDefault="00916AC1" w:rsidP="00462B52">
      <w:pPr>
        <w:jc w:val="both"/>
        <w:rPr>
          <w:rFonts w:ascii="Century Gothic" w:hAnsi="Century Gothic"/>
        </w:rPr>
      </w:pPr>
      <w:r w:rsidRPr="000D7ADB">
        <w:rPr>
          <w:rFonts w:ascii="Century Gothic" w:hAnsi="Century Gothic"/>
        </w:rPr>
        <w:t>Dopo questa panoramica sulle piattaforme e le delibere, nel prosieguo del capitolo e nei capitoli seguenti l’attenzione sarà volta</w:t>
      </w:r>
      <w:r w:rsidR="00CD3003" w:rsidRPr="000D7ADB">
        <w:rPr>
          <w:rFonts w:ascii="Century Gothic" w:hAnsi="Century Gothic"/>
        </w:rPr>
        <w:t xml:space="preserve"> </w:t>
      </w:r>
      <w:r w:rsidRPr="000D7ADB">
        <w:rPr>
          <w:rFonts w:ascii="Century Gothic" w:hAnsi="Century Gothic"/>
        </w:rPr>
        <w:t>a</w:t>
      </w:r>
      <w:r w:rsidR="00CD3003" w:rsidRPr="000D7ADB">
        <w:rPr>
          <w:rFonts w:ascii="Century Gothic" w:hAnsi="Century Gothic"/>
        </w:rPr>
        <w:t xml:space="preserve">gli accordi, </w:t>
      </w:r>
      <w:r w:rsidRPr="000D7ADB">
        <w:rPr>
          <w:rFonts w:ascii="Century Gothic" w:hAnsi="Century Gothic"/>
        </w:rPr>
        <w:t>in particolare quelli comunali e</w:t>
      </w:r>
      <w:r w:rsidR="00CD3003" w:rsidRPr="000D7ADB">
        <w:rPr>
          <w:rFonts w:ascii="Century Gothic" w:hAnsi="Century Gothic"/>
        </w:rPr>
        <w:t xml:space="preserve"> </w:t>
      </w:r>
      <w:r w:rsidRPr="000D7ADB">
        <w:rPr>
          <w:rFonts w:ascii="Century Gothic" w:hAnsi="Century Gothic"/>
        </w:rPr>
        <w:t xml:space="preserve">intercomunali, che costituiscono </w:t>
      </w:r>
      <w:r w:rsidR="00282B34" w:rsidRPr="000D7ADB">
        <w:rPr>
          <w:rFonts w:ascii="Century Gothic" w:hAnsi="Century Gothic"/>
        </w:rPr>
        <w:t xml:space="preserve">la parte centrale </w:t>
      </w:r>
      <w:r w:rsidRPr="000D7ADB">
        <w:rPr>
          <w:rFonts w:ascii="Century Gothic" w:hAnsi="Century Gothic"/>
        </w:rPr>
        <w:t>della contrattazione sociale territoriale.</w:t>
      </w:r>
    </w:p>
    <w:p w:rsidR="002A1404" w:rsidRDefault="002A1404">
      <w:pPr>
        <w:rPr>
          <w:rFonts w:ascii="Century Gothic" w:hAnsi="Century Gothic"/>
        </w:rPr>
      </w:pPr>
    </w:p>
    <w:p w:rsidR="00FD327F" w:rsidRDefault="00715247" w:rsidP="00FD327F">
      <w:pPr>
        <w:jc w:val="both"/>
        <w:rPr>
          <w:rFonts w:ascii="Century Gothic" w:hAnsi="Century Gothic"/>
          <w:b/>
          <w:bCs/>
        </w:rPr>
      </w:pPr>
      <w:r>
        <w:rPr>
          <w:rFonts w:ascii="Century Gothic" w:hAnsi="Century Gothic"/>
          <w:b/>
          <w:bCs/>
        </w:rPr>
        <w:t>2</w:t>
      </w:r>
      <w:r w:rsidR="00FD327F" w:rsidRPr="0035601B">
        <w:rPr>
          <w:rFonts w:ascii="Century Gothic" w:hAnsi="Century Gothic"/>
          <w:b/>
          <w:bCs/>
        </w:rPr>
        <w:t>.</w:t>
      </w:r>
      <w:r w:rsidR="0090759C">
        <w:rPr>
          <w:rFonts w:ascii="Century Gothic" w:hAnsi="Century Gothic"/>
          <w:b/>
          <w:bCs/>
        </w:rPr>
        <w:t>3</w:t>
      </w:r>
      <w:r w:rsidR="00FD327F" w:rsidRPr="0035601B">
        <w:rPr>
          <w:rFonts w:ascii="Century Gothic" w:hAnsi="Century Gothic"/>
          <w:b/>
          <w:bCs/>
        </w:rPr>
        <w:t>.</w:t>
      </w:r>
      <w:r w:rsidR="00FD327F">
        <w:rPr>
          <w:rFonts w:ascii="Century Gothic" w:hAnsi="Century Gothic"/>
          <w:b/>
          <w:bCs/>
        </w:rPr>
        <w:t xml:space="preserve"> </w:t>
      </w:r>
      <w:r w:rsidR="00FD327F" w:rsidRPr="0035601B">
        <w:rPr>
          <w:rFonts w:ascii="Century Gothic" w:hAnsi="Century Gothic"/>
          <w:b/>
          <w:bCs/>
        </w:rPr>
        <w:t>Il livello dell’accordo</w:t>
      </w:r>
    </w:p>
    <w:p w:rsidR="00F91EC4" w:rsidRDefault="00F91EC4" w:rsidP="00FD327F">
      <w:pPr>
        <w:jc w:val="both"/>
        <w:rPr>
          <w:rFonts w:ascii="Century Gothic" w:hAnsi="Century Gothic"/>
          <w:b/>
          <w:bCs/>
        </w:rPr>
      </w:pPr>
    </w:p>
    <w:p w:rsidR="008348D0" w:rsidRDefault="00F91EC4" w:rsidP="00FD327F">
      <w:pPr>
        <w:jc w:val="both"/>
        <w:rPr>
          <w:rFonts w:ascii="Century Gothic" w:hAnsi="Century Gothic"/>
        </w:rPr>
      </w:pPr>
      <w:r>
        <w:rPr>
          <w:rFonts w:ascii="Century Gothic" w:hAnsi="Century Gothic"/>
        </w:rPr>
        <w:t xml:space="preserve">Gli accordi possono essere di diversi livelli partendo dal regionale fino al comunale, oppure riguardare intese in ambito specificatamente sanitario con le ASL e le </w:t>
      </w:r>
      <w:r w:rsidRPr="002D3388">
        <w:rPr>
          <w:rFonts w:ascii="Century Gothic" w:hAnsi="Century Gothic"/>
        </w:rPr>
        <w:t>Società della Salute.</w:t>
      </w:r>
    </w:p>
    <w:p w:rsidR="008348D0" w:rsidRDefault="008348D0">
      <w:pPr>
        <w:rPr>
          <w:rFonts w:ascii="Century Gothic" w:hAnsi="Century Gothic"/>
        </w:rPr>
      </w:pPr>
    </w:p>
    <w:p w:rsidR="00FD327F" w:rsidRDefault="00FD327F" w:rsidP="00FD327F">
      <w:pPr>
        <w:jc w:val="both"/>
        <w:rPr>
          <w:rFonts w:ascii="Century Gothic" w:hAnsi="Century Gothic" w:cs="Arial"/>
          <w:b/>
          <w:bCs/>
          <w:sz w:val="20"/>
          <w:szCs w:val="20"/>
          <w:lang w:eastAsia="it-IT"/>
        </w:rPr>
      </w:pPr>
      <w:r w:rsidRPr="0035601B">
        <w:rPr>
          <w:rFonts w:ascii="Century Gothic" w:hAnsi="Century Gothic"/>
          <w:b/>
          <w:bCs/>
        </w:rPr>
        <w:t xml:space="preserve">Tab. n. </w:t>
      </w:r>
      <w:r w:rsidR="002D304A">
        <w:rPr>
          <w:rFonts w:ascii="Century Gothic" w:hAnsi="Century Gothic"/>
          <w:b/>
          <w:bCs/>
        </w:rPr>
        <w:t>1</w:t>
      </w:r>
      <w:r w:rsidRPr="0035601B">
        <w:rPr>
          <w:rFonts w:ascii="Century Gothic" w:hAnsi="Century Gothic"/>
          <w:b/>
          <w:bCs/>
        </w:rPr>
        <w:t>- Il livello dell’accordo % sul t</w:t>
      </w:r>
      <w:r>
        <w:rPr>
          <w:rFonts w:ascii="Century Gothic" w:hAnsi="Century Gothic"/>
          <w:b/>
          <w:bCs/>
        </w:rPr>
        <w:t>otale di ciascun anno (2009-201</w:t>
      </w:r>
      <w:r w:rsidR="00A23682">
        <w:rPr>
          <w:rFonts w:ascii="Century Gothic" w:hAnsi="Century Gothic"/>
          <w:b/>
          <w:bCs/>
        </w:rPr>
        <w:t>5</w:t>
      </w:r>
      <w:r w:rsidRPr="0035601B">
        <w:rPr>
          <w:rFonts w:ascii="Century Gothic" w:hAnsi="Century Gothic"/>
          <w:b/>
          <w:bCs/>
        </w:rPr>
        <w:t>)</w:t>
      </w:r>
      <w:r>
        <w:rPr>
          <w:rFonts w:ascii="Century Gothic" w:hAnsi="Century Gothic" w:cs="Arial"/>
          <w:b/>
          <w:bCs/>
          <w:sz w:val="20"/>
          <w:szCs w:val="20"/>
          <w:lang w:eastAsia="it-IT"/>
        </w:rPr>
        <w:t xml:space="preserve"> </w:t>
      </w:r>
    </w:p>
    <w:p w:rsidR="0031617F" w:rsidRDefault="0031617F" w:rsidP="00FD327F">
      <w:pPr>
        <w:jc w:val="both"/>
        <w:rPr>
          <w:rFonts w:ascii="Century Gothic" w:hAnsi="Century Gothic" w:cs="Arial"/>
          <w:b/>
          <w:bCs/>
          <w:sz w:val="20"/>
          <w:szCs w:val="20"/>
          <w:lang w:eastAsia="it-IT"/>
        </w:rPr>
      </w:pPr>
    </w:p>
    <w:p w:rsidR="002D062D" w:rsidRDefault="002D062D" w:rsidP="00FD327F">
      <w:pPr>
        <w:jc w:val="both"/>
        <w:rPr>
          <w:rFonts w:ascii="Century Gothic" w:hAnsi="Century Gothic" w:cs="Arial"/>
          <w:b/>
          <w:bCs/>
          <w:sz w:val="20"/>
          <w:szCs w:val="20"/>
          <w:lang w:eastAsia="it-IT"/>
        </w:rPr>
      </w:pPr>
      <w:r w:rsidRPr="002D062D">
        <w:rPr>
          <w:rFonts w:ascii="Century Gothic" w:hAnsi="Century Gothic" w:cs="Arial"/>
          <w:b/>
          <w:bCs/>
          <w:noProof/>
          <w:sz w:val="20"/>
          <w:szCs w:val="20"/>
          <w:lang w:eastAsia="it-IT"/>
        </w:rPr>
        <w:drawing>
          <wp:inline distT="0" distB="0" distL="0" distR="0">
            <wp:extent cx="5429250" cy="1809750"/>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29250" cy="1809750"/>
                    </a:xfrm>
                    <a:prstGeom prst="rect">
                      <a:avLst/>
                    </a:prstGeom>
                    <a:noFill/>
                    <a:ln w="9525">
                      <a:noFill/>
                      <a:miter lim="800000"/>
                      <a:headEnd/>
                      <a:tailEnd/>
                    </a:ln>
                  </pic:spPr>
                </pic:pic>
              </a:graphicData>
            </a:graphic>
          </wp:inline>
        </w:drawing>
      </w:r>
    </w:p>
    <w:p w:rsidR="002D062D" w:rsidRDefault="002D062D" w:rsidP="00FD327F">
      <w:pPr>
        <w:jc w:val="both"/>
        <w:rPr>
          <w:rFonts w:ascii="Century Gothic" w:hAnsi="Century Gothic" w:cs="Arial"/>
          <w:b/>
          <w:bCs/>
          <w:sz w:val="20"/>
          <w:szCs w:val="20"/>
          <w:lang w:eastAsia="it-IT"/>
        </w:rPr>
      </w:pPr>
    </w:p>
    <w:p w:rsidR="0070088D" w:rsidRDefault="0070088D" w:rsidP="0070088D">
      <w:pPr>
        <w:jc w:val="both"/>
        <w:rPr>
          <w:rFonts w:ascii="Century Gothic" w:hAnsi="Century Gothic"/>
        </w:rPr>
      </w:pPr>
      <w:r>
        <w:rPr>
          <w:rFonts w:ascii="Century Gothic" w:hAnsi="Century Gothic"/>
        </w:rPr>
        <w:t xml:space="preserve">Con il termine intese regionali si indicano sia gli i protocolli siglati con la Regione, sia quelli siglati con associazioni che raggruppano enti locali, come ad esempio l’ANCI, nel loro livello regionale. </w:t>
      </w:r>
    </w:p>
    <w:p w:rsidR="00DB3D69" w:rsidRDefault="00D24996" w:rsidP="00D24996">
      <w:pPr>
        <w:jc w:val="both"/>
        <w:rPr>
          <w:rFonts w:ascii="Century Gothic" w:hAnsi="Century Gothic"/>
        </w:rPr>
      </w:pPr>
      <w:r>
        <w:rPr>
          <w:rFonts w:ascii="Century Gothic" w:hAnsi="Century Gothic"/>
        </w:rPr>
        <w:t xml:space="preserve">Passiamo a esaminare i dati statistici sul livello dell’accordo corredandoli di un commento sui principali contenuti delle intese. </w:t>
      </w:r>
      <w:r w:rsidRPr="00352CA8">
        <w:rPr>
          <w:rFonts w:ascii="Century Gothic" w:hAnsi="Century Gothic"/>
        </w:rPr>
        <w:t xml:space="preserve">La quota degli accordi regionali </w:t>
      </w:r>
      <w:r w:rsidR="002D062D">
        <w:rPr>
          <w:rFonts w:ascii="Century Gothic" w:hAnsi="Century Gothic"/>
        </w:rPr>
        <w:t xml:space="preserve">aumenta di un punto </w:t>
      </w:r>
      <w:r w:rsidR="0070088D">
        <w:rPr>
          <w:rFonts w:ascii="Century Gothic" w:hAnsi="Century Gothic"/>
        </w:rPr>
        <w:t>p</w:t>
      </w:r>
      <w:r w:rsidR="0031617F">
        <w:rPr>
          <w:rFonts w:ascii="Century Gothic" w:hAnsi="Century Gothic"/>
        </w:rPr>
        <w:t xml:space="preserve">assando </w:t>
      </w:r>
      <w:r w:rsidR="002D062D">
        <w:rPr>
          <w:rFonts w:ascii="Century Gothic" w:hAnsi="Century Gothic"/>
        </w:rPr>
        <w:t>dal 4,2</w:t>
      </w:r>
      <w:r w:rsidR="0031617F">
        <w:rPr>
          <w:rFonts w:ascii="Century Gothic" w:hAnsi="Century Gothic"/>
        </w:rPr>
        <w:t xml:space="preserve">% al </w:t>
      </w:r>
      <w:r w:rsidR="002D062D">
        <w:rPr>
          <w:rFonts w:ascii="Century Gothic" w:hAnsi="Century Gothic"/>
        </w:rPr>
        <w:t>5,1</w:t>
      </w:r>
      <w:r w:rsidR="0031617F">
        <w:rPr>
          <w:rFonts w:ascii="Century Gothic" w:hAnsi="Century Gothic"/>
        </w:rPr>
        <w:t>%</w:t>
      </w:r>
      <w:r w:rsidRPr="00352CA8">
        <w:rPr>
          <w:rFonts w:ascii="Century Gothic" w:hAnsi="Century Gothic"/>
        </w:rPr>
        <w:t xml:space="preserve">. </w:t>
      </w:r>
      <w:r w:rsidR="0070088D">
        <w:rPr>
          <w:rFonts w:ascii="Century Gothic" w:hAnsi="Century Gothic"/>
        </w:rPr>
        <w:t xml:space="preserve">Tra di essi assume particolare rilevanza il protocollo di intesa siglato con l’ANCI Toscana, perché come negli anni precedenti fornisce delle linee di indirizzo sulle tematiche della negoziazione sociale, che poi le delegazioni territoriali possono adattare allo specifico contesto locale. Come negli anni precedenti, </w:t>
      </w:r>
      <w:r w:rsidR="00B60DA4">
        <w:rPr>
          <w:rFonts w:ascii="Century Gothic" w:hAnsi="Century Gothic"/>
        </w:rPr>
        <w:t>sono individuati i principali ambiti di intervento della contrattazione sociale: equità e lotta all’evasione fiscale e tariffaria, politiche abitative, politiche per l’infanzia, gestione degli appalti, servizi sociali, fondi anticrisi. Nella parte introduttiva</w:t>
      </w:r>
      <w:r w:rsidR="00DB3D69">
        <w:rPr>
          <w:rFonts w:ascii="Century Gothic" w:hAnsi="Century Gothic"/>
        </w:rPr>
        <w:t xml:space="preserve">, oltre a ricordare i principi di base (metodo concertativo e tutela del welfare locale), viene posta l’attenzione sui cambiamenti in corso all’interno dell’organizzazione territoriale. In particolare viene ritenuta </w:t>
      </w:r>
      <w:r w:rsidR="00F51AB1" w:rsidRPr="003A3698">
        <w:rPr>
          <w:rFonts w:ascii="Century Gothic" w:hAnsi="Century Gothic"/>
        </w:rPr>
        <w:t>fondamentale</w:t>
      </w:r>
      <w:r w:rsidR="00DB3D69">
        <w:rPr>
          <w:rFonts w:ascii="Century Gothic" w:hAnsi="Century Gothic"/>
        </w:rPr>
        <w:t xml:space="preserve"> un’attenta riflessione sui modelli di riordino territoriale</w:t>
      </w:r>
      <w:r w:rsidR="00F51AB1">
        <w:rPr>
          <w:rFonts w:ascii="Century Gothic" w:hAnsi="Century Gothic"/>
        </w:rPr>
        <w:t xml:space="preserve">, </w:t>
      </w:r>
      <w:r w:rsidR="00DB3D69">
        <w:rPr>
          <w:rFonts w:ascii="Century Gothic" w:hAnsi="Century Gothic"/>
        </w:rPr>
        <w:t>in cui</w:t>
      </w:r>
      <w:r w:rsidR="00F51AB1">
        <w:rPr>
          <w:rFonts w:ascii="Century Gothic" w:hAnsi="Century Gothic"/>
        </w:rPr>
        <w:t>,</w:t>
      </w:r>
      <w:r w:rsidR="00DB3D69">
        <w:rPr>
          <w:rFonts w:ascii="Century Gothic" w:hAnsi="Century Gothic"/>
        </w:rPr>
        <w:t xml:space="preserve"> </w:t>
      </w:r>
      <w:r w:rsidR="00F51AB1">
        <w:rPr>
          <w:rFonts w:ascii="Century Gothic" w:hAnsi="Century Gothic"/>
        </w:rPr>
        <w:t xml:space="preserve">sulla base delle aree vaste, </w:t>
      </w:r>
      <w:r w:rsidR="00DB3D69">
        <w:rPr>
          <w:rFonts w:ascii="Century Gothic" w:hAnsi="Century Gothic"/>
        </w:rPr>
        <w:t xml:space="preserve">vengano individuati degli ambiti ottimali per lo svolgimento efficiente dei servizi. In questo quadro si </w:t>
      </w:r>
      <w:r w:rsidR="003A3698">
        <w:rPr>
          <w:rFonts w:ascii="Century Gothic" w:hAnsi="Century Gothic"/>
        </w:rPr>
        <w:t>reputa</w:t>
      </w:r>
      <w:r w:rsidR="00DB3D69">
        <w:rPr>
          <w:rFonts w:ascii="Century Gothic" w:hAnsi="Century Gothic"/>
        </w:rPr>
        <w:t xml:space="preserve"> opportuno incentivare le iniziative di gestione associata dei Comuni e, qualora sussistano le condizioni, la fusione </w:t>
      </w:r>
      <w:r w:rsidR="0069135C">
        <w:rPr>
          <w:rFonts w:ascii="Century Gothic" w:hAnsi="Century Gothic"/>
        </w:rPr>
        <w:t xml:space="preserve">date </w:t>
      </w:r>
      <w:r w:rsidR="00DB3D69">
        <w:rPr>
          <w:rFonts w:ascii="Century Gothic" w:hAnsi="Century Gothic"/>
        </w:rPr>
        <w:t xml:space="preserve">anche le agevolazioni della legge di stabilità </w:t>
      </w:r>
      <w:r w:rsidR="00F51AB1">
        <w:rPr>
          <w:rFonts w:ascii="Century Gothic" w:hAnsi="Century Gothic"/>
        </w:rPr>
        <w:t xml:space="preserve">2016. Per quanto riguarda lo specifico ambito socio-sanitario si stima </w:t>
      </w:r>
      <w:r w:rsidR="00F51AB1" w:rsidRPr="003A3698">
        <w:rPr>
          <w:rFonts w:ascii="Century Gothic" w:hAnsi="Century Gothic"/>
        </w:rPr>
        <w:t>necessaria</w:t>
      </w:r>
      <w:r w:rsidR="00F51AB1">
        <w:rPr>
          <w:rFonts w:ascii="Century Gothic" w:hAnsi="Century Gothic"/>
        </w:rPr>
        <w:t xml:space="preserve"> una valutazione sulla riforma delle nuove zone-distretto. </w:t>
      </w:r>
    </w:p>
    <w:p w:rsidR="0069135C" w:rsidRDefault="003A3698" w:rsidP="00D24996">
      <w:pPr>
        <w:jc w:val="both"/>
        <w:rPr>
          <w:rFonts w:ascii="Century Gothic" w:hAnsi="Century Gothic"/>
        </w:rPr>
      </w:pPr>
      <w:r>
        <w:rPr>
          <w:rFonts w:ascii="Century Gothic" w:hAnsi="Century Gothic"/>
        </w:rPr>
        <w:t xml:space="preserve">Come nel 2015, </w:t>
      </w:r>
      <w:r w:rsidR="000008D4">
        <w:rPr>
          <w:rFonts w:ascii="Century Gothic" w:hAnsi="Century Gothic"/>
        </w:rPr>
        <w:t xml:space="preserve">viene </w:t>
      </w:r>
      <w:r>
        <w:rPr>
          <w:rFonts w:ascii="Century Gothic" w:hAnsi="Century Gothic"/>
        </w:rPr>
        <w:t>giudicato</w:t>
      </w:r>
      <w:r w:rsidR="000008D4">
        <w:rPr>
          <w:rFonts w:ascii="Century Gothic" w:hAnsi="Century Gothic"/>
        </w:rPr>
        <w:t xml:space="preserve"> positivamente l’allentamento del Patto di Stabilità, </w:t>
      </w:r>
      <w:r>
        <w:rPr>
          <w:rFonts w:ascii="Century Gothic" w:hAnsi="Century Gothic"/>
        </w:rPr>
        <w:t>operazione che potrebbe consentire possibilità di maggiore spesa</w:t>
      </w:r>
      <w:r w:rsidR="000008D4">
        <w:rPr>
          <w:rFonts w:ascii="Century Gothic" w:hAnsi="Century Gothic"/>
        </w:rPr>
        <w:t xml:space="preserve"> per la messa in sicurezza del territorio e degli edifici pubblici, in particolare quelli scolastici. </w:t>
      </w:r>
    </w:p>
    <w:p w:rsidR="006974F6" w:rsidRDefault="000008D4" w:rsidP="00D24996">
      <w:pPr>
        <w:jc w:val="both"/>
        <w:rPr>
          <w:rFonts w:ascii="Century Gothic" w:hAnsi="Century Gothic"/>
        </w:rPr>
      </w:pPr>
      <w:r>
        <w:rPr>
          <w:rFonts w:ascii="Century Gothic" w:hAnsi="Century Gothic"/>
        </w:rPr>
        <w:t>A livello regionale nel 201</w:t>
      </w:r>
      <w:r w:rsidR="003A3698">
        <w:rPr>
          <w:rFonts w:ascii="Century Gothic" w:hAnsi="Century Gothic"/>
        </w:rPr>
        <w:t>6</w:t>
      </w:r>
      <w:r>
        <w:rPr>
          <w:rFonts w:ascii="Century Gothic" w:hAnsi="Century Gothic"/>
        </w:rPr>
        <w:t xml:space="preserve"> si rilevano altri due accordi </w:t>
      </w:r>
      <w:r w:rsidR="006974F6">
        <w:rPr>
          <w:rFonts w:ascii="Century Gothic" w:hAnsi="Century Gothic"/>
        </w:rPr>
        <w:t>ch</w:t>
      </w:r>
      <w:r>
        <w:rPr>
          <w:rFonts w:ascii="Century Gothic" w:hAnsi="Century Gothic"/>
        </w:rPr>
        <w:t>e sono relativi all’ambito sanitario</w:t>
      </w:r>
      <w:r w:rsidR="006974F6">
        <w:rPr>
          <w:rFonts w:ascii="Century Gothic" w:hAnsi="Century Gothic"/>
        </w:rPr>
        <w:t xml:space="preserve"> e in collegamento con due intese stipulate nel 2015.</w:t>
      </w:r>
      <w:r w:rsidR="005A39BE">
        <w:rPr>
          <w:rFonts w:ascii="Century Gothic" w:hAnsi="Century Gothic"/>
        </w:rPr>
        <w:t xml:space="preserve"> Il primo è un’integrazione del protocollo di intesa sottoscritto con la Regione Toscana e con ESTAR (Ente di supporto tecnico-amministrativo regionale) per l’introduzione di clausole sociali negli appalti del Servizio Sanitario Toscano. Prevede che per l’estensione di contratti antecedenti alla stipula del suddetto protocollo sia necessario l’intervento del gruppo tecnico di valutazione</w:t>
      </w:r>
      <w:r w:rsidR="0069135C">
        <w:rPr>
          <w:rFonts w:ascii="Century Gothic" w:hAnsi="Century Gothic"/>
        </w:rPr>
        <w:t>,</w:t>
      </w:r>
      <w:r w:rsidR="005A39BE">
        <w:rPr>
          <w:rFonts w:ascii="Century Gothic" w:hAnsi="Century Gothic"/>
        </w:rPr>
        <w:t xml:space="preserve"> al fine della verifica della presenza delle clausole sociali nella gara originaria. </w:t>
      </w:r>
    </w:p>
    <w:p w:rsidR="00B20076" w:rsidRDefault="000A652C" w:rsidP="00D4388C">
      <w:pPr>
        <w:jc w:val="both"/>
        <w:rPr>
          <w:rFonts w:ascii="Century Gothic" w:hAnsi="Century Gothic"/>
        </w:rPr>
      </w:pPr>
      <w:r>
        <w:rPr>
          <w:rFonts w:ascii="Century Gothic" w:hAnsi="Century Gothic"/>
        </w:rPr>
        <w:t>Il secondo accordo si collega all’intesa concernente il sistema delle relazioni sindacali nel riordino del Servizio Sanitario Regionale in base alla legge regionale 28/2015. Dato che</w:t>
      </w:r>
      <w:r w:rsidR="00B20076">
        <w:rPr>
          <w:rFonts w:ascii="Century Gothic" w:hAnsi="Century Gothic"/>
        </w:rPr>
        <w:t>, alla fine del 2015,</w:t>
      </w:r>
      <w:r>
        <w:rPr>
          <w:rFonts w:ascii="Century Gothic" w:hAnsi="Century Gothic"/>
        </w:rPr>
        <w:t xml:space="preserve"> </w:t>
      </w:r>
      <w:r w:rsidR="00B20076">
        <w:rPr>
          <w:rFonts w:ascii="Century Gothic" w:hAnsi="Century Gothic"/>
        </w:rPr>
        <w:t>tale processo di riorganizzazione è stato ulteriormente definito dalla legge regionale 84/2015, è stato sottoscritto un accordo in cui è riconfermato il ruolo essenziale del sistema delle relazioni sindacali nel riassetto del sistema socio-sanitario che si realizza su tre livelli (regionale, area vasta, territoriale).</w:t>
      </w:r>
    </w:p>
    <w:p w:rsidR="00016EA4" w:rsidRDefault="00631D58" w:rsidP="00D24996">
      <w:pPr>
        <w:jc w:val="both"/>
        <w:rPr>
          <w:rFonts w:ascii="Century Gothic" w:hAnsi="Century Gothic"/>
        </w:rPr>
      </w:pPr>
      <w:r>
        <w:rPr>
          <w:rFonts w:ascii="Century Gothic" w:hAnsi="Century Gothic"/>
        </w:rPr>
        <w:t xml:space="preserve">Rimanendo </w:t>
      </w:r>
      <w:r w:rsidR="00275EF3">
        <w:rPr>
          <w:rFonts w:ascii="Century Gothic" w:hAnsi="Century Gothic"/>
        </w:rPr>
        <w:t>in tema di riorganizzazione</w:t>
      </w:r>
      <w:r>
        <w:rPr>
          <w:rFonts w:ascii="Century Gothic" w:hAnsi="Century Gothic"/>
        </w:rPr>
        <w:t xml:space="preserve"> </w:t>
      </w:r>
      <w:r w:rsidR="00275EF3">
        <w:rPr>
          <w:rFonts w:ascii="Century Gothic" w:hAnsi="Century Gothic"/>
        </w:rPr>
        <w:t xml:space="preserve">dell’ </w:t>
      </w:r>
      <w:r>
        <w:rPr>
          <w:rFonts w:ascii="Century Gothic" w:hAnsi="Century Gothic"/>
        </w:rPr>
        <w:t>ambito</w:t>
      </w:r>
      <w:r w:rsidR="00275EF3">
        <w:rPr>
          <w:rFonts w:ascii="Century Gothic" w:hAnsi="Century Gothic"/>
        </w:rPr>
        <w:t xml:space="preserve"> socio-</w:t>
      </w:r>
      <w:r w:rsidR="00D24996">
        <w:rPr>
          <w:rFonts w:ascii="Century Gothic" w:hAnsi="Century Gothic"/>
        </w:rPr>
        <w:t>sanitario</w:t>
      </w:r>
      <w:r w:rsidR="00275EF3">
        <w:rPr>
          <w:rFonts w:ascii="Century Gothic" w:hAnsi="Century Gothic"/>
        </w:rPr>
        <w:t>,</w:t>
      </w:r>
      <w:r w:rsidR="00D24996">
        <w:rPr>
          <w:rFonts w:ascii="Century Gothic" w:hAnsi="Century Gothic"/>
        </w:rPr>
        <w:t xml:space="preserve"> passiamo ad analizzare </w:t>
      </w:r>
      <w:r w:rsidR="00275EF3">
        <w:rPr>
          <w:rFonts w:ascii="Century Gothic" w:hAnsi="Century Gothic"/>
        </w:rPr>
        <w:t>i protocolli</w:t>
      </w:r>
      <w:r w:rsidR="00D24996">
        <w:rPr>
          <w:rFonts w:ascii="Century Gothic" w:hAnsi="Century Gothic"/>
        </w:rPr>
        <w:t xml:space="preserve"> siglati con le </w:t>
      </w:r>
      <w:r w:rsidR="00D24996" w:rsidRPr="002F602A">
        <w:rPr>
          <w:rFonts w:ascii="Century Gothic" w:hAnsi="Century Gothic"/>
        </w:rPr>
        <w:t>Società della Salute</w:t>
      </w:r>
      <w:r>
        <w:rPr>
          <w:rFonts w:ascii="Century Gothic" w:hAnsi="Century Gothic"/>
        </w:rPr>
        <w:t xml:space="preserve"> e le ASL che</w:t>
      </w:r>
      <w:r w:rsidR="00A80452">
        <w:rPr>
          <w:rFonts w:ascii="Century Gothic" w:hAnsi="Century Gothic"/>
        </w:rPr>
        <w:t xml:space="preserve"> si mantengono intorno al 3%. </w:t>
      </w:r>
      <w:r w:rsidR="00E62380">
        <w:rPr>
          <w:rFonts w:ascii="Century Gothic" w:hAnsi="Century Gothic"/>
        </w:rPr>
        <w:t xml:space="preserve">In </w:t>
      </w:r>
      <w:r w:rsidR="00E62380" w:rsidRPr="008B3815">
        <w:rPr>
          <w:rFonts w:ascii="Century Gothic" w:hAnsi="Century Gothic"/>
        </w:rPr>
        <w:t>valori assoluti si tratta di due accordi,</w:t>
      </w:r>
      <w:r w:rsidR="00E62380">
        <w:rPr>
          <w:rFonts w:ascii="Century Gothic" w:hAnsi="Century Gothic"/>
        </w:rPr>
        <w:t xml:space="preserve"> di cui </w:t>
      </w:r>
      <w:r w:rsidR="00BB56D2">
        <w:rPr>
          <w:rFonts w:ascii="Century Gothic" w:hAnsi="Century Gothic"/>
        </w:rPr>
        <w:t xml:space="preserve">uno </w:t>
      </w:r>
      <w:r w:rsidR="00E62380">
        <w:rPr>
          <w:rFonts w:ascii="Century Gothic" w:hAnsi="Century Gothic"/>
        </w:rPr>
        <w:t xml:space="preserve">relativo all’Area </w:t>
      </w:r>
      <w:r w:rsidR="0069135C">
        <w:rPr>
          <w:rFonts w:ascii="Century Gothic" w:hAnsi="Century Gothic"/>
        </w:rPr>
        <w:t>Toscana</w:t>
      </w:r>
      <w:r w:rsidR="00E62380">
        <w:rPr>
          <w:rFonts w:ascii="Century Gothic" w:hAnsi="Century Gothic"/>
        </w:rPr>
        <w:t xml:space="preserve"> Sud Est e </w:t>
      </w:r>
      <w:r w:rsidR="00BB56D2">
        <w:rPr>
          <w:rFonts w:ascii="Century Gothic" w:hAnsi="Century Gothic"/>
        </w:rPr>
        <w:t xml:space="preserve">l’altro </w:t>
      </w:r>
      <w:r w:rsidR="00E62380">
        <w:rPr>
          <w:rFonts w:ascii="Century Gothic" w:hAnsi="Century Gothic"/>
        </w:rPr>
        <w:t xml:space="preserve">concernente </w:t>
      </w:r>
      <w:r w:rsidR="00275EF3">
        <w:rPr>
          <w:rFonts w:ascii="Century Gothic" w:hAnsi="Century Gothic"/>
        </w:rPr>
        <w:t xml:space="preserve">l’Area Toscana Centro. </w:t>
      </w:r>
      <w:r w:rsidR="007D5251">
        <w:rPr>
          <w:rFonts w:ascii="Century Gothic" w:hAnsi="Century Gothic"/>
        </w:rPr>
        <w:t xml:space="preserve">Nell’Area </w:t>
      </w:r>
      <w:r w:rsidR="0069135C">
        <w:rPr>
          <w:rFonts w:ascii="Century Gothic" w:hAnsi="Century Gothic"/>
        </w:rPr>
        <w:t>Toscana</w:t>
      </w:r>
      <w:r w:rsidR="007D5251">
        <w:rPr>
          <w:rFonts w:ascii="Century Gothic" w:hAnsi="Century Gothic"/>
        </w:rPr>
        <w:t xml:space="preserve"> Sud Est, nel 2015, era già stato sottoscritto un protocollo di relazioni sindacali per la programmazione socio-sanitaria, in cui venivano definite le regole del confronto, i tempi e le modalità, le materie oggetto di confronto, gli strumenti di verifica. Nel 2016 viene confermata l’intesa considerando l’ultima legge di riordino, la sopraccitata L.R. 84/2015. Nell’Area Toscana Centro è siglato un protocollo di intesa con </w:t>
      </w:r>
      <w:r w:rsidR="00145142">
        <w:rPr>
          <w:rFonts w:ascii="Century Gothic" w:hAnsi="Century Gothic"/>
        </w:rPr>
        <w:t xml:space="preserve">SDS Pistoiese e Azienda USL </w:t>
      </w:r>
      <w:r w:rsidR="00016EA4">
        <w:rPr>
          <w:rFonts w:ascii="Century Gothic" w:hAnsi="Century Gothic"/>
        </w:rPr>
        <w:t xml:space="preserve">che focalizza l’attenzione sui problemi legati all’invecchiamento della popolazione. Gli obiettivi da perseguire riguardano diversi ambiti: le Case della Salute, le cure intermedie, le RSA, l’assistenza domiciliare, </w:t>
      </w:r>
      <w:r w:rsidR="00C0122E">
        <w:rPr>
          <w:rFonts w:ascii="Century Gothic" w:hAnsi="Century Gothic"/>
        </w:rPr>
        <w:t xml:space="preserve">i </w:t>
      </w:r>
      <w:r w:rsidR="00016EA4">
        <w:rPr>
          <w:rFonts w:ascii="Century Gothic" w:hAnsi="Century Gothic"/>
        </w:rPr>
        <w:t xml:space="preserve">programmi di prevenzione. </w:t>
      </w:r>
    </w:p>
    <w:p w:rsidR="000C7D6D" w:rsidRDefault="00CE4218" w:rsidP="00D24996">
      <w:pPr>
        <w:jc w:val="both"/>
        <w:rPr>
          <w:rFonts w:ascii="Century Gothic" w:hAnsi="Century Gothic"/>
        </w:rPr>
      </w:pPr>
      <w:r>
        <w:rPr>
          <w:rFonts w:ascii="Century Gothic" w:hAnsi="Century Gothic"/>
        </w:rPr>
        <w:t xml:space="preserve">Il peso degli </w:t>
      </w:r>
      <w:r w:rsidR="000C7D6D">
        <w:rPr>
          <w:rFonts w:ascii="Century Gothic" w:hAnsi="Century Gothic"/>
        </w:rPr>
        <w:t>accordi intercomunali è minimo (1,7%) tornando ai valori del 2014, dato che si rileva una sola intesa di questo livello sottoscritta</w:t>
      </w:r>
      <w:r w:rsidR="00F07CC4">
        <w:rPr>
          <w:rFonts w:ascii="Century Gothic" w:hAnsi="Century Gothic"/>
        </w:rPr>
        <w:t>,</w:t>
      </w:r>
      <w:r w:rsidR="000C7D6D">
        <w:rPr>
          <w:rFonts w:ascii="Century Gothic" w:hAnsi="Century Gothic"/>
        </w:rPr>
        <w:t xml:space="preserve"> nella provincia di Arezzo</w:t>
      </w:r>
      <w:r w:rsidR="00F07CC4">
        <w:rPr>
          <w:rFonts w:ascii="Century Gothic" w:hAnsi="Century Gothic"/>
        </w:rPr>
        <w:t xml:space="preserve">. Si tratta di un sintetico protocollo siglato con la Conferenza Zonale di Sindaci del Valdarno per la riorganizzazione dei servizi socio-sanitari anche tramite l’integrazione con il sistema del Valdarno Fiorentino. </w:t>
      </w:r>
    </w:p>
    <w:p w:rsidR="00D24996" w:rsidRDefault="00F07CC4" w:rsidP="00D24996">
      <w:pPr>
        <w:jc w:val="both"/>
        <w:rPr>
          <w:rFonts w:ascii="Century Gothic" w:hAnsi="Century Gothic"/>
        </w:rPr>
      </w:pPr>
      <w:r>
        <w:rPr>
          <w:rFonts w:ascii="Century Gothic" w:hAnsi="Century Gothic"/>
        </w:rPr>
        <w:t>La centralità dell’</w:t>
      </w:r>
      <w:r w:rsidR="000F4C7F">
        <w:rPr>
          <w:rFonts w:ascii="Century Gothic" w:hAnsi="Century Gothic"/>
        </w:rPr>
        <w:t xml:space="preserve">accordo tradizionale </w:t>
      </w:r>
      <w:r w:rsidR="00D24996">
        <w:rPr>
          <w:rFonts w:ascii="Century Gothic" w:hAnsi="Century Gothic"/>
        </w:rPr>
        <w:t xml:space="preserve">di tipo comunale </w:t>
      </w:r>
      <w:r w:rsidR="00504C3A">
        <w:rPr>
          <w:rFonts w:ascii="Century Gothic" w:hAnsi="Century Gothic"/>
        </w:rPr>
        <w:t xml:space="preserve">trova conferma e anche un rafforzamento </w:t>
      </w:r>
      <w:r>
        <w:rPr>
          <w:rFonts w:ascii="Century Gothic" w:hAnsi="Century Gothic"/>
        </w:rPr>
        <w:t xml:space="preserve">nel 2016 arrivando </w:t>
      </w:r>
      <w:r w:rsidR="00504C3A">
        <w:rPr>
          <w:rFonts w:ascii="Century Gothic" w:hAnsi="Century Gothic"/>
        </w:rPr>
        <w:t xml:space="preserve">quasi </w:t>
      </w:r>
      <w:r>
        <w:rPr>
          <w:rFonts w:ascii="Century Gothic" w:hAnsi="Century Gothic"/>
        </w:rPr>
        <w:t xml:space="preserve">a raggiungere </w:t>
      </w:r>
      <w:r w:rsidR="00504C3A">
        <w:rPr>
          <w:rFonts w:ascii="Century Gothic" w:hAnsi="Century Gothic"/>
        </w:rPr>
        <w:t xml:space="preserve">la quota del 90%, il valore più alto da quando viene monitorata la contrattazione sociale in Toscana. </w:t>
      </w:r>
      <w:r w:rsidR="00D24996">
        <w:rPr>
          <w:rFonts w:ascii="Century Gothic" w:hAnsi="Century Gothic"/>
        </w:rPr>
        <w:t>Le caratteristiche e i contenuti degli accordi comunali verranno trattati in maniera approfondita nei capitoli 3 e 4.</w:t>
      </w:r>
    </w:p>
    <w:p w:rsidR="008071F7" w:rsidRPr="000A5EE7" w:rsidRDefault="008071F7" w:rsidP="008071F7">
      <w:pPr>
        <w:jc w:val="both"/>
        <w:rPr>
          <w:rFonts w:ascii="Century Gothic" w:hAnsi="Century Gothic"/>
          <w:highlight w:val="yellow"/>
        </w:rPr>
      </w:pPr>
    </w:p>
    <w:p w:rsidR="008071F7" w:rsidRPr="00A56B06" w:rsidRDefault="008071F7" w:rsidP="008071F7">
      <w:pPr>
        <w:jc w:val="both"/>
        <w:rPr>
          <w:rFonts w:ascii="Century Gothic" w:hAnsi="Century Gothic"/>
        </w:rPr>
      </w:pPr>
      <w:r w:rsidRPr="00A56B06">
        <w:rPr>
          <w:rFonts w:ascii="Century Gothic" w:hAnsi="Century Gothic"/>
          <w:b/>
        </w:rPr>
        <w:t xml:space="preserve"> 2.4. La delegazione trattante e i firmatari</w:t>
      </w:r>
      <w:r w:rsidRPr="00A56B06">
        <w:rPr>
          <w:rFonts w:ascii="Century Gothic" w:hAnsi="Century Gothic"/>
        </w:rPr>
        <w:t xml:space="preserve"> </w:t>
      </w:r>
    </w:p>
    <w:p w:rsidR="008071F7" w:rsidRPr="00A56B06" w:rsidRDefault="008071F7" w:rsidP="008071F7">
      <w:pPr>
        <w:jc w:val="both"/>
        <w:rPr>
          <w:rFonts w:ascii="Century Gothic" w:hAnsi="Century Gothic"/>
        </w:rPr>
      </w:pPr>
    </w:p>
    <w:p w:rsidR="00836754" w:rsidRDefault="008071F7" w:rsidP="008071F7">
      <w:pPr>
        <w:jc w:val="both"/>
        <w:rPr>
          <w:rFonts w:ascii="Century Gothic" w:hAnsi="Century Gothic"/>
        </w:rPr>
      </w:pPr>
      <w:r w:rsidRPr="00A56B06">
        <w:rPr>
          <w:rFonts w:ascii="Century Gothic" w:hAnsi="Century Gothic"/>
        </w:rPr>
        <w:t xml:space="preserve">La contrattazione sociale può essere esaminata anche sotto l’angolo visuale dei sottoscrittori degli accordi, che negli ultimi </w:t>
      </w:r>
      <w:r w:rsidR="003579FC">
        <w:rPr>
          <w:rFonts w:ascii="Century Gothic" w:hAnsi="Century Gothic"/>
        </w:rPr>
        <w:t xml:space="preserve">tre </w:t>
      </w:r>
      <w:r w:rsidRPr="00A56B06">
        <w:rPr>
          <w:rFonts w:ascii="Century Gothic" w:hAnsi="Century Gothic"/>
        </w:rPr>
        <w:t>anni sono sempre, per più di 4 quinti, sia le organizzazioni sindacali confederali che quelle che rappresent</w:t>
      </w:r>
      <w:r w:rsidR="003579FC">
        <w:rPr>
          <w:rFonts w:ascii="Century Gothic" w:hAnsi="Century Gothic"/>
        </w:rPr>
        <w:t xml:space="preserve">ano specificamente i pensionati. </w:t>
      </w:r>
      <w:r w:rsidR="00836754">
        <w:rPr>
          <w:rFonts w:ascii="Century Gothic" w:hAnsi="Century Gothic"/>
        </w:rPr>
        <w:t xml:space="preserve">Si ricorda che in </w:t>
      </w:r>
      <w:r w:rsidR="00306C46">
        <w:rPr>
          <w:rFonts w:ascii="Century Gothic" w:hAnsi="Century Gothic"/>
        </w:rPr>
        <w:t xml:space="preserve">questo paragrafo </w:t>
      </w:r>
      <w:r w:rsidR="00B84ECC">
        <w:rPr>
          <w:rFonts w:ascii="Century Gothic" w:hAnsi="Century Gothic"/>
        </w:rPr>
        <w:t xml:space="preserve">si esaminano i componenti della delegazione che negozia e sigla gli accordi comunali e intercomunali, che, come osservato anche nei precedenti rapporti, costituiscono la parte </w:t>
      </w:r>
      <w:r w:rsidR="00B84ECC" w:rsidRPr="002F602A">
        <w:rPr>
          <w:rFonts w:ascii="Century Gothic" w:hAnsi="Century Gothic"/>
        </w:rPr>
        <w:t>più rilevante</w:t>
      </w:r>
      <w:r w:rsidR="00B84ECC">
        <w:rPr>
          <w:rFonts w:ascii="Century Gothic" w:hAnsi="Century Gothic"/>
        </w:rPr>
        <w:t xml:space="preserve"> della contrattazione sociale. </w:t>
      </w:r>
    </w:p>
    <w:p w:rsidR="007038F0" w:rsidRDefault="007038F0" w:rsidP="008071F7">
      <w:pPr>
        <w:jc w:val="both"/>
        <w:rPr>
          <w:rFonts w:ascii="Century Gothic" w:hAnsi="Century Gothic"/>
        </w:rPr>
      </w:pPr>
    </w:p>
    <w:p w:rsidR="004A0B2E" w:rsidRDefault="004A0B2E" w:rsidP="004A0B2E">
      <w:pPr>
        <w:rPr>
          <w:rFonts w:ascii="Century Gothic" w:hAnsi="Century Gothic"/>
          <w:b/>
          <w:bCs/>
          <w:iCs/>
        </w:rPr>
      </w:pPr>
      <w:r w:rsidRPr="0035601B">
        <w:rPr>
          <w:rFonts w:ascii="Century Gothic" w:hAnsi="Century Gothic"/>
          <w:b/>
          <w:bCs/>
          <w:iCs/>
        </w:rPr>
        <w:t xml:space="preserve">Tab. n. </w:t>
      </w:r>
      <w:r>
        <w:rPr>
          <w:rFonts w:ascii="Century Gothic" w:hAnsi="Century Gothic"/>
          <w:b/>
          <w:bCs/>
          <w:iCs/>
        </w:rPr>
        <w:t>2</w:t>
      </w:r>
      <w:r w:rsidRPr="0035601B">
        <w:rPr>
          <w:rFonts w:ascii="Century Gothic" w:hAnsi="Century Gothic"/>
          <w:b/>
          <w:bCs/>
          <w:iCs/>
        </w:rPr>
        <w:t xml:space="preserve"> - I firmatari della contrattazione sociale in Toscana in %</w:t>
      </w:r>
    </w:p>
    <w:p w:rsidR="004A0B2E" w:rsidRDefault="004A0B2E" w:rsidP="004A0B2E"/>
    <w:tbl>
      <w:tblPr>
        <w:tblW w:w="7215" w:type="dxa"/>
        <w:tblCellMar>
          <w:left w:w="70" w:type="dxa"/>
          <w:right w:w="70" w:type="dxa"/>
        </w:tblCellMar>
        <w:tblLook w:val="04A0" w:firstRow="1" w:lastRow="0" w:firstColumn="1" w:lastColumn="0" w:noHBand="0" w:noVBand="1"/>
      </w:tblPr>
      <w:tblGrid>
        <w:gridCol w:w="985"/>
        <w:gridCol w:w="1930"/>
        <w:gridCol w:w="1561"/>
        <w:gridCol w:w="1295"/>
        <w:gridCol w:w="1444"/>
      </w:tblGrid>
      <w:tr w:rsidR="004A0B2E" w:rsidRPr="009D4F0A" w:rsidTr="0045245D">
        <w:trPr>
          <w:trHeight w:val="300"/>
        </w:trPr>
        <w:tc>
          <w:tcPr>
            <w:tcW w:w="985" w:type="dxa"/>
            <w:vMerge w:val="restart"/>
            <w:tcBorders>
              <w:top w:val="nil"/>
              <w:left w:val="nil"/>
              <w:bottom w:val="nil"/>
              <w:right w:val="nil"/>
            </w:tcBorders>
            <w:shd w:val="clear" w:color="000000" w:fill="C0504D"/>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 </w:t>
            </w:r>
            <w:r w:rsidRPr="009D4F0A">
              <w:rPr>
                <w:rFonts w:cs="Calibri"/>
                <w:color w:val="000000"/>
                <w:sz w:val="20"/>
                <w:szCs w:val="20"/>
                <w:lang w:eastAsia="it-IT"/>
              </w:rPr>
              <w:t xml:space="preserve"> </w:t>
            </w:r>
          </w:p>
        </w:tc>
        <w:tc>
          <w:tcPr>
            <w:tcW w:w="1930" w:type="dxa"/>
            <w:tcBorders>
              <w:top w:val="nil"/>
              <w:left w:val="nil"/>
              <w:bottom w:val="nil"/>
              <w:right w:val="nil"/>
            </w:tcBorders>
            <w:shd w:val="clear" w:color="000000" w:fill="C0504D"/>
            <w:noWrap/>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Confederazione</w:t>
            </w:r>
            <w:r w:rsidRPr="009D4F0A">
              <w:rPr>
                <w:rFonts w:cs="Calibri"/>
                <w:color w:val="000000"/>
                <w:sz w:val="20"/>
                <w:szCs w:val="20"/>
                <w:lang w:eastAsia="it-IT"/>
              </w:rPr>
              <w:t xml:space="preserve"> </w:t>
            </w:r>
          </w:p>
        </w:tc>
        <w:tc>
          <w:tcPr>
            <w:tcW w:w="1561" w:type="dxa"/>
            <w:tcBorders>
              <w:top w:val="nil"/>
              <w:left w:val="nil"/>
              <w:bottom w:val="nil"/>
              <w:right w:val="nil"/>
            </w:tcBorders>
            <w:shd w:val="clear" w:color="000000" w:fill="C0504D"/>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Pensionati</w:t>
            </w:r>
            <w:r w:rsidRPr="009D4F0A">
              <w:rPr>
                <w:rFonts w:cs="Calibri"/>
                <w:color w:val="000000"/>
                <w:sz w:val="20"/>
                <w:szCs w:val="20"/>
                <w:lang w:eastAsia="it-IT"/>
              </w:rPr>
              <w:t xml:space="preserve"> </w:t>
            </w:r>
          </w:p>
        </w:tc>
        <w:tc>
          <w:tcPr>
            <w:tcW w:w="1295" w:type="dxa"/>
            <w:vMerge w:val="restart"/>
            <w:tcBorders>
              <w:top w:val="nil"/>
              <w:left w:val="nil"/>
              <w:bottom w:val="nil"/>
              <w:right w:val="nil"/>
            </w:tcBorders>
            <w:shd w:val="clear" w:color="000000" w:fill="C0504D"/>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Altri</w:t>
            </w:r>
            <w:r w:rsidRPr="009D4F0A">
              <w:rPr>
                <w:rFonts w:cs="Calibri"/>
                <w:color w:val="000000"/>
                <w:sz w:val="20"/>
                <w:szCs w:val="20"/>
                <w:lang w:eastAsia="it-IT"/>
              </w:rPr>
              <w:t xml:space="preserve"> </w:t>
            </w:r>
          </w:p>
        </w:tc>
        <w:tc>
          <w:tcPr>
            <w:tcW w:w="1444" w:type="dxa"/>
            <w:vMerge w:val="restart"/>
            <w:tcBorders>
              <w:top w:val="nil"/>
              <w:left w:val="nil"/>
              <w:bottom w:val="nil"/>
              <w:right w:val="nil"/>
            </w:tcBorders>
            <w:shd w:val="clear" w:color="000000" w:fill="C0504D"/>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Funzione pubblica</w:t>
            </w:r>
            <w:r w:rsidRPr="009D4F0A">
              <w:rPr>
                <w:rFonts w:cs="Calibri"/>
                <w:color w:val="000000"/>
                <w:sz w:val="20"/>
                <w:szCs w:val="20"/>
                <w:lang w:eastAsia="it-IT"/>
              </w:rPr>
              <w:t xml:space="preserve"> </w:t>
            </w:r>
          </w:p>
        </w:tc>
      </w:tr>
      <w:tr w:rsidR="004A0B2E" w:rsidRPr="009D4F0A" w:rsidTr="0045245D">
        <w:trPr>
          <w:trHeight w:val="300"/>
        </w:trPr>
        <w:tc>
          <w:tcPr>
            <w:tcW w:w="985" w:type="dxa"/>
            <w:vMerge/>
            <w:tcBorders>
              <w:top w:val="nil"/>
              <w:left w:val="nil"/>
              <w:bottom w:val="nil"/>
              <w:right w:val="nil"/>
            </w:tcBorders>
            <w:vAlign w:val="center"/>
            <w:hideMark/>
          </w:tcPr>
          <w:p w:rsidR="004A0B2E" w:rsidRPr="009D4F0A" w:rsidRDefault="004A0B2E" w:rsidP="0045245D">
            <w:pPr>
              <w:rPr>
                <w:rFonts w:ascii="Century Gothic" w:hAnsi="Century Gothic" w:cs="Calibri"/>
                <w:b/>
                <w:bCs/>
                <w:color w:val="000000"/>
                <w:sz w:val="20"/>
                <w:szCs w:val="20"/>
                <w:lang w:eastAsia="it-IT"/>
              </w:rPr>
            </w:pPr>
          </w:p>
        </w:tc>
        <w:tc>
          <w:tcPr>
            <w:tcW w:w="1930" w:type="dxa"/>
            <w:tcBorders>
              <w:top w:val="nil"/>
              <w:left w:val="nil"/>
              <w:bottom w:val="nil"/>
              <w:right w:val="nil"/>
            </w:tcBorders>
            <w:shd w:val="clear" w:color="000000" w:fill="C0504D"/>
            <w:noWrap/>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 xml:space="preserve">CGIL-CISL-UIL </w:t>
            </w:r>
            <w:r w:rsidRPr="009D4F0A">
              <w:rPr>
                <w:rFonts w:cs="Calibri"/>
                <w:color w:val="000000"/>
                <w:sz w:val="20"/>
                <w:szCs w:val="20"/>
                <w:lang w:eastAsia="it-IT"/>
              </w:rPr>
              <w:t xml:space="preserve"> </w:t>
            </w:r>
          </w:p>
        </w:tc>
        <w:tc>
          <w:tcPr>
            <w:tcW w:w="1561" w:type="dxa"/>
            <w:tcBorders>
              <w:top w:val="nil"/>
              <w:left w:val="nil"/>
              <w:bottom w:val="nil"/>
              <w:right w:val="nil"/>
            </w:tcBorders>
            <w:shd w:val="clear" w:color="000000" w:fill="C0504D"/>
            <w:vAlign w:val="center"/>
            <w:hideMark/>
          </w:tcPr>
          <w:p w:rsidR="004A0B2E" w:rsidRPr="009D4F0A" w:rsidRDefault="004A0B2E" w:rsidP="0045245D">
            <w:pPr>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SPI-FNP-UILP</w:t>
            </w:r>
            <w:r w:rsidRPr="009D4F0A">
              <w:rPr>
                <w:rFonts w:cs="Calibri"/>
                <w:color w:val="000000"/>
                <w:sz w:val="20"/>
                <w:szCs w:val="20"/>
                <w:lang w:eastAsia="it-IT"/>
              </w:rPr>
              <w:t xml:space="preserve"> </w:t>
            </w:r>
          </w:p>
        </w:tc>
        <w:tc>
          <w:tcPr>
            <w:tcW w:w="1295" w:type="dxa"/>
            <w:vMerge/>
            <w:tcBorders>
              <w:top w:val="nil"/>
              <w:left w:val="nil"/>
              <w:bottom w:val="nil"/>
              <w:right w:val="nil"/>
            </w:tcBorders>
            <w:vAlign w:val="center"/>
            <w:hideMark/>
          </w:tcPr>
          <w:p w:rsidR="004A0B2E" w:rsidRPr="009D4F0A" w:rsidRDefault="004A0B2E" w:rsidP="0045245D">
            <w:pPr>
              <w:rPr>
                <w:rFonts w:ascii="Century Gothic" w:hAnsi="Century Gothic" w:cs="Calibri"/>
                <w:b/>
                <w:bCs/>
                <w:color w:val="000000"/>
                <w:sz w:val="20"/>
                <w:szCs w:val="20"/>
                <w:lang w:eastAsia="it-IT"/>
              </w:rPr>
            </w:pPr>
          </w:p>
        </w:tc>
        <w:tc>
          <w:tcPr>
            <w:tcW w:w="1444" w:type="dxa"/>
            <w:vMerge/>
            <w:tcBorders>
              <w:top w:val="nil"/>
              <w:left w:val="nil"/>
              <w:bottom w:val="nil"/>
              <w:right w:val="nil"/>
            </w:tcBorders>
            <w:vAlign w:val="center"/>
            <w:hideMark/>
          </w:tcPr>
          <w:p w:rsidR="004A0B2E" w:rsidRPr="009D4F0A" w:rsidRDefault="004A0B2E" w:rsidP="0045245D">
            <w:pPr>
              <w:rPr>
                <w:rFonts w:ascii="Century Gothic" w:hAnsi="Century Gothic" w:cs="Calibri"/>
                <w:b/>
                <w:bCs/>
                <w:color w:val="000000"/>
                <w:sz w:val="20"/>
                <w:szCs w:val="20"/>
                <w:lang w:eastAsia="it-IT"/>
              </w:rPr>
            </w:pP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2009</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82,6%</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65,2%</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7,6%</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0,0%</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2010</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90,2%</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76,1%</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5,7%</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1,1%</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2011</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76,8%</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76,8%</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4,9%</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4,9%</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2012</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80,3%</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78,0%</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2,4%</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3,3%</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2013</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77,7%</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87,1%</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4,7%</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8,3%</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2014</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88,2%</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88,2%</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6,0%</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21,6%</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2015</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85,1%</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82,1%</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7,0%</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6,0%</w:t>
            </w:r>
          </w:p>
        </w:tc>
      </w:tr>
      <w:tr w:rsidR="004A0B2E" w:rsidRPr="009D4F0A" w:rsidTr="0045245D">
        <w:trPr>
          <w:trHeight w:val="315"/>
        </w:trPr>
        <w:tc>
          <w:tcPr>
            <w:tcW w:w="985" w:type="dxa"/>
            <w:tcBorders>
              <w:top w:val="nil"/>
              <w:left w:val="single" w:sz="8" w:space="0" w:color="F33989"/>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b/>
                <w:bCs/>
                <w:color w:val="000000"/>
                <w:sz w:val="20"/>
                <w:szCs w:val="20"/>
                <w:lang w:eastAsia="it-IT"/>
              </w:rPr>
            </w:pPr>
            <w:r w:rsidRPr="009D4F0A">
              <w:rPr>
                <w:rFonts w:ascii="Century Gothic" w:hAnsi="Century Gothic" w:cs="Calibri"/>
                <w:b/>
                <w:bCs/>
                <w:color w:val="000000"/>
                <w:sz w:val="20"/>
                <w:szCs w:val="20"/>
                <w:lang w:eastAsia="it-IT"/>
              </w:rPr>
              <w:t>2016</w:t>
            </w:r>
          </w:p>
        </w:tc>
        <w:tc>
          <w:tcPr>
            <w:tcW w:w="1930"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83,3%</w:t>
            </w:r>
          </w:p>
        </w:tc>
        <w:tc>
          <w:tcPr>
            <w:tcW w:w="1561"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83,3%</w:t>
            </w:r>
          </w:p>
        </w:tc>
        <w:tc>
          <w:tcPr>
            <w:tcW w:w="1295"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13,0%</w:t>
            </w:r>
          </w:p>
        </w:tc>
        <w:tc>
          <w:tcPr>
            <w:tcW w:w="1444" w:type="dxa"/>
            <w:tcBorders>
              <w:top w:val="nil"/>
              <w:left w:val="nil"/>
              <w:bottom w:val="single" w:sz="8" w:space="0" w:color="F33989"/>
              <w:right w:val="single" w:sz="8" w:space="0" w:color="F33989"/>
            </w:tcBorders>
            <w:shd w:val="clear" w:color="auto" w:fill="auto"/>
            <w:vAlign w:val="center"/>
            <w:hideMark/>
          </w:tcPr>
          <w:p w:rsidR="004A0B2E" w:rsidRPr="009D4F0A" w:rsidRDefault="004A0B2E" w:rsidP="0045245D">
            <w:pPr>
              <w:jc w:val="right"/>
              <w:rPr>
                <w:rFonts w:ascii="Century Gothic" w:hAnsi="Century Gothic" w:cs="Calibri"/>
                <w:color w:val="000000"/>
                <w:sz w:val="20"/>
                <w:szCs w:val="20"/>
                <w:lang w:eastAsia="it-IT"/>
              </w:rPr>
            </w:pPr>
            <w:r w:rsidRPr="009D4F0A">
              <w:rPr>
                <w:rFonts w:ascii="Century Gothic" w:hAnsi="Century Gothic" w:cs="Calibri"/>
                <w:color w:val="000000"/>
                <w:sz w:val="20"/>
                <w:szCs w:val="20"/>
                <w:lang w:eastAsia="it-IT"/>
              </w:rPr>
              <w:t>1,9%</w:t>
            </w:r>
          </w:p>
        </w:tc>
      </w:tr>
    </w:tbl>
    <w:p w:rsidR="004A0B2E" w:rsidRDefault="004A0B2E" w:rsidP="004A0B2E">
      <w:pPr>
        <w:jc w:val="both"/>
        <w:rPr>
          <w:rFonts w:ascii="Century Gothic" w:hAnsi="Century Gothic"/>
        </w:rPr>
      </w:pPr>
    </w:p>
    <w:p w:rsidR="003579FC" w:rsidRDefault="003579FC" w:rsidP="008071F7">
      <w:pPr>
        <w:jc w:val="both"/>
        <w:rPr>
          <w:rFonts w:ascii="Century Gothic" w:hAnsi="Century Gothic"/>
        </w:rPr>
      </w:pPr>
      <w:r>
        <w:rPr>
          <w:rFonts w:ascii="Century Gothic" w:hAnsi="Century Gothic"/>
        </w:rPr>
        <w:t xml:space="preserve">Nel 2016 </w:t>
      </w:r>
      <w:r w:rsidR="00836754">
        <w:rPr>
          <w:rFonts w:ascii="Century Gothic" w:hAnsi="Century Gothic"/>
        </w:rPr>
        <w:t>la</w:t>
      </w:r>
      <w:r>
        <w:rPr>
          <w:rFonts w:ascii="Century Gothic" w:hAnsi="Century Gothic"/>
        </w:rPr>
        <w:t xml:space="preserve"> quota </w:t>
      </w:r>
      <w:r w:rsidR="00836754">
        <w:rPr>
          <w:rFonts w:ascii="Century Gothic" w:hAnsi="Century Gothic"/>
        </w:rPr>
        <w:t>di</w:t>
      </w:r>
      <w:r>
        <w:rPr>
          <w:rFonts w:ascii="Century Gothic" w:hAnsi="Century Gothic"/>
        </w:rPr>
        <w:t xml:space="preserve"> </w:t>
      </w:r>
      <w:r w:rsidR="00836754">
        <w:rPr>
          <w:rFonts w:ascii="Century Gothic" w:hAnsi="Century Gothic"/>
        </w:rPr>
        <w:t>intese siglate dalle organizzazioni c</w:t>
      </w:r>
      <w:r w:rsidR="004A0B2E">
        <w:rPr>
          <w:rFonts w:ascii="Century Gothic" w:hAnsi="Century Gothic"/>
        </w:rPr>
        <w:t>onfederali è uguale a quella dei</w:t>
      </w:r>
      <w:r w:rsidR="00836754">
        <w:rPr>
          <w:rFonts w:ascii="Century Gothic" w:hAnsi="Century Gothic"/>
        </w:rPr>
        <w:t xml:space="preserve"> pensionati</w:t>
      </w:r>
      <w:r>
        <w:rPr>
          <w:rFonts w:ascii="Century Gothic" w:hAnsi="Century Gothic"/>
        </w:rPr>
        <w:t xml:space="preserve"> (83</w:t>
      </w:r>
      <w:r w:rsidR="00836754">
        <w:rPr>
          <w:rFonts w:ascii="Century Gothic" w:hAnsi="Century Gothic"/>
        </w:rPr>
        <w:t>,3</w:t>
      </w:r>
      <w:r>
        <w:rPr>
          <w:rFonts w:ascii="Century Gothic" w:hAnsi="Century Gothic"/>
        </w:rPr>
        <w:t xml:space="preserve">%) </w:t>
      </w:r>
      <w:r w:rsidR="00836754">
        <w:rPr>
          <w:rFonts w:ascii="Century Gothic" w:hAnsi="Century Gothic"/>
        </w:rPr>
        <w:t>e</w:t>
      </w:r>
      <w:r w:rsidR="00A337A7">
        <w:rPr>
          <w:rFonts w:ascii="Century Gothic" w:hAnsi="Century Gothic"/>
        </w:rPr>
        <w:t>,</w:t>
      </w:r>
      <w:r w:rsidR="00836754">
        <w:rPr>
          <w:rFonts w:ascii="Century Gothic" w:hAnsi="Century Gothic"/>
        </w:rPr>
        <w:t xml:space="preserve"> nella quasi totalità </w:t>
      </w:r>
      <w:r w:rsidR="00B84ECC">
        <w:rPr>
          <w:rFonts w:ascii="Century Gothic" w:hAnsi="Century Gothic"/>
        </w:rPr>
        <w:t>di questi accordi</w:t>
      </w:r>
      <w:r w:rsidR="00A337A7">
        <w:rPr>
          <w:rFonts w:ascii="Century Gothic" w:hAnsi="Century Gothic"/>
        </w:rPr>
        <w:t>,</w:t>
      </w:r>
      <w:r w:rsidR="00836754">
        <w:rPr>
          <w:rFonts w:ascii="Century Gothic" w:hAnsi="Century Gothic"/>
        </w:rPr>
        <w:t xml:space="preserve"> si rileva la firma congiunta di entrambe </w:t>
      </w:r>
      <w:r w:rsidR="00836754" w:rsidRPr="00B56CDD">
        <w:rPr>
          <w:rFonts w:ascii="Century Gothic" w:hAnsi="Century Gothic"/>
        </w:rPr>
        <w:t>le categorie</w:t>
      </w:r>
      <w:r w:rsidR="00836754">
        <w:rPr>
          <w:rFonts w:ascii="Century Gothic" w:hAnsi="Century Gothic"/>
        </w:rPr>
        <w:t xml:space="preserve">. </w:t>
      </w:r>
      <w:r w:rsidR="00B84ECC">
        <w:rPr>
          <w:rFonts w:ascii="Century Gothic" w:hAnsi="Century Gothic"/>
        </w:rPr>
        <w:t xml:space="preserve">Rispetto all’anno precedente si assiste a una leggera diminuzione (2 punti percentuali) per la Confederazione e a un leggero aumento (1 punto percentuale) per i Sindacati dei Pensionati che porta a un livellamento della loro partecipazione e sottoscrizione. </w:t>
      </w:r>
    </w:p>
    <w:p w:rsidR="00D32FFC" w:rsidRDefault="00B84ECC" w:rsidP="008071F7">
      <w:pPr>
        <w:jc w:val="both"/>
        <w:rPr>
          <w:rFonts w:ascii="Century Gothic" w:hAnsi="Century Gothic"/>
        </w:rPr>
      </w:pPr>
      <w:r>
        <w:rPr>
          <w:rFonts w:ascii="Century Gothic" w:hAnsi="Century Gothic"/>
        </w:rPr>
        <w:t xml:space="preserve">Analizzando la quota restante </w:t>
      </w:r>
      <w:r w:rsidR="0000229E">
        <w:rPr>
          <w:rFonts w:ascii="Century Gothic" w:hAnsi="Century Gothic"/>
        </w:rPr>
        <w:t xml:space="preserve">degli accordi si riscontra in quasi il 10% la firma congiunta della CGIL e della CISL con i relativi sindacati dei pensionati. Come riscontrato negli anni passati, la minore presenza della UIL è dovuta </w:t>
      </w:r>
      <w:r w:rsidR="00D32FFC">
        <w:rPr>
          <w:rFonts w:ascii="Century Gothic" w:hAnsi="Century Gothic"/>
        </w:rPr>
        <w:t>a problemi organizzativi</w:t>
      </w:r>
      <w:r w:rsidR="0000229E">
        <w:rPr>
          <w:rFonts w:ascii="Century Gothic" w:hAnsi="Century Gothic"/>
        </w:rPr>
        <w:t xml:space="preserve">, più che a differenti articolazioni della valutazione della contrattazione sociale. </w:t>
      </w:r>
      <w:r w:rsidR="00D32FFC">
        <w:rPr>
          <w:rFonts w:ascii="Century Gothic" w:hAnsi="Century Gothic"/>
        </w:rPr>
        <w:t xml:space="preserve">Anche nel 2016 si rileva </w:t>
      </w:r>
      <w:r w:rsidR="00D32FFC" w:rsidRPr="006C3C6B">
        <w:rPr>
          <w:rFonts w:ascii="Century Gothic" w:hAnsi="Century Gothic"/>
        </w:rPr>
        <w:t xml:space="preserve">la funzione di iniziativa </w:t>
      </w:r>
      <w:r w:rsidR="00D32FFC" w:rsidRPr="008B3815">
        <w:rPr>
          <w:rFonts w:ascii="Century Gothic" w:hAnsi="Century Gothic"/>
        </w:rPr>
        <w:t>e di proposta</w:t>
      </w:r>
      <w:r w:rsidR="00D32FFC" w:rsidRPr="006C3C6B">
        <w:rPr>
          <w:rFonts w:ascii="Century Gothic" w:hAnsi="Century Gothic"/>
        </w:rPr>
        <w:t xml:space="preserve"> della CGIL e dello SPI</w:t>
      </w:r>
      <w:r w:rsidR="00D32FFC">
        <w:rPr>
          <w:rFonts w:ascii="Century Gothic" w:hAnsi="Century Gothic"/>
        </w:rPr>
        <w:t xml:space="preserve"> che </w:t>
      </w:r>
      <w:r w:rsidR="004A0B2E">
        <w:rPr>
          <w:rFonts w:ascii="Century Gothic" w:hAnsi="Century Gothic"/>
        </w:rPr>
        <w:t>si impegnano a</w:t>
      </w:r>
      <w:r w:rsidR="00D32FFC">
        <w:rPr>
          <w:rFonts w:ascii="Century Gothic" w:hAnsi="Century Gothic"/>
        </w:rPr>
        <w:t xml:space="preserve"> coinvolgere anche </w:t>
      </w:r>
      <w:r w:rsidR="006F1D57">
        <w:rPr>
          <w:rFonts w:ascii="Century Gothic" w:hAnsi="Century Gothic"/>
        </w:rPr>
        <w:t>gli</w:t>
      </w:r>
      <w:r w:rsidR="00D32FFC">
        <w:rPr>
          <w:rFonts w:ascii="Century Gothic" w:hAnsi="Century Gothic"/>
        </w:rPr>
        <w:t xml:space="preserve"> altr</w:t>
      </w:r>
      <w:r w:rsidR="006F1D57">
        <w:rPr>
          <w:rFonts w:ascii="Century Gothic" w:hAnsi="Century Gothic"/>
        </w:rPr>
        <w:t>i</w:t>
      </w:r>
      <w:r w:rsidR="00D32FFC">
        <w:rPr>
          <w:rFonts w:ascii="Century Gothic" w:hAnsi="Century Gothic"/>
        </w:rPr>
        <w:t xml:space="preserve"> sindaca</w:t>
      </w:r>
      <w:r w:rsidR="006F1D57">
        <w:rPr>
          <w:rFonts w:ascii="Century Gothic" w:hAnsi="Century Gothic"/>
        </w:rPr>
        <w:t>ti</w:t>
      </w:r>
      <w:r w:rsidR="00D32FFC">
        <w:rPr>
          <w:rFonts w:ascii="Century Gothic" w:hAnsi="Century Gothic"/>
        </w:rPr>
        <w:t>, considerando important</w:t>
      </w:r>
      <w:r w:rsidR="004A0B2E">
        <w:rPr>
          <w:rFonts w:ascii="Century Gothic" w:hAnsi="Century Gothic"/>
        </w:rPr>
        <w:t>i</w:t>
      </w:r>
      <w:r w:rsidR="00D32FFC">
        <w:rPr>
          <w:rFonts w:ascii="Century Gothic" w:hAnsi="Century Gothic"/>
        </w:rPr>
        <w:t xml:space="preserve"> la collaborazione </w:t>
      </w:r>
      <w:r w:rsidR="004A0B2E">
        <w:rPr>
          <w:rFonts w:ascii="Century Gothic" w:hAnsi="Century Gothic"/>
        </w:rPr>
        <w:t xml:space="preserve">e il reciproco sostegno nella negoziazione delle tematiche sociali, soprattutto nell’attuale fase di crisi. </w:t>
      </w:r>
    </w:p>
    <w:p w:rsidR="0022568A" w:rsidRDefault="0022568A" w:rsidP="0022568A">
      <w:pPr>
        <w:jc w:val="both"/>
        <w:rPr>
          <w:rFonts w:ascii="Century Gothic" w:hAnsi="Century Gothic"/>
        </w:rPr>
      </w:pPr>
      <w:r w:rsidRPr="00293A4C">
        <w:rPr>
          <w:rFonts w:ascii="Century Gothic" w:hAnsi="Century Gothic"/>
        </w:rPr>
        <w:t>Risulta ridimensionato il ruolo dei sindacati della funzione pubblica (solo l’1,9% nel 2016, un solo accordo nella provincia di Massa Carrara),</w:t>
      </w:r>
      <w:r w:rsidR="00A337A7" w:rsidRPr="00293A4C">
        <w:rPr>
          <w:rFonts w:ascii="Century Gothic" w:hAnsi="Century Gothic"/>
        </w:rPr>
        <w:t xml:space="preserve"> controllare</w:t>
      </w:r>
      <w:r w:rsidRPr="00293A4C">
        <w:rPr>
          <w:rFonts w:ascii="Century Gothic" w:hAnsi="Century Gothic"/>
        </w:rPr>
        <w:t xml:space="preserve"> mentre a</w:t>
      </w:r>
      <w:r w:rsidR="008071F7" w:rsidRPr="00293A4C">
        <w:rPr>
          <w:rFonts w:ascii="Century Gothic" w:hAnsi="Century Gothic"/>
        </w:rPr>
        <w:t>ppare crescente nel tempo</w:t>
      </w:r>
      <w:r w:rsidRPr="00293A4C">
        <w:rPr>
          <w:rFonts w:ascii="Century Gothic" w:hAnsi="Century Gothic"/>
        </w:rPr>
        <w:t xml:space="preserve"> quello degli “altri” soggetti</w:t>
      </w:r>
      <w:r w:rsidR="008071F7" w:rsidRPr="00293A4C">
        <w:rPr>
          <w:rFonts w:ascii="Century Gothic" w:hAnsi="Century Gothic"/>
        </w:rPr>
        <w:t xml:space="preserve">, </w:t>
      </w:r>
      <w:r w:rsidRPr="00293A4C">
        <w:rPr>
          <w:rFonts w:ascii="Century Gothic" w:hAnsi="Century Gothic"/>
        </w:rPr>
        <w:t xml:space="preserve">con un picco </w:t>
      </w:r>
      <w:r w:rsidR="008071F7" w:rsidRPr="00293A4C">
        <w:rPr>
          <w:rFonts w:ascii="Century Gothic" w:hAnsi="Century Gothic"/>
        </w:rPr>
        <w:t xml:space="preserve">nel 2016 </w:t>
      </w:r>
      <w:r w:rsidRPr="00293A4C">
        <w:rPr>
          <w:rFonts w:ascii="Century Gothic" w:hAnsi="Century Gothic"/>
        </w:rPr>
        <w:t>del</w:t>
      </w:r>
      <w:r w:rsidR="008071F7" w:rsidRPr="00293A4C">
        <w:rPr>
          <w:rFonts w:ascii="Century Gothic" w:hAnsi="Century Gothic"/>
        </w:rPr>
        <w:t xml:space="preserve"> 13% degli accordi sottoscritti</w:t>
      </w:r>
      <w:r w:rsidRPr="00293A4C">
        <w:rPr>
          <w:rFonts w:ascii="Century Gothic" w:hAnsi="Century Gothic"/>
        </w:rPr>
        <w:t>. In realtà in termini assoluti il valore è abbastanza stabile (5 intese nel 2015 e 7 nel 2016). Come riscontrato in passato, si tratta della partecipazione, in intese siglate nella provincia di Siena,</w:t>
      </w:r>
      <w:r w:rsidR="00A337A7" w:rsidRPr="00293A4C">
        <w:rPr>
          <w:rFonts w:ascii="Century Gothic" w:hAnsi="Century Gothic"/>
        </w:rPr>
        <w:t xml:space="preserve"> </w:t>
      </w:r>
      <w:r w:rsidRPr="00293A4C">
        <w:rPr>
          <w:rFonts w:ascii="Century Gothic" w:hAnsi="Century Gothic"/>
        </w:rPr>
        <w:t xml:space="preserve">di associazioni di categoria, in genere relative al commercio. Nel 2016 si rileva anche la presenza dell’ANCE </w:t>
      </w:r>
      <w:r w:rsidR="00A337A7" w:rsidRPr="00293A4C">
        <w:rPr>
          <w:rFonts w:ascii="Century Gothic" w:hAnsi="Century Gothic"/>
        </w:rPr>
        <w:t xml:space="preserve">(Associazione Nazionale Costruttori Edili) </w:t>
      </w:r>
      <w:r w:rsidRPr="00293A4C">
        <w:rPr>
          <w:rFonts w:ascii="Century Gothic" w:hAnsi="Century Gothic"/>
        </w:rPr>
        <w:t>in un accordo sugli appalti stipulato tra il comune di Lucca</w:t>
      </w:r>
      <w:r>
        <w:rPr>
          <w:rFonts w:ascii="Century Gothic" w:hAnsi="Century Gothic"/>
        </w:rPr>
        <w:t xml:space="preserve"> e le organizzazioni sindacali </w:t>
      </w:r>
      <w:r w:rsidR="00FE70A1">
        <w:rPr>
          <w:rFonts w:ascii="Century Gothic" w:hAnsi="Century Gothic"/>
        </w:rPr>
        <w:t xml:space="preserve">della categoria degli edili. </w:t>
      </w:r>
    </w:p>
    <w:p w:rsidR="0022568A" w:rsidRDefault="0022568A" w:rsidP="0022568A">
      <w:pPr>
        <w:rPr>
          <w:rFonts w:ascii="Century Gothic" w:hAnsi="Century Gothic"/>
        </w:rPr>
      </w:pPr>
    </w:p>
    <w:p w:rsidR="007518E8" w:rsidRDefault="007518E8">
      <w:pPr>
        <w:rPr>
          <w:rFonts w:ascii="Century Gothic" w:hAnsi="Century Gothic"/>
        </w:rPr>
      </w:pPr>
    </w:p>
    <w:p w:rsidR="00256008" w:rsidRDefault="00256008">
      <w:pPr>
        <w:rPr>
          <w:rFonts w:ascii="Century Gothic" w:hAnsi="Century Gothic"/>
        </w:rPr>
      </w:pPr>
      <w:r>
        <w:rPr>
          <w:rFonts w:ascii="Century Gothic" w:hAnsi="Century Gothic"/>
        </w:rPr>
        <w:br w:type="page"/>
      </w:r>
    </w:p>
    <w:p w:rsidR="00E8028A" w:rsidRPr="00462B52" w:rsidRDefault="00E8028A" w:rsidP="00E8028A">
      <w:pPr>
        <w:jc w:val="both"/>
        <w:rPr>
          <w:rFonts w:ascii="Century Gothic" w:hAnsi="Century Gothic"/>
          <w:b/>
          <w:sz w:val="28"/>
          <w:szCs w:val="28"/>
        </w:rPr>
      </w:pPr>
      <w:r>
        <w:rPr>
          <w:rFonts w:ascii="Century Gothic" w:hAnsi="Century Gothic"/>
          <w:b/>
          <w:sz w:val="28"/>
          <w:szCs w:val="28"/>
        </w:rPr>
        <w:t>3</w:t>
      </w:r>
      <w:r w:rsidRPr="00462B52">
        <w:rPr>
          <w:rFonts w:ascii="Century Gothic" w:hAnsi="Century Gothic"/>
          <w:b/>
          <w:sz w:val="28"/>
          <w:szCs w:val="28"/>
        </w:rPr>
        <w:t xml:space="preserve">. </w:t>
      </w:r>
      <w:smartTag w:uri="urn:schemas-microsoft-com:office:smarttags" w:element="PersonName">
        <w:smartTagPr>
          <w:attr w:name="ProductID" w:val="LA PROPENSIONE CONTRATTUALE"/>
        </w:smartTagPr>
        <w:smartTag w:uri="urn:schemas-microsoft-com:office:smarttags" w:element="PersonName">
          <w:smartTagPr>
            <w:attr w:name="ProductID" w:val="LA PROPENSIONE"/>
          </w:smartTagPr>
          <w:r w:rsidRPr="00462B52">
            <w:rPr>
              <w:rFonts w:ascii="Century Gothic" w:hAnsi="Century Gothic"/>
              <w:b/>
              <w:sz w:val="28"/>
              <w:szCs w:val="28"/>
            </w:rPr>
            <w:t>LA PROPENSIONE</w:t>
          </w:r>
        </w:smartTag>
        <w:r w:rsidRPr="00462B52">
          <w:rPr>
            <w:rFonts w:ascii="Century Gothic" w:hAnsi="Century Gothic"/>
            <w:b/>
            <w:sz w:val="28"/>
            <w:szCs w:val="28"/>
          </w:rPr>
          <w:t xml:space="preserve"> CONTRATTUALE</w:t>
        </w:r>
      </w:smartTag>
      <w:r w:rsidRPr="00462B52">
        <w:rPr>
          <w:rFonts w:ascii="Century Gothic" w:hAnsi="Century Gothic"/>
          <w:b/>
          <w:sz w:val="28"/>
          <w:szCs w:val="28"/>
        </w:rPr>
        <w:t xml:space="preserve"> IN TOSCANA</w:t>
      </w:r>
    </w:p>
    <w:p w:rsidR="00E8028A" w:rsidRPr="0035601B" w:rsidRDefault="00E8028A" w:rsidP="00E8028A">
      <w:pPr>
        <w:jc w:val="both"/>
        <w:rPr>
          <w:rFonts w:ascii="Century Gothic" w:hAnsi="Century Gothic"/>
        </w:rPr>
      </w:pPr>
    </w:p>
    <w:p w:rsidR="00E8028A" w:rsidRDefault="00E8028A" w:rsidP="00E8028A">
      <w:pPr>
        <w:jc w:val="both"/>
        <w:rPr>
          <w:rFonts w:ascii="Century Gothic" w:hAnsi="Century Gothic"/>
          <w:b/>
        </w:rPr>
      </w:pPr>
      <w:r>
        <w:rPr>
          <w:rFonts w:ascii="Century Gothic" w:hAnsi="Century Gothic"/>
          <w:b/>
        </w:rPr>
        <w:t>3</w:t>
      </w:r>
      <w:r w:rsidRPr="0035601B">
        <w:rPr>
          <w:rFonts w:ascii="Century Gothic" w:hAnsi="Century Gothic"/>
          <w:b/>
        </w:rPr>
        <w:t>.1</w:t>
      </w:r>
      <w:r>
        <w:rPr>
          <w:rFonts w:ascii="Century Gothic" w:hAnsi="Century Gothic"/>
          <w:b/>
        </w:rPr>
        <w:t>. Il</w:t>
      </w:r>
      <w:r w:rsidRPr="0035601B">
        <w:rPr>
          <w:rFonts w:ascii="Century Gothic" w:hAnsi="Century Gothic"/>
          <w:b/>
        </w:rPr>
        <w:t xml:space="preserve"> quadro complessivo della regione</w:t>
      </w:r>
    </w:p>
    <w:p w:rsidR="00E8028A" w:rsidRDefault="00E8028A" w:rsidP="00E8028A">
      <w:pPr>
        <w:jc w:val="both"/>
        <w:rPr>
          <w:rFonts w:ascii="Century Gothic" w:hAnsi="Century Gothic"/>
        </w:rPr>
      </w:pPr>
      <w:r>
        <w:rPr>
          <w:rFonts w:ascii="Century Gothic" w:hAnsi="Century Gothic"/>
        </w:rPr>
        <w:t xml:space="preserve">La contrattazione sociale 2016 ha avuto una estensione paragonabile a quella del 2014, dunque più ridotta di quella 2015, e anche inferiore a quella di tutti gli </w:t>
      </w:r>
      <w:r w:rsidR="00B13F5E">
        <w:rPr>
          <w:rFonts w:ascii="Century Gothic" w:hAnsi="Century Gothic"/>
        </w:rPr>
        <w:t xml:space="preserve">altri </w:t>
      </w:r>
      <w:r>
        <w:rPr>
          <w:rFonts w:ascii="Century Gothic" w:hAnsi="Century Gothic"/>
        </w:rPr>
        <w:t xml:space="preserve">anni precedenti a partire dal 2009, anno in cui inizia la nostra serie statistica degli accordi siglati in Toscana. </w:t>
      </w:r>
      <w:r w:rsidR="0025734D">
        <w:rPr>
          <w:rFonts w:ascii="Century Gothic" w:hAnsi="Century Gothic"/>
        </w:rPr>
        <w:t xml:space="preserve">Non è stata, quindi, confermata quella inversione di tendenza, verificatasi nel 2015, che aveva portato a un aumento della sottoscrizione di intese dopo due anni di andamento decrescente. I comuni coperti da contrattazione sociale sono poco più di </w:t>
      </w:r>
      <w:r w:rsidR="00A56B6F">
        <w:rPr>
          <w:rFonts w:ascii="Century Gothic" w:hAnsi="Century Gothic"/>
        </w:rPr>
        <w:t>quinto (22%)</w:t>
      </w:r>
      <w:r>
        <w:rPr>
          <w:rFonts w:ascii="Century Gothic" w:hAnsi="Century Gothic"/>
        </w:rPr>
        <w:t xml:space="preserve">, nei quali vive poco più di un quarto (26%) della popolazione toscana. </w:t>
      </w:r>
      <w:r w:rsidR="00A56B6F">
        <w:rPr>
          <w:rFonts w:ascii="Century Gothic" w:hAnsi="Century Gothic"/>
        </w:rPr>
        <w:t>Si ricorda che, n</w:t>
      </w:r>
      <w:r>
        <w:rPr>
          <w:rFonts w:ascii="Century Gothic" w:hAnsi="Century Gothic"/>
        </w:rPr>
        <w:t>egli anni di maggiore intensità, l’attivit</w:t>
      </w:r>
      <w:r w:rsidR="00A56B6F">
        <w:rPr>
          <w:rFonts w:ascii="Century Gothic" w:hAnsi="Century Gothic"/>
        </w:rPr>
        <w:t xml:space="preserve">à della negoziazione sociale </w:t>
      </w:r>
      <w:r>
        <w:rPr>
          <w:rFonts w:ascii="Century Gothic" w:hAnsi="Century Gothic"/>
        </w:rPr>
        <w:t>ha coperto il 57</w:t>
      </w:r>
      <w:r w:rsidR="0025734D">
        <w:rPr>
          <w:rFonts w:ascii="Century Gothic" w:hAnsi="Century Gothic"/>
        </w:rPr>
        <w:t>-</w:t>
      </w:r>
      <w:r>
        <w:rPr>
          <w:rFonts w:ascii="Century Gothic" w:hAnsi="Century Gothic"/>
        </w:rPr>
        <w:t xml:space="preserve">58% dei comuni con </w:t>
      </w:r>
      <w:r w:rsidR="00A56B6F">
        <w:rPr>
          <w:rFonts w:ascii="Century Gothic" w:hAnsi="Century Gothic"/>
        </w:rPr>
        <w:t xml:space="preserve">il picco di quasi il </w:t>
      </w:r>
      <w:r>
        <w:rPr>
          <w:rFonts w:ascii="Century Gothic" w:hAnsi="Century Gothic"/>
        </w:rPr>
        <w:t xml:space="preserve">70% della popolazione </w:t>
      </w:r>
      <w:r w:rsidR="0025734D">
        <w:rPr>
          <w:rFonts w:ascii="Century Gothic" w:hAnsi="Century Gothic"/>
        </w:rPr>
        <w:t xml:space="preserve">nel </w:t>
      </w:r>
      <w:r>
        <w:rPr>
          <w:rFonts w:ascii="Century Gothic" w:hAnsi="Century Gothic"/>
        </w:rPr>
        <w:t xml:space="preserve">2012. </w:t>
      </w:r>
    </w:p>
    <w:p w:rsidR="0025734D" w:rsidRDefault="0025734D" w:rsidP="00E8028A">
      <w:pPr>
        <w:jc w:val="both"/>
        <w:rPr>
          <w:rFonts w:ascii="Century Gothic" w:hAnsi="Century Gothic"/>
        </w:rPr>
      </w:pPr>
    </w:p>
    <w:p w:rsidR="00E8028A" w:rsidRDefault="00E8028A" w:rsidP="00E8028A">
      <w:pPr>
        <w:jc w:val="both"/>
        <w:rPr>
          <w:rFonts w:ascii="Century Gothic" w:hAnsi="Century Gothic"/>
          <w:b/>
        </w:rPr>
      </w:pPr>
      <w:r>
        <w:rPr>
          <w:rFonts w:ascii="Century Gothic" w:hAnsi="Century Gothic"/>
          <w:b/>
        </w:rPr>
        <w:t>Graf. n.</w:t>
      </w:r>
      <w:r w:rsidRPr="0035601B">
        <w:rPr>
          <w:rFonts w:ascii="Century Gothic" w:hAnsi="Century Gothic"/>
          <w:b/>
        </w:rPr>
        <w:t xml:space="preserve"> </w:t>
      </w:r>
      <w:r>
        <w:rPr>
          <w:rFonts w:ascii="Century Gothic" w:hAnsi="Century Gothic"/>
          <w:b/>
        </w:rPr>
        <w:t xml:space="preserve">3 </w:t>
      </w:r>
      <w:r w:rsidRPr="0035601B">
        <w:rPr>
          <w:rFonts w:ascii="Century Gothic" w:hAnsi="Century Gothic"/>
          <w:b/>
        </w:rPr>
        <w:t>- La contrattazione sociale territoriale in Toscana: propensione contrattuale per comuni e</w:t>
      </w:r>
      <w:r>
        <w:rPr>
          <w:rFonts w:ascii="Century Gothic" w:hAnsi="Century Gothic"/>
          <w:b/>
        </w:rPr>
        <w:t xml:space="preserve"> per popolazione 2009-2016</w:t>
      </w:r>
    </w:p>
    <w:p w:rsidR="00E8028A" w:rsidRDefault="00E8028A" w:rsidP="00E8028A">
      <w:pPr>
        <w:jc w:val="both"/>
        <w:rPr>
          <w:rFonts w:ascii="Century Gothic" w:hAnsi="Century Gothic"/>
          <w:b/>
        </w:rPr>
      </w:pPr>
    </w:p>
    <w:p w:rsidR="00E8028A" w:rsidRDefault="00E8028A" w:rsidP="00E8028A">
      <w:pPr>
        <w:jc w:val="both"/>
        <w:rPr>
          <w:rFonts w:ascii="Century Gothic" w:hAnsi="Century Gothic"/>
        </w:rPr>
      </w:pPr>
      <w:r w:rsidRPr="00AF7188">
        <w:rPr>
          <w:noProof/>
          <w:lang w:eastAsia="it-IT"/>
        </w:rPr>
        <w:drawing>
          <wp:inline distT="0" distB="0" distL="0" distR="0">
            <wp:extent cx="5200650" cy="2733675"/>
            <wp:effectExtent l="0" t="0" r="0" b="9525"/>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0650" cy="2733675"/>
                    </a:xfrm>
                    <a:prstGeom prst="rect">
                      <a:avLst/>
                    </a:prstGeom>
                    <a:noFill/>
                    <a:ln>
                      <a:noFill/>
                    </a:ln>
                  </pic:spPr>
                </pic:pic>
              </a:graphicData>
            </a:graphic>
          </wp:inline>
        </w:drawing>
      </w:r>
    </w:p>
    <w:p w:rsidR="00E8028A" w:rsidRDefault="00E8028A" w:rsidP="00E8028A">
      <w:pPr>
        <w:jc w:val="both"/>
        <w:rPr>
          <w:rFonts w:ascii="Century Gothic" w:hAnsi="Century Gothic"/>
        </w:rPr>
      </w:pPr>
      <w:r w:rsidRPr="00AF7188">
        <w:rPr>
          <w:noProof/>
          <w:lang w:eastAsia="it-IT"/>
        </w:rPr>
        <w:drawing>
          <wp:inline distT="0" distB="0" distL="0" distR="0">
            <wp:extent cx="4559901" cy="2732133"/>
            <wp:effectExtent l="1905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rsidR="0025734D" w:rsidRDefault="0025734D" w:rsidP="00E8028A">
      <w:pPr>
        <w:jc w:val="both"/>
        <w:rPr>
          <w:rFonts w:ascii="Century Gothic" w:hAnsi="Century Gothic"/>
        </w:rPr>
      </w:pPr>
    </w:p>
    <w:p w:rsidR="00A56B6F" w:rsidRDefault="00A56B6F" w:rsidP="0025734D">
      <w:pPr>
        <w:jc w:val="both"/>
        <w:rPr>
          <w:rFonts w:ascii="Century Gothic" w:hAnsi="Century Gothic"/>
        </w:rPr>
      </w:pPr>
      <w:r>
        <w:rPr>
          <w:rFonts w:ascii="Century Gothic" w:hAnsi="Century Gothic"/>
        </w:rPr>
        <w:t xml:space="preserve">Permangono quelle condizioni di minori risorse disponibili da parte delle amministrazioni </w:t>
      </w:r>
      <w:r w:rsidR="00C27185">
        <w:rPr>
          <w:rFonts w:ascii="Century Gothic" w:hAnsi="Century Gothic"/>
        </w:rPr>
        <w:t>locali</w:t>
      </w:r>
      <w:r>
        <w:rPr>
          <w:rFonts w:ascii="Century Gothic" w:hAnsi="Century Gothic"/>
        </w:rPr>
        <w:t xml:space="preserve"> che incidono sulle possibilità di trattativa e sottoscrizione di accordi, in altre parole una limitazione dello “spazio di manovra” </w:t>
      </w:r>
      <w:r w:rsidR="00C27185">
        <w:rPr>
          <w:rFonts w:ascii="Century Gothic" w:hAnsi="Century Gothic"/>
        </w:rPr>
        <w:t xml:space="preserve">dei comuni </w:t>
      </w:r>
      <w:r>
        <w:rPr>
          <w:rFonts w:ascii="Century Gothic" w:hAnsi="Century Gothic"/>
        </w:rPr>
        <w:t xml:space="preserve">che influisce sulla riuscita della negoziazione sociale. </w:t>
      </w:r>
    </w:p>
    <w:p w:rsidR="00E8028A" w:rsidRPr="00A13C53" w:rsidRDefault="00A56B6F" w:rsidP="00E8028A">
      <w:pPr>
        <w:jc w:val="both"/>
        <w:rPr>
          <w:rFonts w:ascii="Century Gothic" w:hAnsi="Century Gothic"/>
        </w:rPr>
      </w:pPr>
      <w:r>
        <w:rPr>
          <w:rFonts w:ascii="Century Gothic" w:hAnsi="Century Gothic"/>
        </w:rPr>
        <w:t>Nel 2016 gli</w:t>
      </w:r>
      <w:r w:rsidR="00E8028A" w:rsidRPr="001E6FAD">
        <w:rPr>
          <w:rFonts w:ascii="Century Gothic" w:hAnsi="Century Gothic"/>
        </w:rPr>
        <w:t xml:space="preserve"> accordi sono diffusi su di un totale di 61 comuni, 26 in meno di quelli relativi al 2015, ma 7 in più dei comuni “coperti” </w:t>
      </w:r>
      <w:r w:rsidR="00B13F5E">
        <w:rPr>
          <w:rFonts w:ascii="Century Gothic" w:hAnsi="Century Gothic"/>
        </w:rPr>
        <w:t>ne</w:t>
      </w:r>
      <w:r w:rsidR="00E8028A" w:rsidRPr="001E6FAD">
        <w:rPr>
          <w:rFonts w:ascii="Century Gothic" w:hAnsi="Century Gothic"/>
        </w:rPr>
        <w:t xml:space="preserve">l 2014. </w:t>
      </w:r>
      <w:r w:rsidR="00C27185">
        <w:rPr>
          <w:rFonts w:ascii="Century Gothic" w:hAnsi="Century Gothic"/>
        </w:rPr>
        <w:t>Avendo considerato le fusioni avvenute negli ultimi anni,</w:t>
      </w:r>
      <w:r w:rsidR="00E8028A">
        <w:rPr>
          <w:rFonts w:ascii="Century Gothic" w:hAnsi="Century Gothic"/>
        </w:rPr>
        <w:t xml:space="preserve"> </w:t>
      </w:r>
      <w:r w:rsidR="00B13F5E">
        <w:rPr>
          <w:rFonts w:ascii="Century Gothic" w:hAnsi="Century Gothic"/>
        </w:rPr>
        <w:t xml:space="preserve">come nel 2015 </w:t>
      </w:r>
      <w:r w:rsidR="00E8028A">
        <w:rPr>
          <w:rFonts w:ascii="Century Gothic" w:hAnsi="Century Gothic"/>
        </w:rPr>
        <w:t>la platea dei comuni potenzialmente interessati è sempre di 279,</w:t>
      </w:r>
      <w:r w:rsidR="00C27185">
        <w:rPr>
          <w:rFonts w:ascii="Century Gothic" w:hAnsi="Century Gothic"/>
        </w:rPr>
        <w:t xml:space="preserve"> rispetto al massimo “storico” </w:t>
      </w:r>
      <w:r w:rsidR="00E8028A">
        <w:rPr>
          <w:rFonts w:ascii="Century Gothic" w:hAnsi="Century Gothic"/>
        </w:rPr>
        <w:t>di 287.</w:t>
      </w:r>
      <w:r w:rsidR="00B13F5E">
        <w:rPr>
          <w:rStyle w:val="Rimandonotaapidipagina"/>
          <w:rFonts w:ascii="Century Gothic" w:hAnsi="Century Gothic"/>
        </w:rPr>
        <w:footnoteReference w:id="2"/>
      </w:r>
      <w:r w:rsidR="00C27185">
        <w:rPr>
          <w:rFonts w:ascii="Century Gothic" w:hAnsi="Century Gothic"/>
        </w:rPr>
        <w:t xml:space="preserve"> </w:t>
      </w:r>
      <w:r w:rsidR="00E8028A">
        <w:rPr>
          <w:rFonts w:ascii="Century Gothic" w:hAnsi="Century Gothic"/>
        </w:rPr>
        <w:t>Il metodo di analisi dei dati raccolti si pone in continuità con quello adottato nei precedenti rapporti. In primo luogo viene</w:t>
      </w:r>
      <w:r w:rsidR="00E8028A" w:rsidRPr="00A13C53">
        <w:rPr>
          <w:rFonts w:ascii="Century Gothic" w:hAnsi="Century Gothic"/>
        </w:rPr>
        <w:t xml:space="preserve"> esaminato l’insieme degli accordi, che riportano differenti denominazioni: Accordi, Intese, Protocolli di intesa, Verbali di intesa, e dei verbali di incontro assimilabili ad accordi</w:t>
      </w:r>
      <w:r w:rsidR="00E8028A" w:rsidRPr="00A13C53">
        <w:rPr>
          <w:rStyle w:val="Rimandonotaapidipagina"/>
          <w:rFonts w:ascii="Century Gothic" w:hAnsi="Century Gothic"/>
        </w:rPr>
        <w:footnoteReference w:id="3"/>
      </w:r>
      <w:r w:rsidR="00E8028A" w:rsidRPr="00A13C53">
        <w:rPr>
          <w:rFonts w:ascii="Century Gothic" w:hAnsi="Century Gothic"/>
        </w:rPr>
        <w:t>. Dal punto di vista dell’ambito territoriale si sono scelti i livelli comunale, intercomunale e quello dei distretti socio-sanitari</w:t>
      </w:r>
      <w:r w:rsidR="00B13F5E">
        <w:rPr>
          <w:rFonts w:ascii="Century Gothic" w:hAnsi="Century Gothic"/>
        </w:rPr>
        <w:t xml:space="preserve"> qualora vi sia la presenza delle amministrazioni comunali</w:t>
      </w:r>
      <w:r w:rsidR="00E8028A" w:rsidRPr="00A13C53">
        <w:rPr>
          <w:rFonts w:ascii="Century Gothic" w:hAnsi="Century Gothic"/>
        </w:rPr>
        <w:t xml:space="preserve">. Non sono, invece, considerati gli accordi tra organizzazioni sindacali e/o leghe dei pensionati con le ASL senza </w:t>
      </w:r>
      <w:r w:rsidR="00B13F5E">
        <w:rPr>
          <w:rFonts w:ascii="Century Gothic" w:hAnsi="Century Gothic"/>
        </w:rPr>
        <w:t>il coinvolgimento</w:t>
      </w:r>
      <w:r w:rsidR="00E8028A" w:rsidRPr="00A13C53">
        <w:rPr>
          <w:rFonts w:ascii="Century Gothic" w:hAnsi="Century Gothic"/>
        </w:rPr>
        <w:t xml:space="preserve"> dei comuni. Come si è visto nel precedente </w:t>
      </w:r>
      <w:r w:rsidR="00C27185">
        <w:rPr>
          <w:rFonts w:ascii="Century Gothic" w:hAnsi="Century Gothic"/>
        </w:rPr>
        <w:t>capitolo,</w:t>
      </w:r>
      <w:r w:rsidR="00E8028A" w:rsidRPr="00A13C53">
        <w:rPr>
          <w:rFonts w:ascii="Century Gothic" w:hAnsi="Century Gothic"/>
        </w:rPr>
        <w:t xml:space="preserve"> il livello prevalente della contrattazione sociale è quello comu</w:t>
      </w:r>
      <w:r w:rsidR="00E8028A">
        <w:rPr>
          <w:rFonts w:ascii="Century Gothic" w:hAnsi="Century Gothic"/>
        </w:rPr>
        <w:t>nale, anzi tale centralità risu</w:t>
      </w:r>
      <w:r w:rsidR="00E8028A" w:rsidRPr="00A13C53">
        <w:rPr>
          <w:rFonts w:ascii="Century Gothic" w:hAnsi="Century Gothic"/>
        </w:rPr>
        <w:t>lta n</w:t>
      </w:r>
      <w:r w:rsidR="00C27185">
        <w:rPr>
          <w:rFonts w:ascii="Century Gothic" w:hAnsi="Century Gothic"/>
        </w:rPr>
        <w:t>e</w:t>
      </w:r>
      <w:r w:rsidR="00E8028A" w:rsidRPr="00A13C53">
        <w:rPr>
          <w:rFonts w:ascii="Century Gothic" w:hAnsi="Century Gothic"/>
        </w:rPr>
        <w:t xml:space="preserve">l 2016 più evidente che in tutti gli anni precedenti. </w:t>
      </w:r>
    </w:p>
    <w:p w:rsidR="00E8028A" w:rsidRPr="00A13C53" w:rsidRDefault="00E8028A" w:rsidP="00E8028A">
      <w:pPr>
        <w:jc w:val="both"/>
        <w:rPr>
          <w:rFonts w:ascii="Century Gothic" w:hAnsi="Century Gothic"/>
        </w:rPr>
      </w:pPr>
    </w:p>
    <w:p w:rsidR="00E8028A" w:rsidRPr="00F1594E" w:rsidRDefault="00E8028A" w:rsidP="00E8028A">
      <w:pPr>
        <w:jc w:val="both"/>
        <w:rPr>
          <w:rFonts w:ascii="Century Gothic" w:hAnsi="Century Gothic"/>
          <w:b/>
        </w:rPr>
      </w:pPr>
      <w:r w:rsidRPr="00F1594E">
        <w:rPr>
          <w:rFonts w:ascii="Century Gothic" w:hAnsi="Century Gothic"/>
          <w:b/>
        </w:rPr>
        <w:t>3.2. La propensione negoziale per numero di comuni coperti da contrattazione sociale</w:t>
      </w:r>
    </w:p>
    <w:p w:rsidR="00E8028A" w:rsidRPr="00F1594E" w:rsidRDefault="00E8028A" w:rsidP="00E8028A">
      <w:pPr>
        <w:jc w:val="both"/>
        <w:rPr>
          <w:rFonts w:ascii="Century Gothic" w:hAnsi="Century Gothic"/>
          <w:b/>
        </w:rPr>
      </w:pPr>
    </w:p>
    <w:p w:rsidR="00E8028A" w:rsidRPr="00AF7188" w:rsidRDefault="00E8028A" w:rsidP="00E8028A">
      <w:pPr>
        <w:jc w:val="both"/>
        <w:rPr>
          <w:rFonts w:ascii="Century Gothic" w:hAnsi="Century Gothic"/>
          <w:highlight w:val="yellow"/>
        </w:rPr>
      </w:pPr>
      <w:r w:rsidRPr="00F1594E">
        <w:rPr>
          <w:rFonts w:ascii="Century Gothic" w:hAnsi="Century Gothic"/>
        </w:rPr>
        <w:t xml:space="preserve">A una scala di analisi più ravvicinata, si notano alcune difformità di tendenza fra le varie province. Le province di Arezzo, Prato e Firenze hanno subito repentini ridimensionamenti della produzione di atti conseguenti a contrattazione sociale, passando rispettivamente da 22 a 9, da 4 a zero, da 7 a 1, mentre la provincia di Grosseto vede assente la contrattazione sociale, come nel 2015. </w:t>
      </w:r>
      <w:r>
        <w:rPr>
          <w:rFonts w:ascii="Century Gothic" w:hAnsi="Century Gothic"/>
        </w:rPr>
        <w:t>Nelle province di Pisa e Livorno vi è una sostanziale stabilità della contrattazione sociale (un comune in meno rispetto all’anno precedente, come a Massa Carrara, dove si passa da due a un comune “coperto”).</w:t>
      </w:r>
      <w:r w:rsidR="008146D6">
        <w:rPr>
          <w:rStyle w:val="Rimandonotaapidipagina"/>
          <w:rFonts w:ascii="Century Gothic" w:hAnsi="Century Gothic"/>
        </w:rPr>
        <w:footnoteReference w:id="4"/>
      </w:r>
      <w:r>
        <w:rPr>
          <w:rFonts w:ascii="Century Gothic" w:hAnsi="Century Gothic"/>
        </w:rPr>
        <w:t xml:space="preserve"> Più negativo il trend della provincia di Lucca, passata da 15 a 11 comuni che hanno sottoscritto accordi di contrattazione sociale. Due province, infine, segnano un andamento in crescita, Siena che è passata da 14 a 17 comuni firmatari di accordi, e Pistoia passata da 2 a 3.</w:t>
      </w:r>
    </w:p>
    <w:p w:rsidR="003D2D6D" w:rsidRDefault="003D2D6D">
      <w:pPr>
        <w:rPr>
          <w:rFonts w:ascii="Century Gothic" w:hAnsi="Century Gothic"/>
          <w:b/>
          <w:highlight w:val="yellow"/>
        </w:rPr>
      </w:pPr>
      <w:r>
        <w:rPr>
          <w:rFonts w:ascii="Century Gothic" w:hAnsi="Century Gothic"/>
          <w:b/>
          <w:highlight w:val="yellow"/>
        </w:rPr>
        <w:br w:type="page"/>
      </w:r>
    </w:p>
    <w:p w:rsidR="00E8028A" w:rsidRDefault="00E8028A" w:rsidP="00E8028A">
      <w:pPr>
        <w:rPr>
          <w:rFonts w:ascii="Century Gothic" w:hAnsi="Century Gothic"/>
          <w:b/>
        </w:rPr>
      </w:pPr>
      <w:r>
        <w:rPr>
          <w:rFonts w:ascii="Century Gothic" w:hAnsi="Century Gothic"/>
          <w:b/>
        </w:rPr>
        <w:t>Tab.n. 3</w:t>
      </w:r>
      <w:r w:rsidRPr="0035601B">
        <w:rPr>
          <w:rFonts w:ascii="Century Gothic" w:hAnsi="Century Gothic"/>
          <w:b/>
        </w:rPr>
        <w:t>- Numero dei comuni coperti da contrattazione sociale per pro</w:t>
      </w:r>
      <w:r>
        <w:rPr>
          <w:rFonts w:ascii="Century Gothic" w:hAnsi="Century Gothic"/>
          <w:b/>
        </w:rPr>
        <w:t>vincia 2009-2016</w:t>
      </w:r>
    </w:p>
    <w:p w:rsidR="00033123" w:rsidRDefault="00033123" w:rsidP="00E8028A">
      <w:pPr>
        <w:rPr>
          <w:rFonts w:ascii="Century Gothic" w:hAnsi="Century Gothic"/>
          <w:b/>
        </w:rPr>
      </w:pPr>
    </w:p>
    <w:tbl>
      <w:tblPr>
        <w:tblW w:w="9420" w:type="dxa"/>
        <w:tblInd w:w="65" w:type="dxa"/>
        <w:tblCellMar>
          <w:left w:w="70" w:type="dxa"/>
          <w:right w:w="70" w:type="dxa"/>
        </w:tblCellMar>
        <w:tblLook w:val="04A0" w:firstRow="1" w:lastRow="0" w:firstColumn="1" w:lastColumn="0" w:noHBand="0" w:noVBand="1"/>
      </w:tblPr>
      <w:tblGrid>
        <w:gridCol w:w="1740"/>
        <w:gridCol w:w="960"/>
        <w:gridCol w:w="960"/>
        <w:gridCol w:w="960"/>
        <w:gridCol w:w="960"/>
        <w:gridCol w:w="960"/>
        <w:gridCol w:w="960"/>
        <w:gridCol w:w="960"/>
        <w:gridCol w:w="960"/>
      </w:tblGrid>
      <w:tr w:rsidR="00E8028A" w:rsidRPr="00D86692" w:rsidTr="00033123">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 </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2009</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2010</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2011</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2012</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2013</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2014</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2015</w:t>
            </w:r>
          </w:p>
        </w:tc>
        <w:tc>
          <w:tcPr>
            <w:tcW w:w="96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2016</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Arezzo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33</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22</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9</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Firenze</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31</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28</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29</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28</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16</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7</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Grosseto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8</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10</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Livorno</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6</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11</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7</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Lucca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27</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6</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11</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Massa-Carrara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Pisa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9</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Pr>
                <w:rFonts w:ascii="Century Gothic" w:hAnsi="Century Gothic" w:cs="Calibri"/>
                <w:b/>
                <w:bCs/>
                <w:color w:val="000000"/>
                <w:sz w:val="20"/>
                <w:szCs w:val="20"/>
                <w:lang w:eastAsia="it-IT"/>
              </w:rPr>
              <w:t>15</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Pistoia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9</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7</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Prato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0</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Siena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13</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26</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26</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22</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23</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10</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14</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17</w:t>
            </w:r>
          </w:p>
        </w:tc>
      </w:tr>
      <w:tr w:rsidR="00E8028A" w:rsidRPr="00D86692" w:rsidTr="00E8028A">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Toscana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99</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106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162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160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121</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54</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87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Pr>
                <w:rFonts w:ascii="Century Gothic" w:hAnsi="Century Gothic" w:cs="Calibri"/>
                <w:b/>
                <w:bCs/>
                <w:color w:val="000000"/>
                <w:sz w:val="20"/>
                <w:szCs w:val="20"/>
                <w:lang w:eastAsia="it-IT"/>
              </w:rPr>
              <w:t>61</w:t>
            </w:r>
          </w:p>
        </w:tc>
      </w:tr>
    </w:tbl>
    <w:p w:rsidR="00E8028A" w:rsidRPr="00AF7188" w:rsidRDefault="00E8028A" w:rsidP="00E8028A">
      <w:pPr>
        <w:jc w:val="both"/>
        <w:rPr>
          <w:rFonts w:ascii="Century Gothic" w:hAnsi="Century Gothic"/>
          <w:b/>
          <w:highlight w:val="yellow"/>
        </w:rPr>
      </w:pPr>
    </w:p>
    <w:p w:rsidR="00E8028A" w:rsidRPr="007E121E" w:rsidRDefault="00727A76" w:rsidP="00BF03A4">
      <w:pPr>
        <w:jc w:val="both"/>
        <w:rPr>
          <w:rFonts w:ascii="Century Gothic" w:hAnsi="Century Gothic"/>
        </w:rPr>
      </w:pPr>
      <w:r>
        <w:rPr>
          <w:rFonts w:ascii="Century Gothic" w:hAnsi="Century Gothic"/>
        </w:rPr>
        <w:t>Passando a</w:t>
      </w:r>
      <w:r w:rsidR="00F41922">
        <w:rPr>
          <w:rFonts w:ascii="Century Gothic" w:hAnsi="Century Gothic"/>
        </w:rPr>
        <w:t>d</w:t>
      </w:r>
      <w:r>
        <w:rPr>
          <w:rFonts w:ascii="Century Gothic" w:hAnsi="Century Gothic"/>
        </w:rPr>
        <w:t xml:space="preserve"> un’analisi in termini percentuali, si rileva che l</w:t>
      </w:r>
      <w:r w:rsidR="00E8028A" w:rsidRPr="00ED69AA">
        <w:rPr>
          <w:rFonts w:ascii="Century Gothic" w:hAnsi="Century Gothic"/>
        </w:rPr>
        <w:t>e province che registrano una copertura maggi</w:t>
      </w:r>
      <w:r w:rsidR="00E8028A">
        <w:rPr>
          <w:rFonts w:ascii="Century Gothic" w:hAnsi="Century Gothic"/>
        </w:rPr>
        <w:t>o</w:t>
      </w:r>
      <w:r w:rsidR="00E8028A" w:rsidRPr="00ED69AA">
        <w:rPr>
          <w:rFonts w:ascii="Century Gothic" w:hAnsi="Century Gothic"/>
        </w:rPr>
        <w:t>re della media sono anzitutto quelle di Siena, Pisa e Lucca, con livelli di copertura compresi fra un</w:t>
      </w:r>
      <w:r w:rsidR="00E8028A">
        <w:rPr>
          <w:rFonts w:ascii="Century Gothic" w:hAnsi="Century Gothic"/>
        </w:rPr>
        <w:t xml:space="preserve"> terzo e metà dei comuni locali, oltre ad Arezzo con una copertura pari quasi ad un quarto del totale</w:t>
      </w:r>
      <w:r w:rsidR="005D7F85">
        <w:rPr>
          <w:rFonts w:ascii="Century Gothic" w:hAnsi="Century Gothic"/>
        </w:rPr>
        <w:t xml:space="preserve">, </w:t>
      </w:r>
      <w:r w:rsidR="005D7F85" w:rsidRPr="00293A4C">
        <w:rPr>
          <w:rFonts w:ascii="Century Gothic" w:hAnsi="Century Gothic"/>
        </w:rPr>
        <w:t>dovuta alla presenza di un solo accordo, ma di ambito intercomunale</w:t>
      </w:r>
      <w:r w:rsidR="00E8028A" w:rsidRPr="00293A4C">
        <w:rPr>
          <w:rFonts w:ascii="Century Gothic" w:hAnsi="Century Gothic"/>
        </w:rPr>
        <w:t>.</w:t>
      </w:r>
      <w:r w:rsidR="00E8028A">
        <w:rPr>
          <w:rFonts w:ascii="Century Gothic" w:hAnsi="Century Gothic"/>
        </w:rPr>
        <w:t xml:space="preserve"> </w:t>
      </w:r>
      <w:r w:rsidR="00BF03A4" w:rsidRPr="007E121E">
        <w:rPr>
          <w:rFonts w:ascii="Century Gothic" w:hAnsi="Century Gothic"/>
        </w:rPr>
        <w:t xml:space="preserve">Nella provincia di Livorno viene </w:t>
      </w:r>
      <w:r w:rsidR="007E121E" w:rsidRPr="007E121E">
        <w:rPr>
          <w:rFonts w:ascii="Century Gothic" w:hAnsi="Century Gothic"/>
        </w:rPr>
        <w:t xml:space="preserve">raggiunta la copertura di un quinto </w:t>
      </w:r>
      <w:r w:rsidR="00F41922">
        <w:rPr>
          <w:rFonts w:ascii="Century Gothic" w:hAnsi="Century Gothic"/>
        </w:rPr>
        <w:t>dei comuni</w:t>
      </w:r>
      <w:r w:rsidR="00BF03A4" w:rsidRPr="007E121E">
        <w:rPr>
          <w:rFonts w:ascii="Century Gothic" w:hAnsi="Century Gothic"/>
        </w:rPr>
        <w:t>, valore vicino alla media regionale.</w:t>
      </w:r>
    </w:p>
    <w:p w:rsidR="00BF03A4" w:rsidRPr="007E121E" w:rsidRDefault="00BF03A4" w:rsidP="00BF03A4">
      <w:pPr>
        <w:jc w:val="both"/>
        <w:rPr>
          <w:rFonts w:ascii="Century Gothic" w:hAnsi="Century Gothic"/>
          <w:b/>
        </w:rPr>
      </w:pPr>
    </w:p>
    <w:p w:rsidR="00E8028A" w:rsidRDefault="00E8028A" w:rsidP="00E8028A">
      <w:pPr>
        <w:rPr>
          <w:rFonts w:ascii="Century Gothic" w:hAnsi="Century Gothic"/>
          <w:b/>
        </w:rPr>
      </w:pPr>
      <w:r w:rsidRPr="0035601B">
        <w:rPr>
          <w:rFonts w:ascii="Century Gothic" w:hAnsi="Century Gothic"/>
          <w:b/>
        </w:rPr>
        <w:t xml:space="preserve">Tab.n. </w:t>
      </w:r>
      <w:r>
        <w:rPr>
          <w:rFonts w:ascii="Century Gothic" w:hAnsi="Century Gothic"/>
          <w:b/>
        </w:rPr>
        <w:t xml:space="preserve">4 </w:t>
      </w:r>
      <w:r w:rsidRPr="0035601B">
        <w:rPr>
          <w:rFonts w:ascii="Century Gothic" w:hAnsi="Century Gothic"/>
          <w:b/>
        </w:rPr>
        <w:t>- Numero e percentuale di comuni coperti da contrattazione sociale per provincia</w:t>
      </w:r>
      <w:r>
        <w:rPr>
          <w:rFonts w:ascii="Century Gothic" w:hAnsi="Century Gothic"/>
          <w:b/>
        </w:rPr>
        <w:t>.</w:t>
      </w:r>
      <w:r w:rsidRPr="0035601B">
        <w:rPr>
          <w:rFonts w:ascii="Century Gothic" w:hAnsi="Century Gothic"/>
          <w:b/>
        </w:rPr>
        <w:t xml:space="preserve"> </w:t>
      </w:r>
      <w:r>
        <w:rPr>
          <w:rFonts w:ascii="Century Gothic" w:hAnsi="Century Gothic"/>
          <w:b/>
        </w:rPr>
        <w:t>Raffronto 2015-2016</w:t>
      </w:r>
      <w:r w:rsidRPr="0035601B">
        <w:rPr>
          <w:rFonts w:ascii="Century Gothic" w:hAnsi="Century Gothic"/>
          <w:b/>
        </w:rPr>
        <w:t xml:space="preserve">  </w:t>
      </w:r>
    </w:p>
    <w:tbl>
      <w:tblPr>
        <w:tblW w:w="6865" w:type="dxa"/>
        <w:tblInd w:w="60" w:type="dxa"/>
        <w:tblCellMar>
          <w:left w:w="70" w:type="dxa"/>
          <w:right w:w="70" w:type="dxa"/>
        </w:tblCellMar>
        <w:tblLook w:val="04A0" w:firstRow="1" w:lastRow="0" w:firstColumn="1" w:lastColumn="0" w:noHBand="0" w:noVBand="1"/>
      </w:tblPr>
      <w:tblGrid>
        <w:gridCol w:w="2048"/>
        <w:gridCol w:w="945"/>
        <w:gridCol w:w="968"/>
        <w:gridCol w:w="968"/>
        <w:gridCol w:w="968"/>
        <w:gridCol w:w="968"/>
      </w:tblGrid>
      <w:tr w:rsidR="00E8028A" w:rsidRPr="00D86692" w:rsidTr="00033123">
        <w:trPr>
          <w:trHeight w:val="615"/>
        </w:trPr>
        <w:tc>
          <w:tcPr>
            <w:tcW w:w="2048" w:type="dxa"/>
            <w:tcBorders>
              <w:top w:val="single" w:sz="8" w:space="0" w:color="FFFFFF"/>
              <w:left w:val="single" w:sz="8" w:space="0" w:color="FFFFFF"/>
              <w:bottom w:val="single" w:sz="8" w:space="0" w:color="FFFFFF"/>
              <w:right w:val="nil"/>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 </w:t>
            </w:r>
          </w:p>
        </w:tc>
        <w:tc>
          <w:tcPr>
            <w:tcW w:w="945" w:type="dxa"/>
            <w:tcBorders>
              <w:top w:val="single" w:sz="8" w:space="0" w:color="FFFFFF"/>
              <w:left w:val="nil"/>
              <w:bottom w:val="single" w:sz="8" w:space="0" w:color="FFFFFF"/>
              <w:right w:val="nil"/>
            </w:tcBorders>
            <w:shd w:val="clear" w:color="auto" w:fill="8DB3E2" w:themeFill="text2" w:themeFillTint="66"/>
            <w:hideMark/>
          </w:tcPr>
          <w:p w:rsidR="00E8028A" w:rsidRPr="00D86692" w:rsidRDefault="00E8028A" w:rsidP="00E8028A">
            <w:pPr>
              <w:rPr>
                <w:rFonts w:cs="Calibri"/>
                <w:b/>
                <w:bCs/>
                <w:color w:val="000000"/>
                <w:lang w:eastAsia="it-IT"/>
              </w:rPr>
            </w:pPr>
            <w:r w:rsidRPr="00D86692">
              <w:rPr>
                <w:rFonts w:cs="Calibri"/>
                <w:b/>
                <w:bCs/>
                <w:color w:val="000000"/>
                <w:lang w:eastAsia="it-IT"/>
              </w:rPr>
              <w:t>TOTALE COMUNI</w:t>
            </w:r>
          </w:p>
        </w:tc>
        <w:tc>
          <w:tcPr>
            <w:tcW w:w="968" w:type="dxa"/>
            <w:tcBorders>
              <w:top w:val="single" w:sz="8" w:space="0" w:color="FFFFFF"/>
              <w:left w:val="nil"/>
              <w:bottom w:val="single" w:sz="8" w:space="0" w:color="FFFFFF"/>
              <w:right w:val="nil"/>
            </w:tcBorders>
            <w:shd w:val="clear" w:color="auto" w:fill="8DB3E2" w:themeFill="text2" w:themeFillTint="66"/>
            <w:noWrap/>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2015</w:t>
            </w:r>
          </w:p>
        </w:tc>
        <w:tc>
          <w:tcPr>
            <w:tcW w:w="968" w:type="dxa"/>
            <w:tcBorders>
              <w:top w:val="single" w:sz="8" w:space="0" w:color="FFFFFF"/>
              <w:left w:val="nil"/>
              <w:bottom w:val="single" w:sz="8" w:space="0" w:color="FFFFFF"/>
              <w:right w:val="single" w:sz="8" w:space="0" w:color="FFFFFF"/>
            </w:tcBorders>
            <w:shd w:val="clear" w:color="auto" w:fill="8DB3E2" w:themeFill="text2" w:themeFillTint="66"/>
            <w:noWrap/>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2015%</w:t>
            </w:r>
          </w:p>
        </w:tc>
        <w:tc>
          <w:tcPr>
            <w:tcW w:w="968" w:type="dxa"/>
            <w:tcBorders>
              <w:top w:val="single" w:sz="8" w:space="0" w:color="FFFFFF"/>
              <w:left w:val="nil"/>
              <w:bottom w:val="single" w:sz="8" w:space="0" w:color="FFFFFF"/>
              <w:right w:val="nil"/>
            </w:tcBorders>
            <w:shd w:val="clear" w:color="auto" w:fill="8DB3E2" w:themeFill="text2" w:themeFillTint="66"/>
            <w:noWrap/>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2016</w:t>
            </w:r>
          </w:p>
        </w:tc>
        <w:tc>
          <w:tcPr>
            <w:tcW w:w="968" w:type="dxa"/>
            <w:tcBorders>
              <w:top w:val="single" w:sz="8" w:space="0" w:color="FFFFFF"/>
              <w:left w:val="nil"/>
              <w:bottom w:val="single" w:sz="8" w:space="0" w:color="FFFFFF"/>
              <w:right w:val="single" w:sz="8" w:space="0" w:color="FFFFFF"/>
            </w:tcBorders>
            <w:shd w:val="clear" w:color="auto" w:fill="8DB3E2" w:themeFill="text2" w:themeFillTint="66"/>
            <w:noWrap/>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2016%</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Arezzo</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37</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22</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59%</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9</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24%</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Firenze</w:t>
            </w:r>
          </w:p>
        </w:tc>
        <w:tc>
          <w:tcPr>
            <w:tcW w:w="945" w:type="dxa"/>
            <w:tcBorders>
              <w:top w:val="nil"/>
              <w:left w:val="nil"/>
              <w:bottom w:val="single" w:sz="8" w:space="0" w:color="FFFFFF"/>
              <w:right w:val="single" w:sz="8" w:space="0" w:color="FFFFFF"/>
            </w:tcBorders>
            <w:shd w:val="clear" w:color="auto" w:fill="8DB3E2" w:themeFill="text2" w:themeFillTint="66"/>
            <w:hideMark/>
          </w:tcPr>
          <w:p w:rsidR="00E8028A" w:rsidRPr="00D86692" w:rsidRDefault="00E8028A" w:rsidP="00E8028A">
            <w:pPr>
              <w:jc w:val="right"/>
              <w:rPr>
                <w:rFonts w:cs="Calibri"/>
                <w:color w:val="000000"/>
                <w:lang w:eastAsia="it-IT"/>
              </w:rPr>
            </w:pPr>
            <w:r w:rsidRPr="00D86692">
              <w:rPr>
                <w:rFonts w:cs="Calibri"/>
                <w:color w:val="000000"/>
                <w:lang w:eastAsia="it-IT"/>
              </w:rPr>
              <w:t>42</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7</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17%</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Grosseto</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28</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Livorno</w:t>
            </w:r>
          </w:p>
        </w:tc>
        <w:tc>
          <w:tcPr>
            <w:tcW w:w="945" w:type="dxa"/>
            <w:tcBorders>
              <w:top w:val="nil"/>
              <w:left w:val="nil"/>
              <w:bottom w:val="single" w:sz="8" w:space="0" w:color="FFFFFF"/>
              <w:right w:val="single" w:sz="8" w:space="0" w:color="FFFFFF"/>
            </w:tcBorders>
            <w:shd w:val="clear" w:color="auto" w:fill="8DB3E2" w:themeFill="text2" w:themeFillTint="66"/>
            <w:hideMark/>
          </w:tcPr>
          <w:p w:rsidR="00E8028A" w:rsidRPr="00D86692" w:rsidRDefault="00E8028A" w:rsidP="00E8028A">
            <w:pPr>
              <w:jc w:val="right"/>
              <w:rPr>
                <w:rFonts w:cs="Calibri"/>
                <w:color w:val="000000"/>
                <w:lang w:eastAsia="it-IT"/>
              </w:rPr>
            </w:pPr>
            <w:r w:rsidRPr="00D86692">
              <w:rPr>
                <w:rFonts w:cs="Calibri"/>
                <w:color w:val="000000"/>
                <w:lang w:eastAsia="it-IT"/>
              </w:rPr>
              <w:t>20</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5</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25%</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4</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20%</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Lucca</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33</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15</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45%</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11</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33%</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Massa-Carrara</w:t>
            </w:r>
          </w:p>
        </w:tc>
        <w:tc>
          <w:tcPr>
            <w:tcW w:w="945" w:type="dxa"/>
            <w:tcBorders>
              <w:top w:val="nil"/>
              <w:left w:val="nil"/>
              <w:bottom w:val="single" w:sz="8" w:space="0" w:color="FFFFFF"/>
              <w:right w:val="single" w:sz="8" w:space="0" w:color="FFFFFF"/>
            </w:tcBorders>
            <w:shd w:val="clear" w:color="auto" w:fill="8DB3E2" w:themeFill="text2" w:themeFillTint="66"/>
            <w:hideMark/>
          </w:tcPr>
          <w:p w:rsidR="00E8028A" w:rsidRPr="00D86692" w:rsidRDefault="00E8028A" w:rsidP="00E8028A">
            <w:pPr>
              <w:jc w:val="right"/>
              <w:rPr>
                <w:rFonts w:cs="Calibri"/>
                <w:color w:val="000000"/>
                <w:lang w:eastAsia="it-IT"/>
              </w:rPr>
            </w:pPr>
            <w:r w:rsidRPr="00D86692">
              <w:rPr>
                <w:rFonts w:cs="Calibri"/>
                <w:color w:val="000000"/>
                <w:lang w:eastAsia="it-IT"/>
              </w:rPr>
              <w:t>17</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12%</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6%</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Pisa</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37</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16</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43%</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Pr>
                <w:rFonts w:cs="Calibri"/>
                <w:color w:val="000000"/>
                <w:lang w:eastAsia="it-IT"/>
              </w:rPr>
              <w:t>15</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Pr>
                <w:rFonts w:cs="Calibri"/>
                <w:color w:val="000000"/>
                <w:lang w:eastAsia="it-IT"/>
              </w:rPr>
              <w:t>41</w:t>
            </w:r>
            <w:r w:rsidRPr="00D86692">
              <w:rPr>
                <w:rFonts w:cs="Calibri"/>
                <w:color w:val="000000"/>
                <w:lang w:eastAsia="it-IT"/>
              </w:rPr>
              <w:t>%</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Pistoia</w:t>
            </w:r>
          </w:p>
        </w:tc>
        <w:tc>
          <w:tcPr>
            <w:tcW w:w="945" w:type="dxa"/>
            <w:tcBorders>
              <w:top w:val="nil"/>
              <w:left w:val="nil"/>
              <w:bottom w:val="single" w:sz="8" w:space="0" w:color="FFFFFF"/>
              <w:right w:val="single" w:sz="8" w:space="0" w:color="FFFFFF"/>
            </w:tcBorders>
            <w:shd w:val="clear" w:color="auto" w:fill="8DB3E2" w:themeFill="text2" w:themeFillTint="66"/>
            <w:hideMark/>
          </w:tcPr>
          <w:p w:rsidR="00E8028A" w:rsidRPr="00D86692" w:rsidRDefault="00E8028A" w:rsidP="00E8028A">
            <w:pPr>
              <w:jc w:val="right"/>
              <w:rPr>
                <w:rFonts w:cs="Calibri"/>
                <w:color w:val="000000"/>
                <w:lang w:eastAsia="it-IT"/>
              </w:rPr>
            </w:pPr>
            <w:r w:rsidRPr="00D86692">
              <w:rPr>
                <w:rFonts w:cs="Calibri"/>
                <w:color w:val="000000"/>
                <w:lang w:eastAsia="it-IT"/>
              </w:rPr>
              <w:t>22</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9%</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3</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14%</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Prato</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7</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4</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57%</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0%</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Siena</w:t>
            </w:r>
          </w:p>
        </w:tc>
        <w:tc>
          <w:tcPr>
            <w:tcW w:w="945" w:type="dxa"/>
            <w:tcBorders>
              <w:top w:val="nil"/>
              <w:left w:val="nil"/>
              <w:bottom w:val="single" w:sz="8" w:space="0" w:color="FFFFFF"/>
              <w:right w:val="single" w:sz="8" w:space="0" w:color="FFFFFF"/>
            </w:tcBorders>
            <w:shd w:val="clear" w:color="auto" w:fill="8DB3E2" w:themeFill="text2" w:themeFillTint="66"/>
            <w:hideMark/>
          </w:tcPr>
          <w:p w:rsidR="00E8028A" w:rsidRPr="00D86692" w:rsidRDefault="00E8028A" w:rsidP="00E8028A">
            <w:pPr>
              <w:jc w:val="right"/>
              <w:rPr>
                <w:rFonts w:cs="Calibri"/>
                <w:color w:val="000000"/>
                <w:lang w:eastAsia="it-IT"/>
              </w:rPr>
            </w:pPr>
            <w:r w:rsidRPr="00D86692">
              <w:rPr>
                <w:rFonts w:cs="Calibri"/>
                <w:color w:val="000000"/>
                <w:lang w:eastAsia="it-IT"/>
              </w:rPr>
              <w:t>36</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14</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39%</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17</w:t>
            </w:r>
          </w:p>
        </w:tc>
        <w:tc>
          <w:tcPr>
            <w:tcW w:w="968" w:type="dxa"/>
            <w:tcBorders>
              <w:top w:val="nil"/>
              <w:left w:val="nil"/>
              <w:bottom w:val="single" w:sz="8" w:space="0" w:color="FFFFFF"/>
              <w:right w:val="single" w:sz="8" w:space="0" w:color="FFFFFF"/>
            </w:tcBorders>
            <w:shd w:val="clear" w:color="auto" w:fill="8DB3E2" w:themeFill="text2" w:themeFillTint="66"/>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47%</w:t>
            </w:r>
          </w:p>
        </w:tc>
      </w:tr>
      <w:tr w:rsidR="00E8028A" w:rsidRPr="00D86692" w:rsidTr="00033123">
        <w:trPr>
          <w:trHeight w:val="315"/>
        </w:trPr>
        <w:tc>
          <w:tcPr>
            <w:tcW w:w="2048" w:type="dxa"/>
            <w:tcBorders>
              <w:top w:val="nil"/>
              <w:left w:val="single" w:sz="8" w:space="0" w:color="FFFFFF"/>
              <w:bottom w:val="single" w:sz="8" w:space="0" w:color="FFFFFF"/>
              <w:right w:val="single" w:sz="8" w:space="0" w:color="FFFFFF"/>
            </w:tcBorders>
            <w:shd w:val="clear" w:color="auto" w:fill="8DB3E2" w:themeFill="text2" w:themeFillTint="66"/>
            <w:noWrap/>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Toscana</w:t>
            </w:r>
          </w:p>
        </w:tc>
        <w:tc>
          <w:tcPr>
            <w:tcW w:w="945" w:type="dxa"/>
            <w:tcBorders>
              <w:top w:val="nil"/>
              <w:left w:val="nil"/>
              <w:bottom w:val="single" w:sz="8" w:space="0" w:color="FFFFFF"/>
              <w:right w:val="single" w:sz="8" w:space="0" w:color="FFFFFF"/>
            </w:tcBorders>
            <w:shd w:val="clear" w:color="auto" w:fill="C6D9F1" w:themeFill="text2" w:themeFillTint="33"/>
            <w:hideMark/>
          </w:tcPr>
          <w:p w:rsidR="00E8028A" w:rsidRPr="00D86692" w:rsidRDefault="00E8028A" w:rsidP="00E8028A">
            <w:pPr>
              <w:jc w:val="right"/>
              <w:rPr>
                <w:rFonts w:cs="Calibri"/>
                <w:color w:val="000000"/>
                <w:lang w:eastAsia="it-IT"/>
              </w:rPr>
            </w:pPr>
            <w:r w:rsidRPr="00D86692">
              <w:rPr>
                <w:rFonts w:cs="Calibri"/>
                <w:color w:val="000000"/>
                <w:lang w:eastAsia="it-IT"/>
              </w:rPr>
              <w:t>279</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87</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31%</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Pr>
                <w:rFonts w:cs="Calibri"/>
                <w:color w:val="000000"/>
                <w:lang w:eastAsia="it-IT"/>
              </w:rPr>
              <w:t>61</w:t>
            </w:r>
          </w:p>
        </w:tc>
        <w:tc>
          <w:tcPr>
            <w:tcW w:w="968" w:type="dxa"/>
            <w:tcBorders>
              <w:top w:val="nil"/>
              <w:left w:val="nil"/>
              <w:bottom w:val="single" w:sz="8" w:space="0" w:color="FFFFFF"/>
              <w:right w:val="single" w:sz="8" w:space="0" w:color="FFFFFF"/>
            </w:tcBorders>
            <w:shd w:val="clear" w:color="auto" w:fill="C6D9F1" w:themeFill="text2" w:themeFillTint="33"/>
            <w:noWrap/>
            <w:vAlign w:val="bottom"/>
            <w:hideMark/>
          </w:tcPr>
          <w:p w:rsidR="00E8028A" w:rsidRPr="00D86692" w:rsidRDefault="00E8028A" w:rsidP="00E8028A">
            <w:pPr>
              <w:jc w:val="right"/>
              <w:rPr>
                <w:rFonts w:cs="Calibri"/>
                <w:color w:val="000000"/>
                <w:lang w:eastAsia="it-IT"/>
              </w:rPr>
            </w:pPr>
            <w:r w:rsidRPr="00D86692">
              <w:rPr>
                <w:rFonts w:cs="Calibri"/>
                <w:color w:val="000000"/>
                <w:lang w:eastAsia="it-IT"/>
              </w:rPr>
              <w:t>2</w:t>
            </w:r>
            <w:r>
              <w:rPr>
                <w:rFonts w:cs="Calibri"/>
                <w:color w:val="000000"/>
                <w:lang w:eastAsia="it-IT"/>
              </w:rPr>
              <w:t>2</w:t>
            </w:r>
            <w:r w:rsidRPr="00D86692">
              <w:rPr>
                <w:rFonts w:cs="Calibri"/>
                <w:color w:val="000000"/>
                <w:lang w:eastAsia="it-IT"/>
              </w:rPr>
              <w:t>%</w:t>
            </w:r>
          </w:p>
        </w:tc>
      </w:tr>
    </w:tbl>
    <w:p w:rsidR="00E8028A" w:rsidRDefault="00E8028A" w:rsidP="00E8028A">
      <w:pPr>
        <w:rPr>
          <w:rFonts w:ascii="Century Gothic" w:hAnsi="Century Gothic"/>
          <w:b/>
          <w:bCs/>
          <w:color w:val="000000"/>
          <w:lang w:eastAsia="it-IT"/>
        </w:rPr>
      </w:pPr>
    </w:p>
    <w:p w:rsidR="00E8028A" w:rsidRPr="00ED69AA" w:rsidRDefault="00E8028A" w:rsidP="00E8028A">
      <w:pPr>
        <w:jc w:val="both"/>
        <w:rPr>
          <w:rFonts w:ascii="Century Gothic" w:hAnsi="Century Gothic"/>
        </w:rPr>
      </w:pPr>
      <w:r w:rsidRPr="00ED69AA">
        <w:rPr>
          <w:rFonts w:ascii="Century Gothic" w:hAnsi="Century Gothic"/>
        </w:rPr>
        <w:t xml:space="preserve">Comunque </w:t>
      </w:r>
      <w:r w:rsidR="007E121E">
        <w:rPr>
          <w:rFonts w:ascii="Century Gothic" w:hAnsi="Century Gothic"/>
        </w:rPr>
        <w:t>nel resto delle province (</w:t>
      </w:r>
      <w:r>
        <w:rPr>
          <w:rFonts w:ascii="Century Gothic" w:hAnsi="Century Gothic"/>
        </w:rPr>
        <w:t xml:space="preserve">Firenze, Grosseto, Massa, Pistoia, Prato), dove </w:t>
      </w:r>
      <w:r w:rsidR="00727A76">
        <w:rPr>
          <w:rFonts w:ascii="Century Gothic" w:hAnsi="Century Gothic"/>
        </w:rPr>
        <w:t>nell’insieme</w:t>
      </w:r>
      <w:r>
        <w:rPr>
          <w:rFonts w:ascii="Century Gothic" w:hAnsi="Century Gothic"/>
        </w:rPr>
        <w:t xml:space="preserve"> sono </w:t>
      </w:r>
      <w:r w:rsidR="00F41922">
        <w:rPr>
          <w:rFonts w:ascii="Century Gothic" w:hAnsi="Century Gothic"/>
        </w:rPr>
        <w:t>presenti</w:t>
      </w:r>
      <w:r>
        <w:rPr>
          <w:rFonts w:ascii="Century Gothic" w:hAnsi="Century Gothic"/>
        </w:rPr>
        <w:t xml:space="preserve"> </w:t>
      </w:r>
      <w:r w:rsidR="007E121E">
        <w:rPr>
          <w:rFonts w:ascii="Century Gothic" w:hAnsi="Century Gothic"/>
        </w:rPr>
        <w:t>cinque</w:t>
      </w:r>
      <w:r>
        <w:rPr>
          <w:rFonts w:ascii="Century Gothic" w:hAnsi="Century Gothic"/>
        </w:rPr>
        <w:t xml:space="preserve"> accordi locali, la copertura territoriale </w:t>
      </w:r>
      <w:r w:rsidR="007E121E">
        <w:rPr>
          <w:rFonts w:ascii="Century Gothic" w:hAnsi="Century Gothic"/>
        </w:rPr>
        <w:t>va</w:t>
      </w:r>
      <w:r>
        <w:rPr>
          <w:rFonts w:ascii="Century Gothic" w:hAnsi="Century Gothic"/>
        </w:rPr>
        <w:t xml:space="preserve"> dallo zero al </w:t>
      </w:r>
      <w:r w:rsidR="007E121E">
        <w:rPr>
          <w:rFonts w:ascii="Century Gothic" w:hAnsi="Century Gothic"/>
        </w:rPr>
        <w:t>14</w:t>
      </w:r>
      <w:r>
        <w:rPr>
          <w:rFonts w:ascii="Century Gothic" w:hAnsi="Century Gothic"/>
        </w:rPr>
        <w:t>% dei comuni.</w:t>
      </w:r>
    </w:p>
    <w:p w:rsidR="003D2D6D" w:rsidRDefault="003D2D6D">
      <w:pPr>
        <w:rPr>
          <w:rFonts w:ascii="Century Gothic" w:hAnsi="Century Gothic"/>
        </w:rPr>
      </w:pPr>
      <w:r>
        <w:rPr>
          <w:rFonts w:ascii="Century Gothic" w:hAnsi="Century Gothic"/>
        </w:rPr>
        <w:br w:type="page"/>
      </w:r>
    </w:p>
    <w:p w:rsidR="00E8028A" w:rsidRPr="00087F3A" w:rsidRDefault="00E8028A" w:rsidP="00E8028A">
      <w:pPr>
        <w:jc w:val="both"/>
        <w:rPr>
          <w:rFonts w:ascii="Century Gothic" w:hAnsi="Century Gothic"/>
          <w:b/>
        </w:rPr>
      </w:pPr>
      <w:r w:rsidRPr="00087F3A">
        <w:rPr>
          <w:rFonts w:ascii="Century Gothic" w:hAnsi="Century Gothic"/>
          <w:b/>
        </w:rPr>
        <w:t>3.3. La propensione negoziale per popolazione coperta da contrattazione sociale nelle province della Toscana</w:t>
      </w:r>
    </w:p>
    <w:p w:rsidR="00E8028A" w:rsidRPr="00AF7188" w:rsidRDefault="00E8028A" w:rsidP="00E8028A">
      <w:pPr>
        <w:jc w:val="both"/>
        <w:rPr>
          <w:rFonts w:ascii="Century Gothic" w:hAnsi="Century Gothic"/>
          <w:b/>
          <w:highlight w:val="yellow"/>
        </w:rPr>
      </w:pPr>
    </w:p>
    <w:p w:rsidR="00E8028A" w:rsidRDefault="00E8028A" w:rsidP="00E8028A">
      <w:pPr>
        <w:jc w:val="both"/>
        <w:rPr>
          <w:rFonts w:ascii="Century Gothic" w:hAnsi="Century Gothic"/>
        </w:rPr>
      </w:pPr>
      <w:r w:rsidRPr="00087F3A">
        <w:rPr>
          <w:rFonts w:ascii="Century Gothic" w:hAnsi="Century Gothic"/>
        </w:rPr>
        <w:t>Per quanto l’esistenza di un accordo scritto sia solo una precondizione piuttosto generica rispetto all’attivazione delle tutele sociali, che, in linea teorica almeno, dovrebbero essere messe in campo dalla contrattazione sociale, la quota di popolazione locale</w:t>
      </w:r>
      <w:r w:rsidR="00573C31">
        <w:rPr>
          <w:rFonts w:ascii="Century Gothic" w:hAnsi="Century Gothic"/>
        </w:rPr>
        <w:t>,</w:t>
      </w:r>
      <w:r w:rsidRPr="00087F3A">
        <w:rPr>
          <w:rFonts w:ascii="Century Gothic" w:hAnsi="Century Gothic"/>
        </w:rPr>
        <w:t xml:space="preserve"> che vive in contesti dove agisce un accordo di contrattazione sociale</w:t>
      </w:r>
      <w:r w:rsidR="00573C31">
        <w:rPr>
          <w:rFonts w:ascii="Century Gothic" w:hAnsi="Century Gothic"/>
        </w:rPr>
        <w:t>,</w:t>
      </w:r>
      <w:r w:rsidRPr="00087F3A">
        <w:rPr>
          <w:rFonts w:ascii="Century Gothic" w:hAnsi="Century Gothic"/>
        </w:rPr>
        <w:t xml:space="preserve"> può ben essere considerata un primo indicatore di “copertura” da parte delle politiche sociali concertate. </w:t>
      </w:r>
    </w:p>
    <w:p w:rsidR="005A0D5C" w:rsidRPr="00D51605" w:rsidRDefault="004C0B7B" w:rsidP="00D51605">
      <w:pPr>
        <w:jc w:val="both"/>
        <w:rPr>
          <w:rFonts w:ascii="Century Gothic" w:hAnsi="Century Gothic"/>
        </w:rPr>
      </w:pPr>
      <w:r w:rsidRPr="00D51605">
        <w:rPr>
          <w:rFonts w:ascii="Century Gothic" w:hAnsi="Century Gothic"/>
        </w:rPr>
        <w:t xml:space="preserve">Come già evidenziato, anche per quanto riguarda la popolazione coperta da contrattazione sociale si verifica una diminuzione rispetto al 2015, passando da quasi due quinti della popolazione toscana (38%) a poco più di un quarto (26%), valore leggermente inferiore al 2014 (29%). </w:t>
      </w:r>
    </w:p>
    <w:p w:rsidR="00E8028A" w:rsidRPr="00087F3A" w:rsidRDefault="00D51605" w:rsidP="00E8028A">
      <w:pPr>
        <w:jc w:val="both"/>
        <w:rPr>
          <w:rFonts w:ascii="Century Gothic" w:hAnsi="Century Gothic"/>
        </w:rPr>
      </w:pPr>
      <w:r w:rsidRPr="00D51605">
        <w:rPr>
          <w:rFonts w:ascii="Century Gothic" w:hAnsi="Century Gothic"/>
        </w:rPr>
        <w:t xml:space="preserve">Esaminando l’andamento nei vari territori, si rileva che </w:t>
      </w:r>
      <w:r w:rsidR="00E8028A" w:rsidRPr="00087F3A">
        <w:rPr>
          <w:rFonts w:ascii="Century Gothic" w:hAnsi="Century Gothic"/>
        </w:rPr>
        <w:t>il tasso di copertura è in ripiegamento</w:t>
      </w:r>
      <w:r w:rsidR="00E8028A">
        <w:rPr>
          <w:rFonts w:ascii="Century Gothic" w:hAnsi="Century Gothic"/>
        </w:rPr>
        <w:t xml:space="preserve"> rispetto agli anni precedenti, s</w:t>
      </w:r>
      <w:r w:rsidR="00727A76">
        <w:rPr>
          <w:rFonts w:ascii="Century Gothic" w:hAnsi="Century Gothic"/>
        </w:rPr>
        <w:t xml:space="preserve">alvo che nelle tre province di </w:t>
      </w:r>
      <w:r w:rsidR="00E8028A">
        <w:rPr>
          <w:rFonts w:ascii="Century Gothic" w:hAnsi="Century Gothic"/>
        </w:rPr>
        <w:t xml:space="preserve">Siena (dal 61% al </w:t>
      </w:r>
      <w:r w:rsidR="00E8028A" w:rsidRPr="00573C31">
        <w:rPr>
          <w:rFonts w:ascii="Century Gothic" w:hAnsi="Century Gothic"/>
        </w:rPr>
        <w:t>6</w:t>
      </w:r>
      <w:r w:rsidR="002A4CDE">
        <w:rPr>
          <w:rFonts w:ascii="Century Gothic" w:hAnsi="Century Gothic"/>
        </w:rPr>
        <w:t>8</w:t>
      </w:r>
      <w:r w:rsidR="00E8028A">
        <w:rPr>
          <w:rFonts w:ascii="Century Gothic" w:hAnsi="Century Gothic"/>
        </w:rPr>
        <w:t>%), Pisa (dal 45% al 52%) e Pistoia (dall’11% al 13%), ma va anche ricordato che la popolazione della provincia di Lucca risulta ancora una volta “coperta” per più di metà (63%), come del resto è avvenuto in sette degli otto anni per i quali abbiamo raccolto i dati.</w:t>
      </w:r>
      <w:r w:rsidR="00DD74D2">
        <w:rPr>
          <w:rFonts w:ascii="Century Gothic" w:hAnsi="Century Gothic"/>
        </w:rPr>
        <w:t xml:space="preserve"> </w:t>
      </w:r>
    </w:p>
    <w:p w:rsidR="00E8028A" w:rsidRPr="00AF7188" w:rsidRDefault="00E8028A" w:rsidP="00E8028A">
      <w:pPr>
        <w:jc w:val="both"/>
        <w:rPr>
          <w:rFonts w:ascii="Century Gothic" w:hAnsi="Century Gothic"/>
          <w:highlight w:val="yellow"/>
        </w:rPr>
      </w:pPr>
    </w:p>
    <w:p w:rsidR="00E8028A" w:rsidRDefault="00E8028A" w:rsidP="00E8028A">
      <w:pPr>
        <w:rPr>
          <w:rFonts w:ascii="Century Gothic" w:hAnsi="Century Gothic"/>
          <w:b/>
        </w:rPr>
      </w:pPr>
      <w:r w:rsidRPr="00CB1D01">
        <w:rPr>
          <w:rFonts w:ascii="Century Gothic" w:hAnsi="Century Gothic"/>
          <w:b/>
          <w:bCs/>
          <w:color w:val="000000"/>
          <w:lang w:eastAsia="it-IT"/>
        </w:rPr>
        <w:t>Tab n.</w:t>
      </w:r>
      <w:r>
        <w:rPr>
          <w:rFonts w:ascii="Century Gothic" w:hAnsi="Century Gothic"/>
          <w:b/>
          <w:bCs/>
          <w:color w:val="000000"/>
          <w:lang w:eastAsia="it-IT"/>
        </w:rPr>
        <w:t xml:space="preserve"> 5</w:t>
      </w:r>
      <w:r w:rsidRPr="00CB1D01">
        <w:rPr>
          <w:rFonts w:ascii="Century Gothic" w:hAnsi="Century Gothic"/>
          <w:b/>
          <w:bCs/>
          <w:color w:val="000000"/>
          <w:lang w:eastAsia="it-IT"/>
        </w:rPr>
        <w:t xml:space="preserve"> - </w:t>
      </w:r>
      <w:r w:rsidRPr="00B7472D">
        <w:rPr>
          <w:rFonts w:ascii="Century Gothic" w:hAnsi="Century Gothic"/>
          <w:b/>
          <w:bCs/>
          <w:color w:val="000000"/>
          <w:lang w:eastAsia="it-IT"/>
        </w:rPr>
        <w:t xml:space="preserve">Percentuale di popolazione coperta da accordi su totale della popolazione della provincia </w:t>
      </w:r>
      <w:r w:rsidRPr="00B7472D">
        <w:rPr>
          <w:rFonts w:ascii="Century Gothic" w:hAnsi="Century Gothic"/>
          <w:b/>
        </w:rPr>
        <w:t>2009-201</w:t>
      </w:r>
      <w:r>
        <w:rPr>
          <w:rFonts w:ascii="Century Gothic" w:hAnsi="Century Gothic"/>
          <w:b/>
        </w:rPr>
        <w:t>6</w:t>
      </w:r>
    </w:p>
    <w:p w:rsidR="00E8028A" w:rsidRPr="00E65780" w:rsidRDefault="00E8028A" w:rsidP="00E8028A">
      <w:pPr>
        <w:rPr>
          <w:rFonts w:ascii="Century Gothic" w:hAnsi="Century Gothic"/>
          <w:b/>
          <w:bCs/>
          <w:color w:val="000000"/>
          <w:lang w:eastAsia="it-IT"/>
        </w:rPr>
      </w:pPr>
      <w:r>
        <w:rPr>
          <w:rFonts w:ascii="Century Gothic" w:hAnsi="Century Gothic"/>
          <w:b/>
        </w:rPr>
        <w:t xml:space="preserve"> </w:t>
      </w:r>
    </w:p>
    <w:tbl>
      <w:tblPr>
        <w:tblW w:w="9740" w:type="dxa"/>
        <w:tblInd w:w="65" w:type="dxa"/>
        <w:tblCellMar>
          <w:left w:w="70" w:type="dxa"/>
          <w:right w:w="70" w:type="dxa"/>
        </w:tblCellMar>
        <w:tblLook w:val="04A0" w:firstRow="1" w:lastRow="0" w:firstColumn="1" w:lastColumn="0" w:noHBand="0" w:noVBand="1"/>
      </w:tblPr>
      <w:tblGrid>
        <w:gridCol w:w="1960"/>
        <w:gridCol w:w="960"/>
        <w:gridCol w:w="960"/>
        <w:gridCol w:w="960"/>
        <w:gridCol w:w="1060"/>
        <w:gridCol w:w="960"/>
        <w:gridCol w:w="960"/>
        <w:gridCol w:w="960"/>
        <w:gridCol w:w="960"/>
      </w:tblGrid>
      <w:tr w:rsidR="00E8028A" w:rsidRPr="00D86692" w:rsidTr="00E8028A">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E8028A" w:rsidRPr="00D86692" w:rsidRDefault="00E8028A" w:rsidP="00E8028A">
            <w:pPr>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 </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2009</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2010</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2011</w:t>
            </w:r>
          </w:p>
        </w:tc>
        <w:tc>
          <w:tcPr>
            <w:tcW w:w="10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2012</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2013</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2014</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2015</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rsidR="00E8028A" w:rsidRPr="00D86692" w:rsidRDefault="00E8028A" w:rsidP="00E8028A">
            <w:pPr>
              <w:jc w:val="right"/>
              <w:rPr>
                <w:rFonts w:ascii="Century Gothic" w:hAnsi="Century Gothic" w:cs="Calibri"/>
                <w:b/>
                <w:bCs/>
                <w:color w:val="000000"/>
                <w:sz w:val="20"/>
                <w:szCs w:val="20"/>
                <w:lang w:eastAsia="it-IT"/>
              </w:rPr>
            </w:pPr>
            <w:r w:rsidRPr="00D86692">
              <w:rPr>
                <w:rFonts w:ascii="Century Gothic" w:hAnsi="Century Gothic" w:cs="Calibri"/>
                <w:b/>
                <w:bCs/>
                <w:color w:val="000000"/>
                <w:sz w:val="20"/>
                <w:szCs w:val="20"/>
                <w:lang w:eastAsia="it-IT"/>
              </w:rPr>
              <w:t>2016</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Arezzo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91%</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95%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71%</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28%</w:t>
            </w:r>
          </w:p>
        </w:tc>
      </w:tr>
      <w:tr w:rsidR="00E8028A" w:rsidRPr="00D86692" w:rsidTr="00E8028A">
        <w:trPr>
          <w:trHeight w:val="300"/>
        </w:trPr>
        <w:tc>
          <w:tcPr>
            <w:tcW w:w="196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Firenze</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85%</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46%</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48%</w:t>
            </w:r>
          </w:p>
        </w:tc>
        <w:tc>
          <w:tcPr>
            <w:tcW w:w="10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82%</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65%</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16%</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11%</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Grosseto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18%</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27%</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71%</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r>
      <w:tr w:rsidR="00E8028A" w:rsidRPr="00D86692" w:rsidTr="00E8028A">
        <w:trPr>
          <w:trHeight w:val="300"/>
        </w:trPr>
        <w:tc>
          <w:tcPr>
            <w:tcW w:w="196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Livorno</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77%</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94%</w:t>
            </w:r>
          </w:p>
        </w:tc>
        <w:tc>
          <w:tcPr>
            <w:tcW w:w="10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79%</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26%</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26%</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Lucca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68%</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56%</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33%</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63%</w:t>
            </w:r>
          </w:p>
        </w:tc>
      </w:tr>
      <w:tr w:rsidR="00E8028A" w:rsidRPr="00D86692" w:rsidTr="00E8028A">
        <w:trPr>
          <w:trHeight w:val="300"/>
        </w:trPr>
        <w:tc>
          <w:tcPr>
            <w:tcW w:w="196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Massa-Carrara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61%</w:t>
            </w:r>
          </w:p>
        </w:tc>
        <w:tc>
          <w:tcPr>
            <w:tcW w:w="10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75%</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75%</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39%</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35%</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Pisa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34%</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45%</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65%</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29%</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45%</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Pr>
                <w:rFonts w:ascii="Century Gothic" w:hAnsi="Century Gothic" w:cs="Calibri"/>
                <w:color w:val="000000"/>
                <w:sz w:val="20"/>
                <w:szCs w:val="20"/>
                <w:lang w:eastAsia="it-IT"/>
              </w:rPr>
              <w:t>52</w:t>
            </w:r>
            <w:r w:rsidRPr="00D86692">
              <w:rPr>
                <w:rFonts w:ascii="Century Gothic" w:hAnsi="Century Gothic" w:cs="Calibri"/>
                <w:color w:val="000000"/>
                <w:sz w:val="20"/>
                <w:szCs w:val="20"/>
                <w:lang w:eastAsia="it-IT"/>
              </w:rPr>
              <w:t>%</w:t>
            </w:r>
          </w:p>
        </w:tc>
      </w:tr>
      <w:tr w:rsidR="00E8028A" w:rsidRPr="00D86692" w:rsidTr="00E8028A">
        <w:trPr>
          <w:trHeight w:val="300"/>
        </w:trPr>
        <w:tc>
          <w:tcPr>
            <w:tcW w:w="196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Pistoia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81%</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37%</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33%</w:t>
            </w:r>
          </w:p>
        </w:tc>
        <w:tc>
          <w:tcPr>
            <w:tcW w:w="10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11%</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11%</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13%</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Prato</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83%</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17%</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100%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90%</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83%</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0%</w:t>
            </w:r>
          </w:p>
        </w:tc>
      </w:tr>
      <w:tr w:rsidR="00E8028A" w:rsidRPr="00D86692" w:rsidTr="00E8028A">
        <w:trPr>
          <w:trHeight w:val="300"/>
        </w:trPr>
        <w:tc>
          <w:tcPr>
            <w:tcW w:w="1960" w:type="dxa"/>
            <w:tcBorders>
              <w:top w:val="nil"/>
              <w:left w:val="single" w:sz="4" w:space="0" w:color="auto"/>
              <w:bottom w:val="single" w:sz="4" w:space="0" w:color="auto"/>
              <w:right w:val="single" w:sz="4" w:space="0" w:color="auto"/>
            </w:tcBorders>
            <w:shd w:val="clear" w:color="000000" w:fill="DBE5F1"/>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Siena</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84%</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80%</w:t>
            </w:r>
          </w:p>
        </w:tc>
        <w:tc>
          <w:tcPr>
            <w:tcW w:w="10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77%</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65%</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19%</w:t>
            </w:r>
          </w:p>
        </w:tc>
        <w:tc>
          <w:tcPr>
            <w:tcW w:w="960" w:type="dxa"/>
            <w:tcBorders>
              <w:top w:val="nil"/>
              <w:left w:val="nil"/>
              <w:bottom w:val="single" w:sz="4" w:space="0" w:color="auto"/>
              <w:right w:val="single" w:sz="4" w:space="0" w:color="auto"/>
            </w:tcBorders>
            <w:shd w:val="clear" w:color="000000" w:fill="DBE5F1"/>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61%</w:t>
            </w:r>
          </w:p>
        </w:tc>
        <w:tc>
          <w:tcPr>
            <w:tcW w:w="960" w:type="dxa"/>
            <w:tcBorders>
              <w:top w:val="nil"/>
              <w:left w:val="nil"/>
              <w:bottom w:val="single" w:sz="4" w:space="0" w:color="auto"/>
              <w:right w:val="single" w:sz="4" w:space="0" w:color="auto"/>
            </w:tcBorders>
            <w:shd w:val="clear" w:color="000000" w:fill="DBE5F1"/>
            <w:noWrap/>
            <w:vAlign w:val="bottom"/>
            <w:hideMark/>
          </w:tcPr>
          <w:p w:rsidR="00E8028A" w:rsidRPr="00D86692" w:rsidRDefault="00E8028A" w:rsidP="00B56CDD">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w:t>
            </w:r>
            <w:r w:rsidR="00B56CDD">
              <w:rPr>
                <w:rFonts w:ascii="Century Gothic" w:hAnsi="Century Gothic" w:cs="Calibri"/>
                <w:color w:val="000000"/>
                <w:sz w:val="20"/>
                <w:szCs w:val="20"/>
                <w:lang w:eastAsia="it-IT"/>
              </w:rPr>
              <w:t>8</w:t>
            </w:r>
            <w:r w:rsidRPr="00D86692">
              <w:rPr>
                <w:rFonts w:ascii="Century Gothic" w:hAnsi="Century Gothic" w:cs="Calibri"/>
                <w:color w:val="000000"/>
                <w:sz w:val="20"/>
                <w:szCs w:val="20"/>
                <w:lang w:eastAsia="it-IT"/>
              </w:rPr>
              <w:t>%</w:t>
            </w:r>
          </w:p>
        </w:tc>
      </w:tr>
      <w:tr w:rsidR="00E8028A" w:rsidRPr="00D86692" w:rsidTr="000331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8028A" w:rsidRPr="00D86692" w:rsidRDefault="00E8028A" w:rsidP="00E8028A">
            <w:pPr>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TOSCANA</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47%</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60%</w:t>
            </w:r>
          </w:p>
        </w:tc>
        <w:tc>
          <w:tcPr>
            <w:tcW w:w="10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69%</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52%</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29%</w:t>
            </w:r>
          </w:p>
        </w:tc>
        <w:tc>
          <w:tcPr>
            <w:tcW w:w="960" w:type="dxa"/>
            <w:tcBorders>
              <w:top w:val="nil"/>
              <w:left w:val="nil"/>
              <w:bottom w:val="single" w:sz="4" w:space="0" w:color="auto"/>
              <w:right w:val="single" w:sz="4" w:space="0" w:color="auto"/>
            </w:tcBorders>
            <w:shd w:val="clear" w:color="auto" w:fill="auto"/>
            <w:noWrap/>
            <w:vAlign w:val="center"/>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38%</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D86692" w:rsidRDefault="00E8028A" w:rsidP="00E8028A">
            <w:pPr>
              <w:jc w:val="right"/>
              <w:rPr>
                <w:rFonts w:ascii="Century Gothic" w:hAnsi="Century Gothic" w:cs="Calibri"/>
                <w:color w:val="000000"/>
                <w:sz w:val="20"/>
                <w:szCs w:val="20"/>
                <w:lang w:eastAsia="it-IT"/>
              </w:rPr>
            </w:pPr>
            <w:r w:rsidRPr="00D86692">
              <w:rPr>
                <w:rFonts w:ascii="Century Gothic" w:hAnsi="Century Gothic" w:cs="Calibri"/>
                <w:color w:val="000000"/>
                <w:sz w:val="20"/>
                <w:szCs w:val="20"/>
                <w:lang w:eastAsia="it-IT"/>
              </w:rPr>
              <w:t>2</w:t>
            </w:r>
            <w:r>
              <w:rPr>
                <w:rFonts w:ascii="Century Gothic" w:hAnsi="Century Gothic" w:cs="Calibri"/>
                <w:color w:val="000000"/>
                <w:sz w:val="20"/>
                <w:szCs w:val="20"/>
                <w:lang w:eastAsia="it-IT"/>
              </w:rPr>
              <w:t>6</w:t>
            </w:r>
            <w:r w:rsidRPr="00D86692">
              <w:rPr>
                <w:rFonts w:ascii="Century Gothic" w:hAnsi="Century Gothic" w:cs="Calibri"/>
                <w:color w:val="000000"/>
                <w:sz w:val="20"/>
                <w:szCs w:val="20"/>
                <w:lang w:eastAsia="it-IT"/>
              </w:rPr>
              <w:t>%</w:t>
            </w:r>
          </w:p>
        </w:tc>
      </w:tr>
    </w:tbl>
    <w:p w:rsidR="00E8028A" w:rsidRDefault="00E8028A" w:rsidP="00E8028A">
      <w:pPr>
        <w:jc w:val="both"/>
        <w:rPr>
          <w:rFonts w:ascii="Century Gothic" w:hAnsi="Century Gothic"/>
          <w:highlight w:val="yellow"/>
        </w:rPr>
      </w:pPr>
    </w:p>
    <w:p w:rsidR="00E8028A" w:rsidRPr="0083255C" w:rsidRDefault="00E8028A" w:rsidP="00E8028A">
      <w:pPr>
        <w:jc w:val="both"/>
        <w:rPr>
          <w:rFonts w:ascii="Century Gothic" w:hAnsi="Century Gothic"/>
        </w:rPr>
      </w:pPr>
      <w:r w:rsidRPr="0083255C">
        <w:rPr>
          <w:rFonts w:ascii="Century Gothic" w:hAnsi="Century Gothic"/>
        </w:rPr>
        <w:t xml:space="preserve">Si </w:t>
      </w:r>
      <w:r>
        <w:rPr>
          <w:rFonts w:ascii="Century Gothic" w:hAnsi="Century Gothic"/>
        </w:rPr>
        <w:t>nota</w:t>
      </w:r>
      <w:r w:rsidRPr="0083255C">
        <w:rPr>
          <w:rFonts w:ascii="Century Gothic" w:hAnsi="Century Gothic"/>
        </w:rPr>
        <w:t xml:space="preserve"> che quelle che prec</w:t>
      </w:r>
      <w:r w:rsidR="00FC291D">
        <w:rPr>
          <w:rFonts w:ascii="Century Gothic" w:hAnsi="Century Gothic"/>
        </w:rPr>
        <w:t>edono sono valutazioni di tipo p</w:t>
      </w:r>
      <w:r w:rsidRPr="0083255C">
        <w:rPr>
          <w:rFonts w:ascii="Century Gothic" w:hAnsi="Century Gothic"/>
        </w:rPr>
        <w:t xml:space="preserve">uramente statistico, e non entrano nel merito dei contenuti degli accordi, aspetto che verrà approfondito </w:t>
      </w:r>
      <w:r w:rsidR="008F2641">
        <w:rPr>
          <w:rFonts w:ascii="Century Gothic" w:hAnsi="Century Gothic"/>
        </w:rPr>
        <w:t>nel paragrafo 3.5</w:t>
      </w:r>
      <w:r w:rsidR="00573C31">
        <w:rPr>
          <w:rFonts w:ascii="Century Gothic" w:hAnsi="Century Gothic"/>
        </w:rPr>
        <w:t xml:space="preserve"> e nel capitolo</w:t>
      </w:r>
      <w:r w:rsidR="00A768DD">
        <w:rPr>
          <w:rFonts w:ascii="Century Gothic" w:hAnsi="Century Gothic"/>
        </w:rPr>
        <w:t xml:space="preserve"> 4</w:t>
      </w:r>
      <w:r w:rsidR="008F2641">
        <w:rPr>
          <w:rFonts w:ascii="Century Gothic" w:hAnsi="Century Gothic"/>
        </w:rPr>
        <w:t xml:space="preserve">. </w:t>
      </w:r>
      <w:r w:rsidRPr="00573C31">
        <w:rPr>
          <w:rFonts w:ascii="Century Gothic" w:hAnsi="Century Gothic"/>
        </w:rPr>
        <w:t xml:space="preserve">Inoltre si ricorda che la contrattazione può mettere in campo strumenti di tutela a valenza pluriennale, per cui è comunque utile anche l’indicatore dei comuni che “almeno una volta” hanno siglato un accordo di contrattazione sociale (che potrebbe aver implicato </w:t>
      </w:r>
      <w:r w:rsidR="00573C31" w:rsidRPr="00573C31">
        <w:rPr>
          <w:rFonts w:ascii="Century Gothic" w:hAnsi="Century Gothic"/>
        </w:rPr>
        <w:t>disposizioni</w:t>
      </w:r>
      <w:r w:rsidRPr="00573C31">
        <w:rPr>
          <w:rFonts w:ascii="Century Gothic" w:hAnsi="Century Gothic"/>
        </w:rPr>
        <w:t xml:space="preserve"> tuttora in vigore).</w:t>
      </w:r>
      <w:r>
        <w:rPr>
          <w:rFonts w:ascii="Century Gothic" w:hAnsi="Century Gothic"/>
        </w:rPr>
        <w:t xml:space="preserve"> Ebbene il 96% della popolazione regionale ha copertura della contrattazione sociale per almeno uno degli anni considerati (dal 2009 al 2016), </w:t>
      </w:r>
      <w:r w:rsidR="00C45F9E" w:rsidRPr="00293A4C">
        <w:rPr>
          <w:rFonts w:ascii="Century Gothic" w:hAnsi="Century Gothic"/>
        </w:rPr>
        <w:t xml:space="preserve">il restante 4% afferisce a una quota di </w:t>
      </w:r>
      <w:r w:rsidR="000A41D7" w:rsidRPr="00293A4C">
        <w:rPr>
          <w:rFonts w:ascii="Century Gothic" w:hAnsi="Century Gothic"/>
        </w:rPr>
        <w:t>comuni che non ha mai attivato processi di negoziazione sociale</w:t>
      </w:r>
      <w:r w:rsidR="00C74C91" w:rsidRPr="00293A4C">
        <w:rPr>
          <w:rFonts w:ascii="Century Gothic" w:hAnsi="Century Gothic"/>
        </w:rPr>
        <w:t xml:space="preserve"> (12%)</w:t>
      </w:r>
      <w:r w:rsidR="000A41D7" w:rsidRPr="00293A4C">
        <w:rPr>
          <w:rFonts w:ascii="Century Gothic" w:hAnsi="Century Gothic"/>
        </w:rPr>
        <w:t>, in cui prevalgono quelli di piccola dimensione.</w:t>
      </w:r>
      <w:r w:rsidR="00A1456D">
        <w:rPr>
          <w:rFonts w:ascii="Century Gothic" w:hAnsi="Century Gothic"/>
        </w:rPr>
        <w:t xml:space="preserve"> </w:t>
      </w:r>
    </w:p>
    <w:p w:rsidR="00E8028A" w:rsidRPr="00AF7188" w:rsidRDefault="00E8028A" w:rsidP="00E8028A">
      <w:pPr>
        <w:rPr>
          <w:rFonts w:ascii="Century Gothic" w:hAnsi="Century Gothic"/>
          <w:highlight w:val="yellow"/>
        </w:rPr>
      </w:pPr>
    </w:p>
    <w:p w:rsidR="00E8028A" w:rsidRDefault="00E8028A" w:rsidP="00E8028A">
      <w:pPr>
        <w:rPr>
          <w:rFonts w:ascii="Century Gothic" w:hAnsi="Century Gothic"/>
          <w:b/>
          <w:szCs w:val="24"/>
        </w:rPr>
      </w:pPr>
      <w:r w:rsidRPr="002B0308">
        <w:rPr>
          <w:rFonts w:ascii="Century Gothic" w:hAnsi="Century Gothic"/>
          <w:b/>
          <w:szCs w:val="24"/>
        </w:rPr>
        <w:t>Tab n. 6 - Percentuale di popolazione coperta per almeno un anno da accordi su totale della popolazione della provincia nell’arco del periodo 2009-2016</w:t>
      </w:r>
    </w:p>
    <w:tbl>
      <w:tblPr>
        <w:tblW w:w="4415" w:type="dxa"/>
        <w:tblInd w:w="60" w:type="dxa"/>
        <w:tblCellMar>
          <w:left w:w="70" w:type="dxa"/>
          <w:right w:w="70" w:type="dxa"/>
        </w:tblCellMar>
        <w:tblLook w:val="04A0" w:firstRow="1" w:lastRow="0" w:firstColumn="1" w:lastColumn="0" w:noHBand="0" w:noVBand="1"/>
      </w:tblPr>
      <w:tblGrid>
        <w:gridCol w:w="960"/>
        <w:gridCol w:w="1027"/>
        <w:gridCol w:w="1468"/>
        <w:gridCol w:w="960"/>
      </w:tblGrid>
      <w:tr w:rsidR="00E8028A" w:rsidRPr="00C53CBD" w:rsidTr="00E8028A">
        <w:trPr>
          <w:trHeight w:val="315"/>
        </w:trPr>
        <w:tc>
          <w:tcPr>
            <w:tcW w:w="960" w:type="dxa"/>
            <w:tcBorders>
              <w:top w:val="single" w:sz="8" w:space="0" w:color="auto"/>
              <w:left w:val="single" w:sz="8" w:space="0" w:color="auto"/>
              <w:bottom w:val="single" w:sz="8" w:space="0" w:color="auto"/>
              <w:right w:val="nil"/>
            </w:tcBorders>
            <w:shd w:val="clear" w:color="auto" w:fill="4F81BD" w:themeFill="accent1"/>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 </w:t>
            </w:r>
          </w:p>
        </w:tc>
        <w:tc>
          <w:tcPr>
            <w:tcW w:w="1027"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POPTOT</w:t>
            </w:r>
          </w:p>
        </w:tc>
        <w:tc>
          <w:tcPr>
            <w:tcW w:w="1468"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POPCOPERTA ALMENO 1 ANNO</w:t>
            </w:r>
          </w:p>
        </w:tc>
        <w:tc>
          <w:tcPr>
            <w:tcW w:w="96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 </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AR</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346.442</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346.442</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100,0%</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FI</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1.012.180</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945.717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93,4%</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GR</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224.481</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217.390</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96,8%</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LI</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339.070</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317.977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93,8%</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LU</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393.478</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392.521</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99,8%</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MS</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199.406</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198.407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99,5%</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PI</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421.816</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399</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068</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94,6%</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PT</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292.509</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281</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072</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96,1%</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PO</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252.987</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252.987</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100,0%</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SI</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sz w:val="20"/>
                <w:szCs w:val="20"/>
                <w:lang w:eastAsia="it-IT"/>
              </w:rPr>
            </w:pPr>
            <w:r w:rsidRPr="00C53CBD">
              <w:rPr>
                <w:rFonts w:ascii="Century Gothic" w:hAnsi="Century Gothic" w:cs="Calibri"/>
                <w:sz w:val="20"/>
                <w:szCs w:val="20"/>
                <w:lang w:eastAsia="it-IT"/>
              </w:rPr>
              <w:t>270.285</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262.031</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96,9%</w:t>
            </w:r>
          </w:p>
        </w:tc>
      </w:tr>
      <w:tr w:rsidR="00E8028A" w:rsidRPr="00C53CBD" w:rsidTr="00E8028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E8028A" w:rsidRPr="00C53CBD" w:rsidRDefault="00E8028A" w:rsidP="00E8028A">
            <w:pPr>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TOSC</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752</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654</w:t>
            </w:r>
          </w:p>
        </w:tc>
        <w:tc>
          <w:tcPr>
            <w:tcW w:w="1468"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3</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613</w:t>
            </w:r>
            <w:r>
              <w:rPr>
                <w:rFonts w:ascii="Century Gothic" w:hAnsi="Century Gothic" w:cs="Calibri"/>
                <w:color w:val="000000"/>
                <w:sz w:val="20"/>
                <w:szCs w:val="20"/>
                <w:lang w:eastAsia="it-IT"/>
              </w:rPr>
              <w:t>.</w:t>
            </w:r>
            <w:r w:rsidRPr="00C53CBD">
              <w:rPr>
                <w:rFonts w:ascii="Century Gothic" w:hAnsi="Century Gothic" w:cs="Calibri"/>
                <w:color w:val="000000"/>
                <w:sz w:val="20"/>
                <w:szCs w:val="20"/>
                <w:lang w:eastAsia="it-IT"/>
              </w:rPr>
              <w:t>612</w:t>
            </w:r>
          </w:p>
        </w:tc>
        <w:tc>
          <w:tcPr>
            <w:tcW w:w="960" w:type="dxa"/>
            <w:tcBorders>
              <w:top w:val="nil"/>
              <w:left w:val="nil"/>
              <w:bottom w:val="single" w:sz="4" w:space="0" w:color="auto"/>
              <w:right w:val="single" w:sz="4" w:space="0" w:color="auto"/>
            </w:tcBorders>
            <w:shd w:val="clear" w:color="auto" w:fill="auto"/>
            <w:noWrap/>
            <w:vAlign w:val="bottom"/>
            <w:hideMark/>
          </w:tcPr>
          <w:p w:rsidR="00E8028A" w:rsidRPr="00C53CBD" w:rsidRDefault="00E8028A" w:rsidP="00E8028A">
            <w:pPr>
              <w:jc w:val="right"/>
              <w:rPr>
                <w:rFonts w:ascii="Century Gothic" w:hAnsi="Century Gothic" w:cs="Calibri"/>
                <w:color w:val="000000"/>
                <w:sz w:val="20"/>
                <w:szCs w:val="20"/>
                <w:lang w:eastAsia="it-IT"/>
              </w:rPr>
            </w:pPr>
            <w:r w:rsidRPr="00C53CBD">
              <w:rPr>
                <w:rFonts w:ascii="Century Gothic" w:hAnsi="Century Gothic" w:cs="Calibri"/>
                <w:color w:val="000000"/>
                <w:sz w:val="20"/>
                <w:szCs w:val="20"/>
                <w:lang w:eastAsia="it-IT"/>
              </w:rPr>
              <w:t>96,3%</w:t>
            </w:r>
          </w:p>
        </w:tc>
      </w:tr>
    </w:tbl>
    <w:p w:rsidR="00E8028A" w:rsidRPr="00AF7188" w:rsidRDefault="00E8028A" w:rsidP="00E8028A">
      <w:pPr>
        <w:jc w:val="both"/>
        <w:rPr>
          <w:rFonts w:ascii="Century Gothic" w:hAnsi="Century Gothic"/>
          <w:highlight w:val="yellow"/>
        </w:rPr>
      </w:pPr>
    </w:p>
    <w:p w:rsidR="00E8028A" w:rsidRPr="00AF7188" w:rsidRDefault="00E8028A" w:rsidP="00E8028A">
      <w:pPr>
        <w:jc w:val="both"/>
        <w:rPr>
          <w:rFonts w:ascii="Century Gothic" w:hAnsi="Century Gothic"/>
          <w:highlight w:val="yellow"/>
        </w:rPr>
      </w:pPr>
    </w:p>
    <w:p w:rsidR="00E8028A" w:rsidRDefault="00E8028A" w:rsidP="00E8028A">
      <w:pPr>
        <w:jc w:val="both"/>
        <w:rPr>
          <w:rFonts w:ascii="Century Gothic" w:hAnsi="Century Gothic"/>
          <w:b/>
        </w:rPr>
      </w:pPr>
      <w:r w:rsidRPr="00285EB7">
        <w:rPr>
          <w:rFonts w:ascii="Century Gothic" w:hAnsi="Century Gothic"/>
          <w:b/>
        </w:rPr>
        <w:t>3.4. Percentuali di comuni coperti da accordi  per classi di ampiezza demografica</w:t>
      </w:r>
    </w:p>
    <w:p w:rsidR="00B56CDD" w:rsidRPr="00285EB7" w:rsidRDefault="00B56CDD" w:rsidP="00E8028A">
      <w:pPr>
        <w:jc w:val="both"/>
        <w:rPr>
          <w:rFonts w:ascii="Century Gothic" w:hAnsi="Century Gothic"/>
          <w:b/>
        </w:rPr>
      </w:pPr>
    </w:p>
    <w:p w:rsidR="00E8028A" w:rsidRPr="00335616" w:rsidRDefault="00E8028A" w:rsidP="00E8028A">
      <w:pPr>
        <w:jc w:val="both"/>
        <w:rPr>
          <w:rFonts w:ascii="Century Gothic" w:hAnsi="Century Gothic"/>
        </w:rPr>
      </w:pPr>
      <w:r w:rsidRPr="00335616">
        <w:rPr>
          <w:rFonts w:ascii="Century Gothic" w:hAnsi="Century Gothic"/>
        </w:rPr>
        <w:t>La tenden</w:t>
      </w:r>
      <w:r>
        <w:rPr>
          <w:rFonts w:ascii="Century Gothic" w:hAnsi="Century Gothic"/>
        </w:rPr>
        <w:t>z</w:t>
      </w:r>
      <w:r w:rsidRPr="00335616">
        <w:rPr>
          <w:rFonts w:ascii="Century Gothic" w:hAnsi="Century Gothic"/>
        </w:rPr>
        <w:t>a al ripiegamento della contrattazione sociale è riscontrabile in tutte le classi di ampiezza dei comuni t</w:t>
      </w:r>
      <w:r>
        <w:rPr>
          <w:rFonts w:ascii="Century Gothic" w:hAnsi="Century Gothic"/>
        </w:rPr>
        <w:t>o</w:t>
      </w:r>
      <w:r w:rsidRPr="00335616">
        <w:rPr>
          <w:rFonts w:ascii="Century Gothic" w:hAnsi="Century Gothic"/>
        </w:rPr>
        <w:t>scani, senza grosse differenziazioni</w:t>
      </w:r>
      <w:r>
        <w:rPr>
          <w:rFonts w:ascii="Century Gothic" w:hAnsi="Century Gothic"/>
        </w:rPr>
        <w:t>, come si vede dal graf. 4</w:t>
      </w:r>
      <w:r w:rsidRPr="00335616">
        <w:rPr>
          <w:rFonts w:ascii="Century Gothic" w:hAnsi="Century Gothic"/>
        </w:rPr>
        <w:t>, anche se i comuni “medio piccoli” appaiono un po’ più “resilienti” degli altri rispetto alla tendenza, che si accentua invece nei grandi comuni (quelli con più di 50mila abitanti). Confermando le evidenze dei precedenti rapporti, le tipologie dei comuni medio-piccoli e medi segnalano la maggiore continuità della contrattazione sociale</w:t>
      </w:r>
      <w:r w:rsidR="00597563">
        <w:rPr>
          <w:rFonts w:ascii="Century Gothic" w:hAnsi="Century Gothic"/>
        </w:rPr>
        <w:t xml:space="preserve">. </w:t>
      </w:r>
    </w:p>
    <w:p w:rsidR="00E8028A" w:rsidRPr="00335616" w:rsidRDefault="00E8028A" w:rsidP="00E8028A">
      <w:pPr>
        <w:rPr>
          <w:rFonts w:ascii="Century Gothic" w:hAnsi="Century Gothic"/>
        </w:rPr>
      </w:pPr>
    </w:p>
    <w:p w:rsidR="00E8028A" w:rsidRPr="00335616" w:rsidRDefault="00E8028A" w:rsidP="00E8028A">
      <w:pPr>
        <w:rPr>
          <w:rFonts w:ascii="Century Gothic" w:hAnsi="Century Gothic"/>
        </w:rPr>
      </w:pPr>
      <w:r w:rsidRPr="00335616">
        <w:rPr>
          <w:noProof/>
          <w:lang w:eastAsia="it-IT"/>
        </w:rPr>
        <w:drawing>
          <wp:inline distT="0" distB="0" distL="0" distR="0">
            <wp:extent cx="6120130" cy="3264069"/>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264069"/>
                    </a:xfrm>
                    <a:prstGeom prst="rect">
                      <a:avLst/>
                    </a:prstGeom>
                    <a:noFill/>
                    <a:ln>
                      <a:noFill/>
                    </a:ln>
                  </pic:spPr>
                </pic:pic>
              </a:graphicData>
            </a:graphic>
          </wp:inline>
        </w:drawing>
      </w:r>
    </w:p>
    <w:p w:rsidR="00E8028A" w:rsidRPr="00335616" w:rsidRDefault="00E8028A" w:rsidP="00E8028A">
      <w:pPr>
        <w:rPr>
          <w:rFonts w:ascii="Century Gothic" w:hAnsi="Century Gothic"/>
        </w:rPr>
      </w:pPr>
      <w:r w:rsidRPr="00335616">
        <w:rPr>
          <w:rFonts w:ascii="Century Gothic" w:hAnsi="Century Gothic"/>
        </w:rPr>
        <w:t>Nota: le classi di ampiezza demografica sono le seguenti</w:t>
      </w:r>
    </w:p>
    <w:tbl>
      <w:tblPr>
        <w:tblW w:w="4316" w:type="dxa"/>
        <w:tblInd w:w="70"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70" w:type="dxa"/>
          <w:right w:w="70" w:type="dxa"/>
        </w:tblCellMar>
        <w:tblLook w:val="00A0" w:firstRow="1" w:lastRow="0" w:firstColumn="1" w:lastColumn="0" w:noHBand="0" w:noVBand="0"/>
      </w:tblPr>
      <w:tblGrid>
        <w:gridCol w:w="4316"/>
      </w:tblGrid>
      <w:tr w:rsidR="00E8028A" w:rsidRPr="00335616" w:rsidTr="00E8028A">
        <w:trPr>
          <w:trHeight w:val="255"/>
        </w:trPr>
        <w:tc>
          <w:tcPr>
            <w:tcW w:w="4316" w:type="dxa"/>
            <w:noWrap/>
            <w:vAlign w:val="bottom"/>
          </w:tcPr>
          <w:p w:rsidR="00E8028A" w:rsidRPr="00335616" w:rsidRDefault="00E8028A" w:rsidP="00E8028A">
            <w:pPr>
              <w:pStyle w:val="Paragrafoelenco1"/>
              <w:numPr>
                <w:ilvl w:val="0"/>
                <w:numId w:val="1"/>
              </w:numPr>
              <w:spacing w:line="240" w:lineRule="auto"/>
              <w:rPr>
                <w:rFonts w:ascii="Century Gothic" w:hAnsi="Century Gothic" w:cs="Arial"/>
                <w:sz w:val="20"/>
                <w:szCs w:val="20"/>
                <w:lang w:eastAsia="it-IT"/>
              </w:rPr>
            </w:pPr>
            <w:r w:rsidRPr="00335616">
              <w:rPr>
                <w:rFonts w:ascii="Century Gothic" w:hAnsi="Century Gothic" w:cs="Arial"/>
                <w:sz w:val="20"/>
                <w:szCs w:val="20"/>
                <w:lang w:eastAsia="it-IT"/>
              </w:rPr>
              <w:t xml:space="preserve">Classe 1 - da </w:t>
            </w:r>
            <w:smartTag w:uri="urn:schemas-microsoft-com:office:smarttags" w:element="metricconverter">
              <w:smartTagPr>
                <w:attr w:name="ProductID" w:val="1 a"/>
              </w:smartTagPr>
              <w:r w:rsidRPr="00335616">
                <w:rPr>
                  <w:rFonts w:ascii="Century Gothic" w:hAnsi="Century Gothic" w:cs="Arial"/>
                  <w:sz w:val="20"/>
                  <w:szCs w:val="20"/>
                  <w:lang w:eastAsia="it-IT"/>
                </w:rPr>
                <w:t>1 a</w:t>
              </w:r>
            </w:smartTag>
            <w:r w:rsidRPr="00335616">
              <w:rPr>
                <w:rFonts w:ascii="Century Gothic" w:hAnsi="Century Gothic" w:cs="Arial"/>
                <w:sz w:val="20"/>
                <w:szCs w:val="20"/>
                <w:lang w:eastAsia="it-IT"/>
              </w:rPr>
              <w:t xml:space="preserve"> 1.000</w:t>
            </w:r>
          </w:p>
        </w:tc>
      </w:tr>
      <w:tr w:rsidR="00E8028A" w:rsidRPr="00335616" w:rsidTr="00E8028A">
        <w:trPr>
          <w:trHeight w:val="255"/>
        </w:trPr>
        <w:tc>
          <w:tcPr>
            <w:tcW w:w="4316" w:type="dxa"/>
            <w:noWrap/>
            <w:vAlign w:val="bottom"/>
          </w:tcPr>
          <w:p w:rsidR="00E8028A" w:rsidRPr="00335616" w:rsidRDefault="00E8028A" w:rsidP="00E8028A">
            <w:pPr>
              <w:pStyle w:val="Paragrafoelenco1"/>
              <w:numPr>
                <w:ilvl w:val="0"/>
                <w:numId w:val="1"/>
              </w:numPr>
              <w:spacing w:line="240" w:lineRule="auto"/>
              <w:rPr>
                <w:rFonts w:ascii="Century Gothic" w:hAnsi="Century Gothic" w:cs="Arial"/>
                <w:sz w:val="20"/>
                <w:szCs w:val="20"/>
                <w:lang w:eastAsia="it-IT"/>
              </w:rPr>
            </w:pPr>
            <w:r w:rsidRPr="00335616">
              <w:rPr>
                <w:rFonts w:ascii="Century Gothic" w:hAnsi="Century Gothic" w:cs="Arial"/>
                <w:sz w:val="20"/>
                <w:szCs w:val="20"/>
                <w:lang w:eastAsia="it-IT"/>
              </w:rPr>
              <w:t xml:space="preserve">Classe 2 - da </w:t>
            </w:r>
            <w:smartTag w:uri="urn:schemas-microsoft-com:office:smarttags" w:element="metricconverter">
              <w:smartTagPr>
                <w:attr w:name="ProductID" w:val="1.001 a"/>
              </w:smartTagPr>
              <w:r w:rsidRPr="00335616">
                <w:rPr>
                  <w:rFonts w:ascii="Century Gothic" w:hAnsi="Century Gothic" w:cs="Arial"/>
                  <w:sz w:val="20"/>
                  <w:szCs w:val="20"/>
                  <w:lang w:eastAsia="it-IT"/>
                </w:rPr>
                <w:t>1.001 a</w:t>
              </w:r>
            </w:smartTag>
            <w:r w:rsidRPr="00335616">
              <w:rPr>
                <w:rFonts w:ascii="Century Gothic" w:hAnsi="Century Gothic" w:cs="Arial"/>
                <w:sz w:val="20"/>
                <w:szCs w:val="20"/>
                <w:lang w:eastAsia="it-IT"/>
              </w:rPr>
              <w:t xml:space="preserve"> 5.000</w:t>
            </w:r>
          </w:p>
        </w:tc>
      </w:tr>
      <w:tr w:rsidR="00E8028A" w:rsidRPr="00335616" w:rsidTr="00E8028A">
        <w:trPr>
          <w:trHeight w:val="255"/>
        </w:trPr>
        <w:tc>
          <w:tcPr>
            <w:tcW w:w="4316" w:type="dxa"/>
            <w:noWrap/>
            <w:vAlign w:val="bottom"/>
          </w:tcPr>
          <w:p w:rsidR="00E8028A" w:rsidRPr="00335616" w:rsidRDefault="00E8028A" w:rsidP="00E8028A">
            <w:pPr>
              <w:pStyle w:val="Paragrafoelenco1"/>
              <w:numPr>
                <w:ilvl w:val="0"/>
                <w:numId w:val="1"/>
              </w:numPr>
              <w:spacing w:line="240" w:lineRule="auto"/>
              <w:rPr>
                <w:rFonts w:ascii="Century Gothic" w:hAnsi="Century Gothic" w:cs="Arial"/>
                <w:sz w:val="20"/>
                <w:szCs w:val="20"/>
                <w:lang w:eastAsia="it-IT"/>
              </w:rPr>
            </w:pPr>
            <w:r w:rsidRPr="00335616">
              <w:rPr>
                <w:rFonts w:ascii="Century Gothic" w:hAnsi="Century Gothic" w:cs="Arial"/>
                <w:sz w:val="20"/>
                <w:szCs w:val="20"/>
                <w:lang w:eastAsia="it-IT"/>
              </w:rPr>
              <w:t xml:space="preserve">Classe 3 - da </w:t>
            </w:r>
            <w:smartTag w:uri="urn:schemas-microsoft-com:office:smarttags" w:element="metricconverter">
              <w:smartTagPr>
                <w:attr w:name="ProductID" w:val="5.001 a"/>
              </w:smartTagPr>
              <w:r w:rsidRPr="00335616">
                <w:rPr>
                  <w:rFonts w:ascii="Century Gothic" w:hAnsi="Century Gothic" w:cs="Arial"/>
                  <w:sz w:val="20"/>
                  <w:szCs w:val="20"/>
                  <w:lang w:eastAsia="it-IT"/>
                </w:rPr>
                <w:t>5.001 a</w:t>
              </w:r>
            </w:smartTag>
            <w:r w:rsidRPr="00335616">
              <w:rPr>
                <w:rFonts w:ascii="Century Gothic" w:hAnsi="Century Gothic" w:cs="Arial"/>
                <w:sz w:val="20"/>
                <w:szCs w:val="20"/>
                <w:lang w:eastAsia="it-IT"/>
              </w:rPr>
              <w:t xml:space="preserve"> 15.000</w:t>
            </w:r>
          </w:p>
        </w:tc>
      </w:tr>
      <w:tr w:rsidR="00E8028A" w:rsidRPr="00335616" w:rsidTr="00E8028A">
        <w:trPr>
          <w:trHeight w:val="255"/>
        </w:trPr>
        <w:tc>
          <w:tcPr>
            <w:tcW w:w="4316" w:type="dxa"/>
            <w:noWrap/>
            <w:vAlign w:val="bottom"/>
          </w:tcPr>
          <w:p w:rsidR="00E8028A" w:rsidRPr="00335616" w:rsidRDefault="00E8028A" w:rsidP="00E8028A">
            <w:pPr>
              <w:pStyle w:val="Paragrafoelenco1"/>
              <w:numPr>
                <w:ilvl w:val="0"/>
                <w:numId w:val="1"/>
              </w:numPr>
              <w:spacing w:line="240" w:lineRule="auto"/>
              <w:rPr>
                <w:rFonts w:ascii="Century Gothic" w:hAnsi="Century Gothic" w:cs="Arial"/>
                <w:sz w:val="20"/>
                <w:szCs w:val="20"/>
                <w:lang w:eastAsia="it-IT"/>
              </w:rPr>
            </w:pPr>
            <w:r w:rsidRPr="00335616">
              <w:rPr>
                <w:rFonts w:ascii="Century Gothic" w:hAnsi="Century Gothic" w:cs="Arial"/>
                <w:sz w:val="20"/>
                <w:szCs w:val="20"/>
                <w:lang w:eastAsia="it-IT"/>
              </w:rPr>
              <w:t xml:space="preserve">Classe 4 - da </w:t>
            </w:r>
            <w:smartTag w:uri="urn:schemas-microsoft-com:office:smarttags" w:element="metricconverter">
              <w:smartTagPr>
                <w:attr w:name="ProductID" w:val="15.001 a"/>
              </w:smartTagPr>
              <w:r w:rsidRPr="00335616">
                <w:rPr>
                  <w:rFonts w:ascii="Century Gothic" w:hAnsi="Century Gothic" w:cs="Arial"/>
                  <w:sz w:val="20"/>
                  <w:szCs w:val="20"/>
                  <w:lang w:eastAsia="it-IT"/>
                </w:rPr>
                <w:t>15.001 a</w:t>
              </w:r>
            </w:smartTag>
            <w:r w:rsidRPr="00335616">
              <w:rPr>
                <w:rFonts w:ascii="Century Gothic" w:hAnsi="Century Gothic" w:cs="Arial"/>
                <w:sz w:val="20"/>
                <w:szCs w:val="20"/>
                <w:lang w:eastAsia="it-IT"/>
              </w:rPr>
              <w:t xml:space="preserve"> 50.000</w:t>
            </w:r>
          </w:p>
        </w:tc>
      </w:tr>
      <w:tr w:rsidR="00E8028A" w:rsidRPr="00AF7188" w:rsidTr="00E8028A">
        <w:trPr>
          <w:trHeight w:val="255"/>
        </w:trPr>
        <w:tc>
          <w:tcPr>
            <w:tcW w:w="4316" w:type="dxa"/>
            <w:noWrap/>
            <w:vAlign w:val="bottom"/>
          </w:tcPr>
          <w:p w:rsidR="00E8028A" w:rsidRPr="00335616" w:rsidRDefault="00E8028A" w:rsidP="00E8028A">
            <w:pPr>
              <w:pStyle w:val="Paragrafoelenco1"/>
              <w:numPr>
                <w:ilvl w:val="0"/>
                <w:numId w:val="1"/>
              </w:numPr>
              <w:spacing w:line="240" w:lineRule="auto"/>
              <w:rPr>
                <w:rFonts w:ascii="Century Gothic" w:hAnsi="Century Gothic" w:cs="Arial"/>
                <w:sz w:val="20"/>
                <w:szCs w:val="20"/>
                <w:lang w:eastAsia="it-IT"/>
              </w:rPr>
            </w:pPr>
            <w:r w:rsidRPr="00335616">
              <w:rPr>
                <w:rFonts w:ascii="Century Gothic" w:hAnsi="Century Gothic" w:cs="Arial"/>
                <w:sz w:val="20"/>
                <w:szCs w:val="20"/>
                <w:lang w:eastAsia="it-IT"/>
              </w:rPr>
              <w:t>Classe 5 - oltre 50.000</w:t>
            </w:r>
          </w:p>
        </w:tc>
      </w:tr>
    </w:tbl>
    <w:p w:rsidR="00E8028A" w:rsidRPr="00AF7188" w:rsidRDefault="00E8028A" w:rsidP="00E8028A">
      <w:pPr>
        <w:jc w:val="both"/>
        <w:rPr>
          <w:rFonts w:ascii="Century Gothic" w:hAnsi="Century Gothic"/>
          <w:highlight w:val="yellow"/>
        </w:rPr>
      </w:pPr>
    </w:p>
    <w:p w:rsidR="00E8028A" w:rsidRDefault="00E8028A" w:rsidP="00E8028A">
      <w:pPr>
        <w:rPr>
          <w:rFonts w:ascii="Century Gothic" w:hAnsi="Century Gothic"/>
          <w:b/>
        </w:rPr>
      </w:pPr>
      <w:r>
        <w:rPr>
          <w:rFonts w:ascii="Century Gothic" w:hAnsi="Century Gothic"/>
          <w:b/>
        </w:rPr>
        <w:t>Tab</w:t>
      </w:r>
      <w:r w:rsidRPr="0035601B">
        <w:rPr>
          <w:rFonts w:ascii="Century Gothic" w:hAnsi="Century Gothic"/>
          <w:b/>
        </w:rPr>
        <w:t xml:space="preserve">. n. </w:t>
      </w:r>
      <w:r>
        <w:rPr>
          <w:rFonts w:ascii="Century Gothic" w:hAnsi="Century Gothic"/>
          <w:b/>
        </w:rPr>
        <w:t xml:space="preserve">7 </w:t>
      </w:r>
      <w:r w:rsidRPr="0035601B">
        <w:rPr>
          <w:rFonts w:ascii="Century Gothic" w:hAnsi="Century Gothic"/>
          <w:b/>
        </w:rPr>
        <w:t>- Percentuali di comuni coperti da accordi per classi di ampiezza demografica</w:t>
      </w:r>
      <w:r>
        <w:rPr>
          <w:rFonts w:ascii="Century Gothic" w:hAnsi="Century Gothic"/>
          <w:b/>
        </w:rPr>
        <w:t xml:space="preserve"> 2009-2016</w:t>
      </w:r>
    </w:p>
    <w:p w:rsidR="00E8028A" w:rsidRDefault="00E8028A" w:rsidP="00E8028A"/>
    <w:p w:rsidR="00E8028A" w:rsidRDefault="00E8028A" w:rsidP="00E8028A">
      <w:r>
        <w:rPr>
          <w:noProof/>
          <w:lang w:eastAsia="it-IT"/>
        </w:rPr>
        <w:drawing>
          <wp:inline distT="0" distB="0" distL="0" distR="0">
            <wp:extent cx="6221098" cy="1366032"/>
            <wp:effectExtent l="19050" t="0" r="8252"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33369" cy="1368726"/>
                    </a:xfrm>
                    <a:prstGeom prst="rect">
                      <a:avLst/>
                    </a:prstGeom>
                    <a:noFill/>
                    <a:ln w="9525">
                      <a:noFill/>
                      <a:miter lim="800000"/>
                      <a:headEnd/>
                      <a:tailEnd/>
                    </a:ln>
                  </pic:spPr>
                </pic:pic>
              </a:graphicData>
            </a:graphic>
          </wp:inline>
        </w:drawing>
      </w:r>
    </w:p>
    <w:p w:rsidR="00E8028A" w:rsidRPr="00EF5A25" w:rsidRDefault="00E8028A" w:rsidP="00E8028A">
      <w:pPr>
        <w:rPr>
          <w:rFonts w:ascii="Century Gothic" w:hAnsi="Century Gothic"/>
          <w:b/>
        </w:rPr>
      </w:pPr>
    </w:p>
    <w:p w:rsidR="00E8028A" w:rsidRPr="00EF5A25" w:rsidRDefault="00E8028A" w:rsidP="00E8028A">
      <w:pPr>
        <w:jc w:val="both"/>
        <w:rPr>
          <w:rFonts w:ascii="Century Gothic" w:hAnsi="Century Gothic"/>
        </w:rPr>
      </w:pPr>
      <w:r w:rsidRPr="00EF5A25">
        <w:rPr>
          <w:rFonts w:ascii="Century Gothic" w:hAnsi="Century Gothic"/>
        </w:rPr>
        <w:t>Come è accaduto altre volte</w:t>
      </w:r>
      <w:r>
        <w:rPr>
          <w:rFonts w:ascii="Century Gothic" w:hAnsi="Century Gothic"/>
        </w:rPr>
        <w:t>, la fascia intermedia (dal punto di vista demografico: da 5mila a 50mila residenti) dei comuni è quella che mantiene un livello relativamente elevato di accordi siglati (il 34% e il 36% rispetto al 40% e al 48% del 2015), mentre tende a ridursi la copertura sia nei comuni piccoli e piccolissimi (rispettivamente passando dal 18% al 6% e dal 18% all’8%) che in quelli maggiori (i capoluoghi di provincia e gli altri comuni con più di 50mila abitanti</w:t>
      </w:r>
      <w:r w:rsidRPr="00EF5A25">
        <w:rPr>
          <w:rFonts w:ascii="Century Gothic" w:hAnsi="Century Gothic"/>
        </w:rPr>
        <w:t xml:space="preserve"> </w:t>
      </w:r>
      <w:r>
        <w:rPr>
          <w:rFonts w:ascii="Century Gothic" w:hAnsi="Century Gothic"/>
        </w:rPr>
        <w:t xml:space="preserve">(dal 46% al 23%). Si conferma così l’esistenza di un nucleo </w:t>
      </w:r>
      <w:r w:rsidR="00597563">
        <w:rPr>
          <w:rFonts w:ascii="Century Gothic" w:hAnsi="Century Gothic"/>
        </w:rPr>
        <w:t>di comuni medi come “punta di l</w:t>
      </w:r>
      <w:r>
        <w:rPr>
          <w:rFonts w:ascii="Century Gothic" w:hAnsi="Century Gothic"/>
        </w:rPr>
        <w:t xml:space="preserve">ancia” della contrattazione sociale, per quanto ridotto rispetto ai primi anni del decennio (quando la copertura comprendeva il 60-80% dei comuni medi) nei quali l’iniziativa sindacale incontra evidentemente meno difficoltà che nei comuni più grandi. </w:t>
      </w:r>
    </w:p>
    <w:p w:rsidR="00E8028A" w:rsidRPr="00AF7188" w:rsidRDefault="00E8028A" w:rsidP="00E8028A">
      <w:pPr>
        <w:jc w:val="both"/>
        <w:rPr>
          <w:rFonts w:ascii="Century Gothic" w:hAnsi="Century Gothic"/>
          <w:highlight w:val="yellow"/>
        </w:rPr>
      </w:pPr>
    </w:p>
    <w:p w:rsidR="00E8028A" w:rsidRPr="00A879B9" w:rsidRDefault="00E8028A" w:rsidP="00E8028A">
      <w:pPr>
        <w:rPr>
          <w:rFonts w:ascii="Century Gothic" w:hAnsi="Century Gothic"/>
          <w:b/>
        </w:rPr>
      </w:pPr>
      <w:r w:rsidRPr="00A879B9">
        <w:rPr>
          <w:rFonts w:ascii="Century Gothic" w:hAnsi="Century Gothic"/>
          <w:b/>
        </w:rPr>
        <w:t>Tab. n. 8 - Popolazione coperta da accordi  per classi di ampiezza demografica dei comuni 2016</w:t>
      </w:r>
    </w:p>
    <w:p w:rsidR="00E8028A" w:rsidRPr="00AF7188" w:rsidRDefault="00E8028A" w:rsidP="00E8028A">
      <w:pPr>
        <w:rPr>
          <w:rFonts w:ascii="Century Gothic" w:hAnsi="Century Gothic"/>
          <w:b/>
          <w:highlight w:val="yellow"/>
        </w:rPr>
      </w:pPr>
      <w:r w:rsidRPr="009578CE">
        <w:rPr>
          <w:noProof/>
          <w:lang w:eastAsia="it-IT"/>
        </w:rPr>
        <w:drawing>
          <wp:inline distT="0" distB="0" distL="0" distR="0">
            <wp:extent cx="4581525" cy="275272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E8028A" w:rsidRPr="00AF7188" w:rsidRDefault="00E8028A" w:rsidP="00E8028A">
      <w:pPr>
        <w:jc w:val="both"/>
        <w:rPr>
          <w:rFonts w:ascii="Century Gothic" w:hAnsi="Century Gothic"/>
          <w:highlight w:val="yellow"/>
        </w:rPr>
      </w:pPr>
    </w:p>
    <w:p w:rsidR="00E45E89" w:rsidRPr="00F061D5" w:rsidRDefault="00E45E89" w:rsidP="00E45E89">
      <w:pPr>
        <w:jc w:val="both"/>
        <w:rPr>
          <w:rFonts w:ascii="Century Gothic" w:hAnsi="Century Gothic"/>
        </w:rPr>
      </w:pPr>
      <w:r w:rsidRPr="00F061D5">
        <w:rPr>
          <w:rFonts w:ascii="Century Gothic" w:hAnsi="Century Gothic"/>
        </w:rPr>
        <w:t>Il ruolo prevalente dei comuni medi e medio-piccoli si conferma anche a partire dalle quote di popolazione coperta</w:t>
      </w:r>
      <w:r>
        <w:rPr>
          <w:rFonts w:ascii="Century Gothic" w:hAnsi="Century Gothic"/>
        </w:rPr>
        <w:t xml:space="preserve"> (</w:t>
      </w:r>
      <w:r w:rsidRPr="00293A4C">
        <w:rPr>
          <w:rFonts w:ascii="Century Gothic" w:hAnsi="Century Gothic"/>
        </w:rPr>
        <w:t>Tab. n. 8),</w:t>
      </w:r>
      <w:r w:rsidRPr="00F061D5">
        <w:rPr>
          <w:rFonts w:ascii="Century Gothic" w:hAnsi="Century Gothic"/>
        </w:rPr>
        <w:t xml:space="preserve"> che in quelle classi sono fra il 35% e il 40%, mentre in tutte le altre, sia fra i grandi che i piccoli, sono inferiori al 15%</w:t>
      </w:r>
    </w:p>
    <w:p w:rsidR="00E8028A" w:rsidRPr="00AF7188" w:rsidRDefault="00E8028A" w:rsidP="00E8028A">
      <w:pPr>
        <w:rPr>
          <w:rFonts w:ascii="Century Gothic" w:hAnsi="Century Gothic"/>
          <w:highlight w:val="yellow"/>
        </w:rPr>
      </w:pPr>
    </w:p>
    <w:p w:rsidR="00256008" w:rsidRDefault="00256008" w:rsidP="00256008">
      <w:pPr>
        <w:jc w:val="both"/>
        <w:rPr>
          <w:rFonts w:ascii="Century Gothic" w:hAnsi="Century Gothic"/>
          <w:b/>
        </w:rPr>
      </w:pPr>
      <w:r>
        <w:rPr>
          <w:rFonts w:ascii="Century Gothic" w:hAnsi="Century Gothic"/>
          <w:b/>
        </w:rPr>
        <w:t>3</w:t>
      </w:r>
      <w:r w:rsidRPr="0035601B">
        <w:rPr>
          <w:rFonts w:ascii="Century Gothic" w:hAnsi="Century Gothic"/>
          <w:b/>
        </w:rPr>
        <w:t>.</w:t>
      </w:r>
      <w:r>
        <w:rPr>
          <w:rFonts w:ascii="Century Gothic" w:hAnsi="Century Gothic"/>
          <w:b/>
        </w:rPr>
        <w:t>5.</w:t>
      </w:r>
      <w:r w:rsidRPr="0035601B">
        <w:rPr>
          <w:rFonts w:ascii="Century Gothic" w:hAnsi="Century Gothic"/>
          <w:b/>
        </w:rPr>
        <w:t xml:space="preserve"> </w:t>
      </w:r>
      <w:r>
        <w:rPr>
          <w:rFonts w:ascii="Century Gothic" w:hAnsi="Century Gothic"/>
          <w:b/>
        </w:rPr>
        <w:t>Una panoramica dei territori</w:t>
      </w:r>
    </w:p>
    <w:p w:rsidR="00A838EB" w:rsidRDefault="00A838EB" w:rsidP="00256008">
      <w:pPr>
        <w:jc w:val="both"/>
        <w:rPr>
          <w:rFonts w:ascii="Century Gothic" w:hAnsi="Century Gothic"/>
          <w:b/>
        </w:rPr>
      </w:pPr>
    </w:p>
    <w:p w:rsidR="00A838EB" w:rsidRDefault="00256008" w:rsidP="0082221D">
      <w:pPr>
        <w:jc w:val="both"/>
        <w:rPr>
          <w:rFonts w:ascii="Century Gothic" w:hAnsi="Century Gothic"/>
        </w:rPr>
      </w:pPr>
      <w:r>
        <w:rPr>
          <w:rFonts w:ascii="Century Gothic" w:hAnsi="Century Gothic"/>
        </w:rPr>
        <w:t xml:space="preserve">Nella </w:t>
      </w:r>
      <w:r w:rsidRPr="003F6147">
        <w:rPr>
          <w:rFonts w:ascii="Century Gothic" w:hAnsi="Century Gothic"/>
          <w:b/>
          <w:i/>
        </w:rPr>
        <w:t>provincia di Arezzo</w:t>
      </w:r>
      <w:r w:rsidRPr="00A11C95">
        <w:rPr>
          <w:rFonts w:ascii="Century Gothic" w:hAnsi="Century Gothic"/>
          <w:i/>
        </w:rPr>
        <w:t xml:space="preserve"> </w:t>
      </w:r>
      <w:r w:rsidR="00A838EB" w:rsidRPr="00A838EB">
        <w:rPr>
          <w:rFonts w:ascii="Century Gothic" w:hAnsi="Century Gothic"/>
        </w:rPr>
        <w:t>le</w:t>
      </w:r>
      <w:r w:rsidR="00A838EB">
        <w:rPr>
          <w:rFonts w:ascii="Century Gothic" w:hAnsi="Century Gothic"/>
        </w:rPr>
        <w:t xml:space="preserve"> attività di contrattazione sociale sono iniziate con la redazione di una piattaforma da parte dei sindacati dei pensionati e condivisa con le organizzazioni sindacali confederali. Come spiegato nel par. 2.2, si tratta di documento di livello provinciale con valenza biennale, da adattare nel corso delle trattative nelle </w:t>
      </w:r>
      <w:r w:rsidR="00A838EB" w:rsidRPr="00B56CDD">
        <w:rPr>
          <w:rFonts w:ascii="Century Gothic" w:hAnsi="Century Gothic"/>
        </w:rPr>
        <w:t>singole zone o nei singoli comuni.</w:t>
      </w:r>
      <w:r w:rsidR="00A838EB">
        <w:rPr>
          <w:rFonts w:ascii="Century Gothic" w:hAnsi="Century Gothic"/>
        </w:rPr>
        <w:t xml:space="preserve"> Vengono affrontate le tematiche principali della negoziazione sociale con l’introduzione di nuovi argomenti come l’economia della condivisione e l’inquinamento da elettrosmog. </w:t>
      </w:r>
      <w:r w:rsidR="00234715">
        <w:rPr>
          <w:rFonts w:ascii="Century Gothic" w:hAnsi="Century Gothic"/>
        </w:rPr>
        <w:t>Dopo questo iniziale lavoro di analisi e di proposta, purtroppo è stato sottoscritto un solo sintetico accordo intercomunale con la Conferenza Zonale di Sindaci del Valdarno per la riorganizzazione dei servizi socio-sanitari anche tramite l’integrazione con il sistema del Valdarno Fiorentino, come anticipato nel par. 2.3.</w:t>
      </w:r>
      <w:r w:rsidR="00BC11AB">
        <w:rPr>
          <w:rFonts w:ascii="Century Gothic" w:hAnsi="Century Gothic"/>
        </w:rPr>
        <w:t xml:space="preserve"> </w:t>
      </w:r>
      <w:r w:rsidR="00BC11AB" w:rsidRPr="00293A4C">
        <w:rPr>
          <w:rFonts w:ascii="Century Gothic" w:hAnsi="Century Gothic"/>
        </w:rPr>
        <w:t>Essendo l’intesa sovra-comunale si verifica statisticamente una copertura sia dei comuni che della popolazione leggermente superiore alla media regionale (rispettivamente 24% e 28%).</w:t>
      </w:r>
      <w:r w:rsidR="00BC11AB">
        <w:rPr>
          <w:rFonts w:ascii="Century Gothic" w:hAnsi="Century Gothic"/>
        </w:rPr>
        <w:t xml:space="preserve"> </w:t>
      </w:r>
      <w:r w:rsidR="00C854EE">
        <w:rPr>
          <w:rFonts w:ascii="Century Gothic" w:hAnsi="Century Gothic"/>
        </w:rPr>
        <w:t xml:space="preserve">A livello di </w:t>
      </w:r>
      <w:r w:rsidR="00C854EE" w:rsidRPr="00047730">
        <w:rPr>
          <w:rFonts w:ascii="Century Gothic" w:hAnsi="Century Gothic"/>
        </w:rPr>
        <w:t xml:space="preserve">Area </w:t>
      </w:r>
      <w:r w:rsidR="00047730" w:rsidRPr="00047730">
        <w:rPr>
          <w:rFonts w:ascii="Century Gothic" w:hAnsi="Century Gothic"/>
        </w:rPr>
        <w:t>Toscana</w:t>
      </w:r>
      <w:r w:rsidR="00C854EE" w:rsidRPr="00047730">
        <w:rPr>
          <w:rFonts w:ascii="Century Gothic" w:hAnsi="Century Gothic"/>
        </w:rPr>
        <w:t xml:space="preserve"> Sud Est</w:t>
      </w:r>
      <w:r w:rsidR="00C854EE">
        <w:rPr>
          <w:rFonts w:ascii="Century Gothic" w:hAnsi="Century Gothic"/>
        </w:rPr>
        <w:t xml:space="preserve"> ( di cui fa parte anche la provincia di Arezzo) è stato sottoscritto </w:t>
      </w:r>
      <w:r w:rsidR="00950E94">
        <w:rPr>
          <w:rFonts w:ascii="Century Gothic" w:hAnsi="Century Gothic"/>
        </w:rPr>
        <w:t>un protocollo di relazioni sindacali per la programmazione socio-sanitaria in considerazione della recente legge regionale di riordino (L.R. 84/2015).</w:t>
      </w:r>
      <w:r w:rsidR="008E5441">
        <w:rPr>
          <w:rFonts w:ascii="Century Gothic" w:hAnsi="Century Gothic"/>
        </w:rPr>
        <w:t xml:space="preserve"> </w:t>
      </w:r>
    </w:p>
    <w:p w:rsidR="00752C5B" w:rsidRDefault="00752C5B" w:rsidP="00256008">
      <w:pPr>
        <w:jc w:val="both"/>
        <w:rPr>
          <w:rFonts w:ascii="Century Gothic" w:hAnsi="Century Gothic"/>
        </w:rPr>
      </w:pPr>
    </w:p>
    <w:p w:rsidR="008E5441" w:rsidRDefault="00256008" w:rsidP="00293A4C">
      <w:pPr>
        <w:jc w:val="both"/>
        <w:rPr>
          <w:rFonts w:ascii="Century Gothic" w:hAnsi="Century Gothic"/>
        </w:rPr>
      </w:pPr>
      <w:r>
        <w:rPr>
          <w:rFonts w:ascii="Century Gothic" w:hAnsi="Century Gothic"/>
        </w:rPr>
        <w:t xml:space="preserve">Nella </w:t>
      </w:r>
      <w:r w:rsidRPr="003F6147">
        <w:rPr>
          <w:rFonts w:ascii="Century Gothic" w:hAnsi="Century Gothic"/>
          <w:b/>
          <w:i/>
        </w:rPr>
        <w:t>provincia di Firenze</w:t>
      </w:r>
      <w:r>
        <w:rPr>
          <w:rFonts w:ascii="Century Gothic" w:hAnsi="Century Gothic"/>
        </w:rPr>
        <w:t xml:space="preserve"> </w:t>
      </w:r>
      <w:r w:rsidR="00FA6DD3">
        <w:rPr>
          <w:rFonts w:ascii="Century Gothic" w:hAnsi="Century Gothic"/>
        </w:rPr>
        <w:t>non si registra la sottoscrizion</w:t>
      </w:r>
      <w:r w:rsidR="005D7F85">
        <w:rPr>
          <w:rFonts w:ascii="Century Gothic" w:hAnsi="Century Gothic"/>
        </w:rPr>
        <w:t xml:space="preserve">e di accordi nel corso del 2016; </w:t>
      </w:r>
      <w:r w:rsidR="00FA6DD3">
        <w:rPr>
          <w:rFonts w:ascii="Century Gothic" w:hAnsi="Century Gothic"/>
        </w:rPr>
        <w:t xml:space="preserve">la presenza di un comune coperto da contrattazione sociale riguarda un’intesa siglata alla fine del 2014 nel comune di Fucecchio </w:t>
      </w:r>
      <w:r w:rsidR="008E5441">
        <w:rPr>
          <w:rFonts w:ascii="Century Gothic" w:hAnsi="Century Gothic"/>
        </w:rPr>
        <w:t>valevole fino al 2017</w:t>
      </w:r>
      <w:r w:rsidR="00FA6DD3">
        <w:rPr>
          <w:rFonts w:ascii="Century Gothic" w:hAnsi="Century Gothic"/>
        </w:rPr>
        <w:t xml:space="preserve">. </w:t>
      </w:r>
      <w:r w:rsidR="008E5441">
        <w:rPr>
          <w:rFonts w:ascii="Century Gothic" w:hAnsi="Century Gothic"/>
        </w:rPr>
        <w:t xml:space="preserve">Si rilevano iniziative da parte delle Leghe SPI CGIL di Fiesole e di Greve che, sulla base delle esigenze emerse in incontri con i propri iscritti, hanno poi sottoscritto dei verbali di incontro con le relative amministrazioni comunali. </w:t>
      </w:r>
      <w:r w:rsidR="00E14147" w:rsidRPr="00E14147">
        <w:rPr>
          <w:rFonts w:ascii="Century Gothic" w:hAnsi="Century Gothic"/>
        </w:rPr>
        <w:t xml:space="preserve">Il </w:t>
      </w:r>
      <w:r w:rsidR="00904F0C" w:rsidRPr="00E14147">
        <w:rPr>
          <w:rFonts w:ascii="Century Gothic" w:hAnsi="Century Gothic"/>
        </w:rPr>
        <w:t xml:space="preserve">documento </w:t>
      </w:r>
      <w:r w:rsidR="00E14147" w:rsidRPr="00E14147">
        <w:rPr>
          <w:rFonts w:ascii="Century Gothic" w:hAnsi="Century Gothic"/>
        </w:rPr>
        <w:t xml:space="preserve">di proposta </w:t>
      </w:r>
      <w:r w:rsidR="00904F0C" w:rsidRPr="00E14147">
        <w:rPr>
          <w:rFonts w:ascii="Century Gothic" w:hAnsi="Century Gothic"/>
        </w:rPr>
        <w:t xml:space="preserve">della Lega SPI CGIL di Fiesole </w:t>
      </w:r>
      <w:r w:rsidR="00E14147" w:rsidRPr="00E14147">
        <w:rPr>
          <w:rFonts w:ascii="Century Gothic" w:hAnsi="Century Gothic"/>
        </w:rPr>
        <w:t xml:space="preserve">è stato </w:t>
      </w:r>
      <w:r w:rsidR="005D7F85">
        <w:rPr>
          <w:rFonts w:ascii="Century Gothic" w:hAnsi="Century Gothic"/>
        </w:rPr>
        <w:t xml:space="preserve">sinteticamente </w:t>
      </w:r>
      <w:r w:rsidR="00E14147" w:rsidRPr="00E14147">
        <w:rPr>
          <w:rFonts w:ascii="Century Gothic" w:hAnsi="Century Gothic"/>
        </w:rPr>
        <w:t>descritto nel paragrafo sulle piattaforme</w:t>
      </w:r>
      <w:r w:rsidR="00904F0C" w:rsidRPr="00B56CDD">
        <w:rPr>
          <w:rFonts w:ascii="Century Gothic" w:hAnsi="Century Gothic"/>
        </w:rPr>
        <w:t xml:space="preserve">. </w:t>
      </w:r>
    </w:p>
    <w:p w:rsidR="008E5441" w:rsidRDefault="008E5441" w:rsidP="00697AA1">
      <w:pPr>
        <w:jc w:val="both"/>
        <w:rPr>
          <w:rFonts w:ascii="Century Gothic" w:hAnsi="Century Gothic"/>
        </w:rPr>
      </w:pPr>
    </w:p>
    <w:p w:rsidR="00E14147" w:rsidRDefault="0046320D" w:rsidP="00256008">
      <w:pPr>
        <w:jc w:val="both"/>
        <w:rPr>
          <w:rFonts w:ascii="Century Gothic" w:hAnsi="Century Gothic"/>
        </w:rPr>
      </w:pPr>
      <w:r>
        <w:rPr>
          <w:rFonts w:ascii="Century Gothic" w:hAnsi="Century Gothic"/>
        </w:rPr>
        <w:t>Ne</w:t>
      </w:r>
      <w:r w:rsidR="00A260B6">
        <w:rPr>
          <w:rFonts w:ascii="Century Gothic" w:hAnsi="Century Gothic"/>
        </w:rPr>
        <w:t>ll</w:t>
      </w:r>
      <w:r w:rsidR="00256008">
        <w:rPr>
          <w:rFonts w:ascii="Century Gothic" w:hAnsi="Century Gothic"/>
        </w:rPr>
        <w:t xml:space="preserve">a </w:t>
      </w:r>
      <w:r w:rsidR="00256008" w:rsidRPr="003F6147">
        <w:rPr>
          <w:rFonts w:ascii="Century Gothic" w:hAnsi="Century Gothic"/>
          <w:b/>
          <w:i/>
        </w:rPr>
        <w:t>provincia di Grosseto</w:t>
      </w:r>
      <w:r w:rsidR="00256008">
        <w:rPr>
          <w:rFonts w:ascii="Century Gothic" w:hAnsi="Century Gothic"/>
        </w:rPr>
        <w:t xml:space="preserve"> </w:t>
      </w:r>
      <w:r>
        <w:rPr>
          <w:rFonts w:ascii="Century Gothic" w:hAnsi="Century Gothic"/>
        </w:rPr>
        <w:t xml:space="preserve">non si registra la sottoscrizione di alcun accordo </w:t>
      </w:r>
      <w:r w:rsidR="003D123C">
        <w:rPr>
          <w:rFonts w:ascii="Century Gothic" w:hAnsi="Century Gothic"/>
        </w:rPr>
        <w:t xml:space="preserve">comunale </w:t>
      </w:r>
      <w:r>
        <w:rPr>
          <w:rFonts w:ascii="Century Gothic" w:hAnsi="Century Gothic"/>
        </w:rPr>
        <w:t>come è avvenuto nel 2015</w:t>
      </w:r>
      <w:r w:rsidR="005D7F85">
        <w:rPr>
          <w:rFonts w:ascii="Century Gothic" w:hAnsi="Century Gothic"/>
        </w:rPr>
        <w:t xml:space="preserve">, anno in cui erano stati inviati solo </w:t>
      </w:r>
      <w:r>
        <w:rPr>
          <w:rFonts w:ascii="Century Gothic" w:hAnsi="Century Gothic"/>
        </w:rPr>
        <w:t xml:space="preserve">dei verbali di incontro siglati nell’area. </w:t>
      </w:r>
      <w:r w:rsidR="00E14147">
        <w:rPr>
          <w:rFonts w:ascii="Century Gothic" w:hAnsi="Century Gothic"/>
        </w:rPr>
        <w:t xml:space="preserve">Delle attività del 2016 è </w:t>
      </w:r>
      <w:r w:rsidR="00E14147" w:rsidRPr="005D7F85">
        <w:rPr>
          <w:rFonts w:ascii="Century Gothic" w:hAnsi="Century Gothic"/>
        </w:rPr>
        <w:t>pervenuto</w:t>
      </w:r>
      <w:r w:rsidR="00E14147">
        <w:rPr>
          <w:rFonts w:ascii="Century Gothic" w:hAnsi="Century Gothic"/>
        </w:rPr>
        <w:t xml:space="preserve"> solo il protocollo di relazioni sindacali per la programmazione socio-sanitaria </w:t>
      </w:r>
      <w:r w:rsidR="00E14147" w:rsidRPr="00047730">
        <w:rPr>
          <w:rFonts w:ascii="Century Gothic" w:hAnsi="Century Gothic"/>
        </w:rPr>
        <w:t xml:space="preserve">nell’Area </w:t>
      </w:r>
      <w:r w:rsidR="001056FE" w:rsidRPr="00047730">
        <w:rPr>
          <w:rFonts w:ascii="Century Gothic" w:hAnsi="Century Gothic"/>
        </w:rPr>
        <w:t>Toscana</w:t>
      </w:r>
      <w:r w:rsidR="00E14147" w:rsidRPr="00047730">
        <w:rPr>
          <w:rFonts w:ascii="Century Gothic" w:hAnsi="Century Gothic"/>
        </w:rPr>
        <w:t xml:space="preserve"> Sud Est</w:t>
      </w:r>
      <w:r w:rsidR="00E14147">
        <w:rPr>
          <w:rFonts w:ascii="Century Gothic" w:hAnsi="Century Gothic"/>
        </w:rPr>
        <w:t xml:space="preserve">, nella quale è inclusa anche la provincia di Grosseto. La sottoscrizione di questo accordo era stata preceduta da un’intensa campagna </w:t>
      </w:r>
      <w:r w:rsidR="003D123C">
        <w:rPr>
          <w:rFonts w:ascii="Century Gothic" w:hAnsi="Century Gothic"/>
        </w:rPr>
        <w:t xml:space="preserve">di mobilitazione nella provincia grossetana al fine di un confronto con la Direzione Generale </w:t>
      </w:r>
      <w:r w:rsidR="003D123C" w:rsidRPr="00047730">
        <w:rPr>
          <w:rFonts w:ascii="Century Gothic" w:hAnsi="Century Gothic"/>
        </w:rPr>
        <w:t xml:space="preserve">della </w:t>
      </w:r>
      <w:r w:rsidR="00047730" w:rsidRPr="00047730">
        <w:rPr>
          <w:rFonts w:ascii="Century Gothic" w:hAnsi="Century Gothic"/>
        </w:rPr>
        <w:t>Aziena USL</w:t>
      </w:r>
      <w:r w:rsidR="003D123C" w:rsidRPr="00047730">
        <w:rPr>
          <w:rFonts w:ascii="Century Gothic" w:hAnsi="Century Gothic"/>
        </w:rPr>
        <w:t xml:space="preserve"> Toscana Sud Est</w:t>
      </w:r>
      <w:r w:rsidR="003D123C">
        <w:rPr>
          <w:rFonts w:ascii="Century Gothic" w:hAnsi="Century Gothic"/>
        </w:rPr>
        <w:t xml:space="preserve">, come si legge da un comunicato sindacale. </w:t>
      </w:r>
    </w:p>
    <w:p w:rsidR="009168AC" w:rsidRDefault="009168AC" w:rsidP="00256008">
      <w:pPr>
        <w:jc w:val="both"/>
        <w:rPr>
          <w:rFonts w:ascii="Century Gothic" w:hAnsi="Century Gothic"/>
        </w:rPr>
      </w:pPr>
    </w:p>
    <w:p w:rsidR="004B01E1" w:rsidRDefault="00EF2C84" w:rsidP="00256008">
      <w:pPr>
        <w:jc w:val="both"/>
        <w:rPr>
          <w:rFonts w:ascii="Century Gothic" w:hAnsi="Century Gothic"/>
        </w:rPr>
      </w:pPr>
      <w:r w:rsidRPr="00EF2C84">
        <w:rPr>
          <w:rFonts w:ascii="Century Gothic" w:hAnsi="Century Gothic"/>
        </w:rPr>
        <w:t>Nella</w:t>
      </w:r>
      <w:r>
        <w:rPr>
          <w:rFonts w:ascii="Century Gothic" w:hAnsi="Century Gothic"/>
          <w:b/>
          <w:i/>
        </w:rPr>
        <w:t xml:space="preserve"> </w:t>
      </w:r>
      <w:r w:rsidR="00256008" w:rsidRPr="003F6147">
        <w:rPr>
          <w:rFonts w:ascii="Century Gothic" w:hAnsi="Century Gothic"/>
          <w:b/>
          <w:i/>
        </w:rPr>
        <w:t>provincia di Livorno</w:t>
      </w:r>
      <w:r w:rsidR="00256008">
        <w:rPr>
          <w:rFonts w:ascii="Century Gothic" w:hAnsi="Century Gothic"/>
        </w:rPr>
        <w:t xml:space="preserve"> </w:t>
      </w:r>
      <w:r>
        <w:rPr>
          <w:rFonts w:ascii="Century Gothic" w:hAnsi="Century Gothic"/>
        </w:rPr>
        <w:t xml:space="preserve">si </w:t>
      </w:r>
      <w:r w:rsidR="00FC3DC6">
        <w:rPr>
          <w:rFonts w:ascii="Century Gothic" w:hAnsi="Century Gothic"/>
        </w:rPr>
        <w:t>rileva</w:t>
      </w:r>
      <w:r>
        <w:rPr>
          <w:rFonts w:ascii="Century Gothic" w:hAnsi="Century Gothic"/>
        </w:rPr>
        <w:t xml:space="preserve"> la copertura di un quinto dei comuni, che comunque corrisponde a un quarto della popolazione (26%), in linea con la media regionale, grazie alla presenza dei due comuni pi</w:t>
      </w:r>
      <w:r w:rsidR="0030476A">
        <w:rPr>
          <w:rFonts w:ascii="Century Gothic" w:hAnsi="Century Gothic"/>
        </w:rPr>
        <w:t>ù popolati dopo Livorno: Piombino e Rosignano Marittimo.</w:t>
      </w:r>
    </w:p>
    <w:p w:rsidR="00A32CE2" w:rsidRDefault="0030476A" w:rsidP="00256008">
      <w:pPr>
        <w:jc w:val="both"/>
        <w:rPr>
          <w:rFonts w:ascii="Century Gothic" w:hAnsi="Century Gothic"/>
        </w:rPr>
      </w:pPr>
      <w:r>
        <w:rPr>
          <w:rFonts w:ascii="Century Gothic" w:hAnsi="Century Gothic"/>
        </w:rPr>
        <w:t xml:space="preserve">Per quanto riguarda quest’ultimo la copertura riguarda un accordo sottoscritto nel 2015 con valenza fino al 2018. Anche l’accordo sottoscritto nel comune di Castagneto Carducci nel 2016 ha una valenza pluriennale fino al 2018. In questi due territori </w:t>
      </w:r>
      <w:r w:rsidR="00A32CE2">
        <w:rPr>
          <w:rFonts w:ascii="Century Gothic" w:hAnsi="Century Gothic"/>
        </w:rPr>
        <w:t>si</w:t>
      </w:r>
      <w:r>
        <w:rPr>
          <w:rFonts w:ascii="Century Gothic" w:hAnsi="Century Gothic"/>
        </w:rPr>
        <w:t xml:space="preserve"> rileva, quindi, l’esigenza di un’intesa su misure </w:t>
      </w:r>
      <w:r w:rsidR="00A32CE2">
        <w:rPr>
          <w:rFonts w:ascii="Century Gothic" w:hAnsi="Century Gothic"/>
        </w:rPr>
        <w:t xml:space="preserve">che abbiano validità pluriennale, considerando linee programmatiche di bilancio che vadano oltre il singolo anno. </w:t>
      </w:r>
      <w:r w:rsidR="00FC3DC6">
        <w:rPr>
          <w:rFonts w:ascii="Century Gothic" w:hAnsi="Century Gothic"/>
        </w:rPr>
        <w:t xml:space="preserve">Gli accordi sono articolati in paragrafi con la descrizione </w:t>
      </w:r>
      <w:r w:rsidR="00DA6AF6">
        <w:rPr>
          <w:rFonts w:ascii="Century Gothic" w:hAnsi="Century Gothic"/>
        </w:rPr>
        <w:t xml:space="preserve">dettagliata </w:t>
      </w:r>
      <w:r w:rsidR="00FC3DC6">
        <w:rPr>
          <w:rFonts w:ascii="Century Gothic" w:hAnsi="Century Gothic"/>
        </w:rPr>
        <w:t>dei vari interventi</w:t>
      </w:r>
      <w:r w:rsidR="00ED765B">
        <w:rPr>
          <w:rFonts w:ascii="Century Gothic" w:hAnsi="Century Gothic"/>
        </w:rPr>
        <w:t>,</w:t>
      </w:r>
      <w:r w:rsidR="00FC3DC6">
        <w:rPr>
          <w:rFonts w:ascii="Century Gothic" w:hAnsi="Century Gothic"/>
        </w:rPr>
        <w:t xml:space="preserve"> che riguardano diverse aree della contrattazione sociale da quelle principali (fiscali-tributarie e sociali) fino a quelle concernenti integrazione e pari opportunità. </w:t>
      </w:r>
    </w:p>
    <w:p w:rsidR="0030476A" w:rsidRDefault="0030476A" w:rsidP="00256008">
      <w:pPr>
        <w:jc w:val="both"/>
        <w:rPr>
          <w:rFonts w:ascii="Century Gothic" w:hAnsi="Century Gothic"/>
        </w:rPr>
      </w:pPr>
    </w:p>
    <w:p w:rsidR="001454E4" w:rsidRDefault="00C24886" w:rsidP="00B56CDD">
      <w:pPr>
        <w:jc w:val="both"/>
        <w:rPr>
          <w:rFonts w:ascii="Century Gothic" w:hAnsi="Century Gothic"/>
        </w:rPr>
      </w:pPr>
      <w:r>
        <w:rPr>
          <w:rFonts w:ascii="Century Gothic" w:hAnsi="Century Gothic"/>
        </w:rPr>
        <w:t>Nella</w:t>
      </w:r>
      <w:r w:rsidR="00FC3DC6" w:rsidRPr="00FC3DC6">
        <w:rPr>
          <w:rFonts w:ascii="Century Gothic" w:hAnsi="Century Gothic"/>
          <w:i/>
        </w:rPr>
        <w:t xml:space="preserve"> </w:t>
      </w:r>
      <w:r w:rsidR="006A3DCF" w:rsidRPr="008F4138">
        <w:rPr>
          <w:rFonts w:ascii="Century Gothic" w:hAnsi="Century Gothic"/>
          <w:b/>
          <w:i/>
        </w:rPr>
        <w:t>provincia di Lucca</w:t>
      </w:r>
      <w:r>
        <w:rPr>
          <w:rFonts w:ascii="Century Gothic" w:hAnsi="Century Gothic"/>
          <w:b/>
          <w:i/>
        </w:rPr>
        <w:t xml:space="preserve">, </w:t>
      </w:r>
      <w:r w:rsidRPr="00C24886">
        <w:rPr>
          <w:rFonts w:ascii="Century Gothic" w:hAnsi="Century Gothic"/>
        </w:rPr>
        <w:t>pur</w:t>
      </w:r>
      <w:r>
        <w:rPr>
          <w:rFonts w:ascii="Century Gothic" w:hAnsi="Century Gothic"/>
          <w:b/>
          <w:i/>
        </w:rPr>
        <w:t xml:space="preserve"> </w:t>
      </w:r>
      <w:r w:rsidRPr="00C24886">
        <w:rPr>
          <w:rFonts w:ascii="Century Gothic" w:hAnsi="Century Gothic"/>
        </w:rPr>
        <w:t>ve</w:t>
      </w:r>
      <w:r>
        <w:rPr>
          <w:rFonts w:ascii="Century Gothic" w:hAnsi="Century Gothic"/>
        </w:rPr>
        <w:t>rificandosi una diminuzione nei comuni oggetto di contrattazione sociale (da 15 a 11)</w:t>
      </w:r>
      <w:r w:rsidR="00CC769C">
        <w:rPr>
          <w:rFonts w:ascii="Century Gothic" w:hAnsi="Century Gothic"/>
        </w:rPr>
        <w:t>,</w:t>
      </w:r>
      <w:r>
        <w:rPr>
          <w:rFonts w:ascii="Century Gothic" w:hAnsi="Century Gothic"/>
        </w:rPr>
        <w:t xml:space="preserve"> </w:t>
      </w:r>
      <w:r w:rsidR="00CC769C">
        <w:rPr>
          <w:rFonts w:ascii="Century Gothic" w:hAnsi="Century Gothic"/>
        </w:rPr>
        <w:t xml:space="preserve">si arriva alla copertura di un terzo dei comuni e di più della metà della popolazione (63%), grazie anche alla presenza del comune capoluogo. Proprio nel comune di Lucca, nel corso del 2016, si è svolto un interessante percorso che ha previsto tavoli di </w:t>
      </w:r>
      <w:r w:rsidR="00CC769C" w:rsidRPr="005C5A09">
        <w:rPr>
          <w:rFonts w:ascii="Century Gothic" w:hAnsi="Century Gothic"/>
        </w:rPr>
        <w:t>confronto</w:t>
      </w:r>
      <w:r w:rsidR="00CC769C">
        <w:rPr>
          <w:rFonts w:ascii="Century Gothic" w:hAnsi="Century Gothic"/>
        </w:rPr>
        <w:t xml:space="preserve"> e di trattativa che ha riguardato diverse tematiche. </w:t>
      </w:r>
      <w:r w:rsidR="00CC769C" w:rsidRPr="00293A4C">
        <w:rPr>
          <w:rFonts w:ascii="Century Gothic" w:hAnsi="Century Gothic"/>
        </w:rPr>
        <w:t xml:space="preserve">Come sottolineato dalla delegazione territoriale, si è trattato di un’esperienza innovativa, </w:t>
      </w:r>
      <w:r w:rsidR="00ED765B" w:rsidRPr="00293A4C">
        <w:rPr>
          <w:rFonts w:ascii="Century Gothic" w:hAnsi="Century Gothic"/>
        </w:rPr>
        <w:t>nella quale sia</w:t>
      </w:r>
      <w:r w:rsidR="00CC769C" w:rsidRPr="00293A4C">
        <w:rPr>
          <w:rFonts w:ascii="Century Gothic" w:hAnsi="Century Gothic"/>
        </w:rPr>
        <w:t xml:space="preserve"> </w:t>
      </w:r>
      <w:r w:rsidR="00293A4C" w:rsidRPr="00293A4C">
        <w:rPr>
          <w:rFonts w:ascii="Century Gothic" w:hAnsi="Century Gothic"/>
        </w:rPr>
        <w:t>è stato possibile</w:t>
      </w:r>
      <w:r w:rsidR="00CC769C" w:rsidRPr="00293A4C">
        <w:rPr>
          <w:rFonts w:ascii="Century Gothic" w:hAnsi="Century Gothic"/>
        </w:rPr>
        <w:t xml:space="preserve"> un </w:t>
      </w:r>
      <w:r w:rsidR="005C5A09" w:rsidRPr="00293A4C">
        <w:rPr>
          <w:rFonts w:ascii="Century Gothic" w:hAnsi="Century Gothic"/>
        </w:rPr>
        <w:t>dialogo</w:t>
      </w:r>
      <w:r w:rsidR="00CC769C" w:rsidRPr="00293A4C">
        <w:rPr>
          <w:rFonts w:ascii="Century Gothic" w:hAnsi="Century Gothic"/>
        </w:rPr>
        <w:t xml:space="preserve"> più approfondito</w:t>
      </w:r>
      <w:r w:rsidR="00ED765B" w:rsidRPr="00293A4C">
        <w:rPr>
          <w:rFonts w:ascii="Century Gothic" w:hAnsi="Century Gothic"/>
        </w:rPr>
        <w:t>,</w:t>
      </w:r>
      <w:r w:rsidR="00CC769C" w:rsidRPr="00293A4C">
        <w:rPr>
          <w:rFonts w:ascii="Century Gothic" w:hAnsi="Century Gothic"/>
        </w:rPr>
        <w:t xml:space="preserve"> </w:t>
      </w:r>
      <w:r w:rsidR="00ED765B" w:rsidRPr="00293A4C">
        <w:rPr>
          <w:rFonts w:ascii="Century Gothic" w:hAnsi="Century Gothic"/>
        </w:rPr>
        <w:t>sia</w:t>
      </w:r>
      <w:r w:rsidR="00CC769C" w:rsidRPr="00293A4C">
        <w:rPr>
          <w:rFonts w:ascii="Century Gothic" w:hAnsi="Century Gothic"/>
        </w:rPr>
        <w:t xml:space="preserve"> si è rafforzato il ruolo della confederazione di concerto con i sindacati dei pensionati.</w:t>
      </w:r>
      <w:r w:rsidR="00CC769C">
        <w:rPr>
          <w:rFonts w:ascii="Century Gothic" w:hAnsi="Century Gothic"/>
        </w:rPr>
        <w:t xml:space="preserve"> Oltre all’attività tradizionale </w:t>
      </w:r>
      <w:r w:rsidR="001454E4">
        <w:rPr>
          <w:rFonts w:ascii="Century Gothic" w:hAnsi="Century Gothic"/>
        </w:rPr>
        <w:t xml:space="preserve">di concertazione a livello comunale, sono stati tenuti tavoli di confronto sulle tematiche socio-sanitarie nei tre distretti della provincia (Piana di Lucca, Valle del Serchio, Versilia). Dalla Piana di Lucca è pervenuto un documento di proposte specifiche per la zona, di cui si è </w:t>
      </w:r>
      <w:r w:rsidR="00ED765B">
        <w:rPr>
          <w:rFonts w:ascii="Century Gothic" w:hAnsi="Century Gothic"/>
        </w:rPr>
        <w:t>parlato</w:t>
      </w:r>
      <w:r w:rsidR="001454E4">
        <w:rPr>
          <w:rFonts w:ascii="Century Gothic" w:hAnsi="Century Gothic"/>
        </w:rPr>
        <w:t xml:space="preserve"> nel paragrafo 2.2. sulle piattaforme.</w:t>
      </w:r>
      <w:r w:rsidR="004A11D7">
        <w:rPr>
          <w:rFonts w:ascii="Century Gothic" w:hAnsi="Century Gothic"/>
        </w:rPr>
        <w:t xml:space="preserve"> </w:t>
      </w:r>
      <w:r w:rsidR="00ED765B">
        <w:rPr>
          <w:rFonts w:ascii="Century Gothic" w:hAnsi="Century Gothic"/>
        </w:rPr>
        <w:t xml:space="preserve">Come rilevato in passato, gli accordi sono ben articolati con la trattazione di molteplici tematiche relative alla contrattazione sociale. </w:t>
      </w:r>
    </w:p>
    <w:p w:rsidR="002D4CA0" w:rsidRDefault="002D4CA0" w:rsidP="00B56CDD">
      <w:pPr>
        <w:jc w:val="both"/>
        <w:rPr>
          <w:rFonts w:ascii="Century Gothic" w:hAnsi="Century Gothic"/>
        </w:rPr>
      </w:pPr>
    </w:p>
    <w:p w:rsidR="00B56CDD" w:rsidRDefault="001454E4" w:rsidP="00256008">
      <w:pPr>
        <w:jc w:val="both"/>
        <w:rPr>
          <w:rFonts w:ascii="Century Gothic" w:hAnsi="Century Gothic"/>
        </w:rPr>
      </w:pPr>
      <w:r>
        <w:rPr>
          <w:rFonts w:ascii="Century Gothic" w:hAnsi="Century Gothic"/>
        </w:rPr>
        <w:t>Come osservato anche in precedenti rapporti</w:t>
      </w:r>
      <w:r w:rsidR="002D4CA0">
        <w:rPr>
          <w:rFonts w:ascii="Century Gothic" w:hAnsi="Century Gothic"/>
        </w:rPr>
        <w:t>,</w:t>
      </w:r>
      <w:r>
        <w:rPr>
          <w:rFonts w:ascii="Century Gothic" w:hAnsi="Century Gothic"/>
        </w:rPr>
        <w:t xml:space="preserve"> </w:t>
      </w:r>
      <w:r w:rsidR="002D4CA0">
        <w:rPr>
          <w:rFonts w:ascii="Century Gothic" w:hAnsi="Century Gothic"/>
        </w:rPr>
        <w:t>nell</w:t>
      </w:r>
      <w:r>
        <w:rPr>
          <w:rFonts w:ascii="Century Gothic" w:hAnsi="Century Gothic"/>
        </w:rPr>
        <w:t xml:space="preserve">a </w:t>
      </w:r>
      <w:r w:rsidRPr="008F4138">
        <w:rPr>
          <w:rFonts w:ascii="Century Gothic" w:hAnsi="Century Gothic"/>
          <w:b/>
          <w:i/>
        </w:rPr>
        <w:t>provincia di Massa</w:t>
      </w:r>
      <w:r>
        <w:rPr>
          <w:rFonts w:ascii="Century Gothic" w:hAnsi="Century Gothic"/>
        </w:rPr>
        <w:t xml:space="preserve"> non </w:t>
      </w:r>
      <w:r w:rsidR="002D4CA0">
        <w:rPr>
          <w:rFonts w:ascii="Century Gothic" w:hAnsi="Century Gothic"/>
        </w:rPr>
        <w:t>è presente</w:t>
      </w:r>
      <w:r>
        <w:rPr>
          <w:rFonts w:ascii="Century Gothic" w:hAnsi="Century Gothic"/>
        </w:rPr>
        <w:t xml:space="preserve"> una tradizione di negoziazione sociale soprattutto a livello di amministrazione comunale. </w:t>
      </w:r>
      <w:r w:rsidR="002D4CA0">
        <w:rPr>
          <w:rFonts w:ascii="Century Gothic" w:hAnsi="Century Gothic"/>
        </w:rPr>
        <w:t xml:space="preserve">Nel </w:t>
      </w:r>
      <w:r>
        <w:rPr>
          <w:rFonts w:ascii="Century Gothic" w:hAnsi="Century Gothic"/>
        </w:rPr>
        <w:t>2015</w:t>
      </w:r>
      <w:r w:rsidR="002D4CA0">
        <w:rPr>
          <w:rFonts w:ascii="Century Gothic" w:hAnsi="Century Gothic"/>
        </w:rPr>
        <w:t>,</w:t>
      </w:r>
      <w:r>
        <w:rPr>
          <w:rFonts w:ascii="Century Gothic" w:hAnsi="Century Gothic"/>
        </w:rPr>
        <w:t xml:space="preserve"> </w:t>
      </w:r>
      <w:r w:rsidR="002D4CA0">
        <w:rPr>
          <w:rFonts w:ascii="Century Gothic" w:hAnsi="Century Gothic"/>
        </w:rPr>
        <w:t>le</w:t>
      </w:r>
      <w:r>
        <w:rPr>
          <w:rFonts w:ascii="Century Gothic" w:hAnsi="Century Gothic"/>
        </w:rPr>
        <w:t xml:space="preserve"> intese </w:t>
      </w:r>
      <w:r w:rsidR="002D4CA0">
        <w:rPr>
          <w:rFonts w:ascii="Century Gothic" w:hAnsi="Century Gothic"/>
        </w:rPr>
        <w:t xml:space="preserve">siglate </w:t>
      </w:r>
      <w:r>
        <w:rPr>
          <w:rFonts w:ascii="Century Gothic" w:hAnsi="Century Gothic"/>
        </w:rPr>
        <w:t>in due comuni</w:t>
      </w:r>
      <w:r w:rsidR="002D4CA0">
        <w:rPr>
          <w:rFonts w:ascii="Century Gothic" w:hAnsi="Century Gothic"/>
        </w:rPr>
        <w:t xml:space="preserve"> (Massa, Pontremoli) </w:t>
      </w:r>
      <w:r>
        <w:rPr>
          <w:rFonts w:ascii="Century Gothic" w:hAnsi="Century Gothic"/>
        </w:rPr>
        <w:t xml:space="preserve"> </w:t>
      </w:r>
      <w:r w:rsidR="002D4CA0">
        <w:rPr>
          <w:rFonts w:ascii="Century Gothic" w:hAnsi="Century Gothic"/>
        </w:rPr>
        <w:t>sono stati i primi</w:t>
      </w:r>
      <w:r>
        <w:rPr>
          <w:rFonts w:ascii="Century Gothic" w:hAnsi="Century Gothic"/>
        </w:rPr>
        <w:t xml:space="preserve"> </w:t>
      </w:r>
      <w:r w:rsidR="002D4CA0">
        <w:rPr>
          <w:rFonts w:ascii="Century Gothic" w:hAnsi="Century Gothic"/>
        </w:rPr>
        <w:t xml:space="preserve">veri </w:t>
      </w:r>
      <w:r>
        <w:rPr>
          <w:rFonts w:ascii="Century Gothic" w:hAnsi="Century Gothic"/>
        </w:rPr>
        <w:t xml:space="preserve">esempi di sottoscrizione di accordi con le amministrazioni comunali in questo territorio. </w:t>
      </w:r>
      <w:r w:rsidR="00DA6AF6">
        <w:rPr>
          <w:rStyle w:val="Rimandonotaapidipagina"/>
          <w:rFonts w:ascii="Century Gothic" w:hAnsi="Century Gothic"/>
        </w:rPr>
        <w:footnoteReference w:id="5"/>
      </w:r>
      <w:r w:rsidR="002D4CA0">
        <w:rPr>
          <w:rFonts w:ascii="Century Gothic" w:hAnsi="Century Gothic"/>
        </w:rPr>
        <w:t xml:space="preserve"> Nel 2016 viene siglato un solo accordo, ma, riguardando il comune capoluogo, si arriva alla copertura di più di un terzo della popolazione (35%). Questo accordo è stato </w:t>
      </w:r>
      <w:r w:rsidR="00DD16EA">
        <w:rPr>
          <w:rFonts w:ascii="Century Gothic" w:hAnsi="Century Gothic"/>
        </w:rPr>
        <w:t xml:space="preserve">sottoscritto nel dicembre 2016 e fa un bilancio del processo di concertazione avviato dal 2014, con l’evidenziazione dei risultati acquisiti (in particolar modo in campo fiscale e tariffario), ma anche con la definizione delle linee di indirizzo concordate per gli anni futuri. </w:t>
      </w:r>
    </w:p>
    <w:p w:rsidR="00293A4C" w:rsidRDefault="00293A4C" w:rsidP="00256008">
      <w:pPr>
        <w:jc w:val="both"/>
        <w:rPr>
          <w:rFonts w:ascii="Century Gothic" w:hAnsi="Century Gothic"/>
        </w:rPr>
      </w:pPr>
    </w:p>
    <w:p w:rsidR="00370CAC" w:rsidRPr="004A11D7" w:rsidRDefault="004A11D7" w:rsidP="001907F0">
      <w:pPr>
        <w:tabs>
          <w:tab w:val="left" w:pos="1530"/>
        </w:tabs>
        <w:jc w:val="both"/>
        <w:rPr>
          <w:rFonts w:ascii="Century Gothic" w:hAnsi="Century Gothic"/>
        </w:rPr>
      </w:pPr>
      <w:r>
        <w:rPr>
          <w:rFonts w:ascii="Century Gothic" w:hAnsi="Century Gothic"/>
        </w:rPr>
        <w:t xml:space="preserve">Dalla delegazione della </w:t>
      </w:r>
      <w:r w:rsidR="00256008" w:rsidRPr="008F4138">
        <w:rPr>
          <w:rFonts w:ascii="Century Gothic" w:hAnsi="Century Gothic"/>
          <w:b/>
          <w:i/>
        </w:rPr>
        <w:t>provincia di Pisa</w:t>
      </w:r>
      <w:r w:rsidR="00256008" w:rsidRPr="009146F2">
        <w:rPr>
          <w:rFonts w:ascii="Century Gothic" w:hAnsi="Century Gothic"/>
          <w:b/>
        </w:rPr>
        <w:t xml:space="preserve"> </w:t>
      </w:r>
      <w:r>
        <w:rPr>
          <w:rFonts w:ascii="Century Gothic" w:hAnsi="Century Gothic"/>
        </w:rPr>
        <w:t xml:space="preserve">è pervenuto un resoconto dettagliato delle attività di contrattazione svolte sul territorio. </w:t>
      </w:r>
      <w:r w:rsidR="00B416E4">
        <w:rPr>
          <w:rFonts w:ascii="Century Gothic" w:hAnsi="Century Gothic"/>
        </w:rPr>
        <w:t xml:space="preserve">In forma congiunta le organizzazioni sindacali confederali e i relativi sindacati dei pensionati hanno richiesto un incontro con i 37 comuni della provincia. In 11 comuni non è stato possibile attuare alcun confronto, in 8 comuni (tra i quali anche il comune capoluogo) si sono svolti degli incontri senza la firma di un accordo o di un verbale di incontro. Nei restanti 18 casi è riportato che per la metà le trattative si sono concluse con un verbale di incontro e per la metà con un accordo. Viene segnalato che la diminuzione degli accordi a favore di un aumento dei verbali di incontro è dovuta agli incrementi previsti in alcuni </w:t>
      </w:r>
      <w:r w:rsidR="009B2634">
        <w:rPr>
          <w:rFonts w:ascii="Century Gothic" w:hAnsi="Century Gothic"/>
        </w:rPr>
        <w:t>c</w:t>
      </w:r>
      <w:r w:rsidR="00B416E4">
        <w:rPr>
          <w:rFonts w:ascii="Century Gothic" w:hAnsi="Century Gothic"/>
        </w:rPr>
        <w:t xml:space="preserve">omuni della TARI e alla riorganizzazione </w:t>
      </w:r>
      <w:r w:rsidR="00370CAC">
        <w:rPr>
          <w:rFonts w:ascii="Century Gothic" w:hAnsi="Century Gothic"/>
        </w:rPr>
        <w:t xml:space="preserve">delle istituzioni che interessa i </w:t>
      </w:r>
      <w:r w:rsidR="009B2634">
        <w:rPr>
          <w:rFonts w:ascii="Century Gothic" w:hAnsi="Century Gothic"/>
        </w:rPr>
        <w:t>c</w:t>
      </w:r>
      <w:r w:rsidR="00370CAC">
        <w:rPr>
          <w:rFonts w:ascii="Century Gothic" w:hAnsi="Century Gothic"/>
        </w:rPr>
        <w:t xml:space="preserve">omuni nelle diverse esperienze delle unioni (Valdera e Comuni dei Colli Marittimi Pisani). Dopo una lettura attenta dei documenti, si è ritenuto opportuno considerare 6 verbali di incontro assimilabili ad accordi, in quanto si rilevano delle acquisizioni su proposta dei sindacati su alcuni temi di </w:t>
      </w:r>
      <w:r w:rsidR="009E6883">
        <w:rPr>
          <w:rFonts w:ascii="Century Gothic" w:hAnsi="Century Gothic"/>
        </w:rPr>
        <w:t>negozia</w:t>
      </w:r>
      <w:r w:rsidR="00370CAC">
        <w:rPr>
          <w:rFonts w:ascii="Century Gothic" w:hAnsi="Century Gothic"/>
        </w:rPr>
        <w:t xml:space="preserve">zione sociale, anche se poi non vi è convergenza su alcune misure (in particolare gli aumenti TARI ai fini di una copertura dei costi). In questo modo, si è cercato </w:t>
      </w:r>
      <w:r w:rsidR="00370CAC" w:rsidRPr="009B2634">
        <w:rPr>
          <w:rFonts w:ascii="Century Gothic" w:hAnsi="Century Gothic"/>
        </w:rPr>
        <w:t>di rimanere in linea</w:t>
      </w:r>
      <w:r w:rsidR="00370CAC">
        <w:rPr>
          <w:rFonts w:ascii="Century Gothic" w:hAnsi="Century Gothic"/>
        </w:rPr>
        <w:t xml:space="preserve"> con la metodologia </w:t>
      </w:r>
      <w:r w:rsidR="009E6883">
        <w:rPr>
          <w:rFonts w:ascii="Century Gothic" w:hAnsi="Century Gothic"/>
        </w:rPr>
        <w:t>utilizzata n</w:t>
      </w:r>
      <w:r w:rsidR="00370CAC">
        <w:rPr>
          <w:rFonts w:ascii="Century Gothic" w:hAnsi="Century Gothic"/>
        </w:rPr>
        <w:t>ei rapporti precedenti. In base a queste considerazioni, il numero dei comuni oggetto di contrattazione soci</w:t>
      </w:r>
      <w:r w:rsidR="009E6883">
        <w:rPr>
          <w:rFonts w:ascii="Century Gothic" w:hAnsi="Century Gothic"/>
        </w:rPr>
        <w:t xml:space="preserve">ale rimane stabile (16 nel 2015, </w:t>
      </w:r>
      <w:r w:rsidR="00370CAC">
        <w:rPr>
          <w:rFonts w:ascii="Century Gothic" w:hAnsi="Century Gothic"/>
        </w:rPr>
        <w:t xml:space="preserve">15 nel 2016) con una copertura </w:t>
      </w:r>
      <w:r w:rsidR="00630CC2">
        <w:rPr>
          <w:rFonts w:ascii="Century Gothic" w:hAnsi="Century Gothic"/>
        </w:rPr>
        <w:t xml:space="preserve">di due quinti dei comuni (41%) e di metà della popolazione </w:t>
      </w:r>
      <w:r w:rsidR="009E6883">
        <w:rPr>
          <w:rFonts w:ascii="Century Gothic" w:hAnsi="Century Gothic"/>
        </w:rPr>
        <w:t>(</w:t>
      </w:r>
      <w:r w:rsidR="00630CC2">
        <w:rPr>
          <w:rFonts w:ascii="Century Gothic" w:hAnsi="Century Gothic"/>
        </w:rPr>
        <w:t>52%)</w:t>
      </w:r>
      <w:r w:rsidR="009E6883">
        <w:rPr>
          <w:rFonts w:ascii="Century Gothic" w:hAnsi="Century Gothic"/>
        </w:rPr>
        <w:t>.</w:t>
      </w:r>
    </w:p>
    <w:p w:rsidR="00970A1C" w:rsidRDefault="00970A1C" w:rsidP="00B76935">
      <w:pPr>
        <w:jc w:val="both"/>
        <w:rPr>
          <w:rFonts w:ascii="Century Gothic" w:hAnsi="Century Gothic"/>
        </w:rPr>
      </w:pPr>
    </w:p>
    <w:p w:rsidR="00256008" w:rsidRPr="00816421" w:rsidRDefault="00AD2414" w:rsidP="00256008">
      <w:pPr>
        <w:jc w:val="both"/>
        <w:rPr>
          <w:rFonts w:ascii="Century Gothic" w:hAnsi="Century Gothic"/>
          <w:b/>
          <w:i/>
        </w:rPr>
      </w:pPr>
      <w:r w:rsidRPr="00AD2414">
        <w:rPr>
          <w:rFonts w:ascii="Century Gothic" w:hAnsi="Century Gothic"/>
        </w:rPr>
        <w:t>Dalla</w:t>
      </w:r>
      <w:r>
        <w:rPr>
          <w:rFonts w:ascii="Century Gothic" w:hAnsi="Century Gothic"/>
          <w:b/>
          <w:i/>
        </w:rPr>
        <w:t xml:space="preserve"> </w:t>
      </w:r>
      <w:r w:rsidRPr="00AD2414">
        <w:rPr>
          <w:rFonts w:ascii="Century Gothic" w:hAnsi="Century Gothic"/>
        </w:rPr>
        <w:t>deleg</w:t>
      </w:r>
      <w:r>
        <w:rPr>
          <w:rFonts w:ascii="Century Gothic" w:hAnsi="Century Gothic"/>
        </w:rPr>
        <w:t xml:space="preserve">azione </w:t>
      </w:r>
      <w:r>
        <w:rPr>
          <w:rFonts w:ascii="Century Gothic" w:hAnsi="Century Gothic"/>
          <w:b/>
          <w:i/>
        </w:rPr>
        <w:t xml:space="preserve">della </w:t>
      </w:r>
      <w:r w:rsidR="00256008" w:rsidRPr="008F4138">
        <w:rPr>
          <w:rFonts w:ascii="Century Gothic" w:hAnsi="Century Gothic"/>
          <w:b/>
          <w:i/>
        </w:rPr>
        <w:t>provincia di Pistoia</w:t>
      </w:r>
      <w:r>
        <w:rPr>
          <w:rFonts w:ascii="Century Gothic" w:hAnsi="Century Gothic"/>
          <w:b/>
          <w:i/>
        </w:rPr>
        <w:t xml:space="preserve"> </w:t>
      </w:r>
      <w:r w:rsidRPr="00AD2414">
        <w:rPr>
          <w:rFonts w:ascii="Century Gothic" w:hAnsi="Century Gothic"/>
        </w:rPr>
        <w:t>è</w:t>
      </w:r>
      <w:r>
        <w:rPr>
          <w:rFonts w:ascii="Century Gothic" w:hAnsi="Century Gothic"/>
          <w:i/>
        </w:rPr>
        <w:t xml:space="preserve"> </w:t>
      </w:r>
      <w:r w:rsidR="00DB2DF1">
        <w:rPr>
          <w:rFonts w:ascii="Century Gothic" w:hAnsi="Century Gothic"/>
        </w:rPr>
        <w:t>stata comunicata la difficoltà di tenere dei tavoli di confronto</w:t>
      </w:r>
      <w:r w:rsidR="00AC61EF">
        <w:rPr>
          <w:rFonts w:ascii="Century Gothic" w:hAnsi="Century Gothic"/>
        </w:rPr>
        <w:t xml:space="preserve"> con le amministrazioni comunali</w:t>
      </w:r>
      <w:r w:rsidR="00DB2DF1">
        <w:rPr>
          <w:rFonts w:ascii="Century Gothic" w:hAnsi="Century Gothic"/>
        </w:rPr>
        <w:t xml:space="preserve">. </w:t>
      </w:r>
      <w:r w:rsidR="00816421">
        <w:rPr>
          <w:rFonts w:ascii="Century Gothic" w:hAnsi="Century Gothic"/>
        </w:rPr>
        <w:t xml:space="preserve">Nel corso del 2016, è stato possibile sottoscrivere delle intese solo in 4 comuni sui 22 presenti nella provincia: ai tradizionali comuni disponibili alla negoziazione sociale (Serravalle Pistoiese e Pescia) si sono aggiunti S. Marcello Pistoiese e Chiesina Uzzanese, che non è stato considerato nel conteggio, non essendo pervenuto l’accordo. E’ stato segnalato che nel comune di Pescia sono stati raggiunti i risultati più significativi; </w:t>
      </w:r>
      <w:r w:rsidR="00A56340">
        <w:rPr>
          <w:rFonts w:ascii="Century Gothic" w:hAnsi="Century Gothic"/>
        </w:rPr>
        <w:t xml:space="preserve">infatti, </w:t>
      </w:r>
      <w:r w:rsidR="001A5529">
        <w:rPr>
          <w:rFonts w:ascii="Century Gothic" w:hAnsi="Century Gothic"/>
        </w:rPr>
        <w:t>grazie anche al dialogo</w:t>
      </w:r>
      <w:r w:rsidR="00A56340">
        <w:rPr>
          <w:rFonts w:ascii="Century Gothic" w:hAnsi="Century Gothic"/>
        </w:rPr>
        <w:t xml:space="preserve"> </w:t>
      </w:r>
      <w:r w:rsidR="001A5529">
        <w:rPr>
          <w:rFonts w:ascii="Century Gothic" w:hAnsi="Century Gothic"/>
        </w:rPr>
        <w:t>con il sindacato</w:t>
      </w:r>
      <w:r w:rsidR="00A56340">
        <w:rPr>
          <w:rFonts w:ascii="Century Gothic" w:hAnsi="Century Gothic"/>
        </w:rPr>
        <w:t xml:space="preserve">, </w:t>
      </w:r>
      <w:r w:rsidR="001A5529">
        <w:rPr>
          <w:rFonts w:ascii="Century Gothic" w:hAnsi="Century Gothic"/>
        </w:rPr>
        <w:t xml:space="preserve">da parte dell’amministrazione è stata realizzata una concreta lotta all’evasione fiscale con il recupero di </w:t>
      </w:r>
      <w:r w:rsidR="00A56340">
        <w:rPr>
          <w:rFonts w:ascii="Century Gothic" w:hAnsi="Century Gothic"/>
        </w:rPr>
        <w:t xml:space="preserve">6 milioni di euro, risorse che possono essere messe a disposizione per i gruppi più deboli. </w:t>
      </w:r>
      <w:r w:rsidR="00816421">
        <w:rPr>
          <w:rFonts w:ascii="Century Gothic" w:hAnsi="Century Gothic"/>
        </w:rPr>
        <w:t xml:space="preserve">In questa provincia è stato sottoscritto un accordo anche in ambito </w:t>
      </w:r>
      <w:r w:rsidR="00CC7373">
        <w:rPr>
          <w:rFonts w:ascii="Century Gothic" w:hAnsi="Century Gothic"/>
        </w:rPr>
        <w:t>sanitario</w:t>
      </w:r>
      <w:r w:rsidR="001A5529">
        <w:rPr>
          <w:rFonts w:ascii="Century Gothic" w:hAnsi="Century Gothic"/>
        </w:rPr>
        <w:t xml:space="preserve">, infatti è stato siglato un protocollo di intesa con </w:t>
      </w:r>
      <w:r w:rsidR="001A5529" w:rsidRPr="00A47602">
        <w:rPr>
          <w:rFonts w:ascii="Century Gothic" w:hAnsi="Century Gothic"/>
        </w:rPr>
        <w:t>S</w:t>
      </w:r>
      <w:r w:rsidR="00A47602">
        <w:rPr>
          <w:rFonts w:ascii="Century Gothic" w:hAnsi="Century Gothic"/>
        </w:rPr>
        <w:t>DS</w:t>
      </w:r>
      <w:r w:rsidR="001A5529">
        <w:rPr>
          <w:rFonts w:ascii="Century Gothic" w:hAnsi="Century Gothic"/>
        </w:rPr>
        <w:t xml:space="preserve"> Pistoiese e </w:t>
      </w:r>
      <w:r w:rsidR="00A47602">
        <w:rPr>
          <w:rFonts w:ascii="Century Gothic" w:hAnsi="Century Gothic"/>
        </w:rPr>
        <w:t xml:space="preserve">l’azienda </w:t>
      </w:r>
      <w:r w:rsidR="001A5529">
        <w:rPr>
          <w:rFonts w:ascii="Century Gothic" w:hAnsi="Century Gothic"/>
        </w:rPr>
        <w:t xml:space="preserve">USL Toscana Centro con attenzione prioritaria </w:t>
      </w:r>
      <w:r w:rsidR="005173F0">
        <w:rPr>
          <w:rFonts w:ascii="Century Gothic" w:hAnsi="Century Gothic"/>
        </w:rPr>
        <w:t xml:space="preserve">sulle questioni </w:t>
      </w:r>
      <w:r w:rsidR="001A5529">
        <w:rPr>
          <w:rFonts w:ascii="Century Gothic" w:hAnsi="Century Gothic"/>
        </w:rPr>
        <w:t>legat</w:t>
      </w:r>
      <w:r w:rsidR="005173F0">
        <w:rPr>
          <w:rFonts w:ascii="Century Gothic" w:hAnsi="Century Gothic"/>
        </w:rPr>
        <w:t>e</w:t>
      </w:r>
      <w:r w:rsidR="001A5529">
        <w:rPr>
          <w:rFonts w:ascii="Century Gothic" w:hAnsi="Century Gothic"/>
        </w:rPr>
        <w:t xml:space="preserve"> all’invecchiamento della popolazione, come già </w:t>
      </w:r>
      <w:r w:rsidR="00A47602">
        <w:rPr>
          <w:rFonts w:ascii="Century Gothic" w:hAnsi="Century Gothic"/>
        </w:rPr>
        <w:t>spiegato</w:t>
      </w:r>
      <w:r w:rsidR="009B2634">
        <w:rPr>
          <w:rFonts w:ascii="Century Gothic" w:hAnsi="Century Gothic"/>
        </w:rPr>
        <w:t xml:space="preserve"> </w:t>
      </w:r>
      <w:r w:rsidR="001A5529">
        <w:rPr>
          <w:rFonts w:ascii="Century Gothic" w:hAnsi="Century Gothic"/>
        </w:rPr>
        <w:t>nel paragrafo 2.3.</w:t>
      </w:r>
    </w:p>
    <w:p w:rsidR="00AF5FE3" w:rsidRDefault="00AF5FE3" w:rsidP="00B56CDD">
      <w:pPr>
        <w:jc w:val="both"/>
        <w:rPr>
          <w:rFonts w:ascii="Century Gothic" w:hAnsi="Century Gothic"/>
          <w:highlight w:val="yellow"/>
        </w:rPr>
      </w:pPr>
    </w:p>
    <w:p w:rsidR="00D1149C" w:rsidRPr="0047026A" w:rsidRDefault="00D1149C" w:rsidP="00B56CDD">
      <w:pPr>
        <w:jc w:val="both"/>
        <w:rPr>
          <w:rFonts w:ascii="Century Gothic" w:hAnsi="Century Gothic"/>
          <w:highlight w:val="yellow"/>
        </w:rPr>
      </w:pPr>
      <w:r>
        <w:rPr>
          <w:rFonts w:ascii="Century Gothic" w:hAnsi="Century Gothic"/>
        </w:rPr>
        <w:t xml:space="preserve">Nella </w:t>
      </w:r>
      <w:r w:rsidRPr="008F4138">
        <w:rPr>
          <w:rFonts w:ascii="Century Gothic" w:hAnsi="Century Gothic"/>
          <w:b/>
          <w:i/>
        </w:rPr>
        <w:t>provincia di Prato</w:t>
      </w:r>
      <w:r>
        <w:rPr>
          <w:rFonts w:ascii="Century Gothic" w:hAnsi="Century Gothic"/>
          <w:b/>
          <w:i/>
        </w:rPr>
        <w:t xml:space="preserve"> </w:t>
      </w:r>
      <w:r w:rsidRPr="003B7FAF">
        <w:rPr>
          <w:rFonts w:ascii="Century Gothic" w:hAnsi="Century Gothic"/>
        </w:rPr>
        <w:t>non esiste una trad</w:t>
      </w:r>
      <w:r>
        <w:rPr>
          <w:rFonts w:ascii="Century Gothic" w:hAnsi="Century Gothic"/>
        </w:rPr>
        <w:t xml:space="preserve">izione di contrattazione sociale, non si è, quindi, mai registrata un’attività di accordi sul bilancio a livello comunale, anche se, nel corso degli anni, sono state realizzate iniziative a carattere sociale. Nel 2016 </w:t>
      </w:r>
      <w:r w:rsidR="008C7646">
        <w:rPr>
          <w:rFonts w:ascii="Century Gothic" w:hAnsi="Century Gothic"/>
        </w:rPr>
        <w:t>il Dipartimento Welfare della CGIL di Prato</w:t>
      </w:r>
      <w:r>
        <w:rPr>
          <w:rFonts w:ascii="Century Gothic" w:hAnsi="Century Gothic"/>
        </w:rPr>
        <w:t xml:space="preserve"> si è assunt</w:t>
      </w:r>
      <w:r w:rsidR="008C7646">
        <w:rPr>
          <w:rFonts w:ascii="Century Gothic" w:hAnsi="Century Gothic"/>
        </w:rPr>
        <w:t>o</w:t>
      </w:r>
      <w:r>
        <w:rPr>
          <w:rFonts w:ascii="Century Gothic" w:hAnsi="Century Gothic"/>
        </w:rPr>
        <w:t xml:space="preserve"> l’impegno di migliorare la propria attività per dare risposte alle esigenze crescenti della popolazione, in stretto rapporto con la Confederazione per dare più incisività alle </w:t>
      </w:r>
      <w:r w:rsidR="008C7646">
        <w:rPr>
          <w:rFonts w:ascii="Century Gothic" w:hAnsi="Century Gothic"/>
        </w:rPr>
        <w:t>iniziative</w:t>
      </w:r>
      <w:r>
        <w:rPr>
          <w:rFonts w:ascii="Century Gothic" w:hAnsi="Century Gothic"/>
        </w:rPr>
        <w:t xml:space="preserve">. In primo luogo è stato organizzato un gruppo di lavoro sulla contrattazione sociale per la redazione di una piattaforma provinciale. Anche nel 2016 sono state rilevate difficoltà nel siglare intese sui bilanci comunali, l’unico comune con il quale è stato possibile fissare un incontro è stato quello di Montemurlo, ma non è stato poi </w:t>
      </w:r>
      <w:r w:rsidR="0047026A">
        <w:rPr>
          <w:rFonts w:ascii="Century Gothic" w:hAnsi="Century Gothic"/>
        </w:rPr>
        <w:t>steso</w:t>
      </w:r>
      <w:r>
        <w:rPr>
          <w:rFonts w:ascii="Century Gothic" w:hAnsi="Century Gothic"/>
        </w:rPr>
        <w:t xml:space="preserve"> un verbale.</w:t>
      </w:r>
      <w:r w:rsidR="002C4E7C" w:rsidRPr="00D1149C">
        <w:rPr>
          <w:rFonts w:ascii="Century Gothic" w:hAnsi="Century Gothic"/>
        </w:rPr>
        <w:t xml:space="preserve"> </w:t>
      </w:r>
      <w:r w:rsidRPr="00D1149C">
        <w:rPr>
          <w:rFonts w:ascii="Century Gothic" w:hAnsi="Century Gothic"/>
        </w:rPr>
        <w:t>P</w:t>
      </w:r>
      <w:r>
        <w:rPr>
          <w:rFonts w:ascii="Century Gothic" w:hAnsi="Century Gothic"/>
        </w:rPr>
        <w:t xml:space="preserve">er quanto riguarda l’ambito socio-sanitario, </w:t>
      </w:r>
      <w:r w:rsidR="001C6721">
        <w:rPr>
          <w:rFonts w:ascii="Century Gothic" w:hAnsi="Century Gothic"/>
        </w:rPr>
        <w:t>nel corso dell’anno</w:t>
      </w:r>
      <w:r w:rsidR="000760F6">
        <w:rPr>
          <w:rFonts w:ascii="Century Gothic" w:hAnsi="Century Gothic"/>
        </w:rPr>
        <w:t>,</w:t>
      </w:r>
      <w:r w:rsidR="001C6721">
        <w:rPr>
          <w:rFonts w:ascii="Century Gothic" w:hAnsi="Century Gothic"/>
        </w:rPr>
        <w:t xml:space="preserve"> </w:t>
      </w:r>
      <w:r w:rsidR="000760F6">
        <w:rPr>
          <w:rFonts w:ascii="Century Gothic" w:hAnsi="Century Gothic"/>
        </w:rPr>
        <w:t xml:space="preserve">sono state realizzate diverse attività: confronto </w:t>
      </w:r>
      <w:r w:rsidR="001C6721">
        <w:rPr>
          <w:rFonts w:ascii="Century Gothic" w:hAnsi="Century Gothic"/>
        </w:rPr>
        <w:t>con la SDS di Prato sul bilancio di previsione 2016 e sulle convenzioni con comuni dell’area pratese</w:t>
      </w:r>
      <w:r w:rsidR="000760F6">
        <w:rPr>
          <w:rFonts w:ascii="Century Gothic" w:hAnsi="Century Gothic"/>
        </w:rPr>
        <w:t xml:space="preserve">; incontri con </w:t>
      </w:r>
      <w:r w:rsidR="0047026A">
        <w:rPr>
          <w:rFonts w:ascii="Century Gothic" w:hAnsi="Century Gothic"/>
        </w:rPr>
        <w:t xml:space="preserve">i </w:t>
      </w:r>
      <w:r w:rsidR="000760F6">
        <w:rPr>
          <w:rFonts w:ascii="Century Gothic" w:hAnsi="Century Gothic"/>
        </w:rPr>
        <w:t>Direttor</w:t>
      </w:r>
      <w:r w:rsidR="0047026A">
        <w:rPr>
          <w:rFonts w:ascii="Century Gothic" w:hAnsi="Century Gothic"/>
        </w:rPr>
        <w:t>i</w:t>
      </w:r>
      <w:r w:rsidR="000760F6">
        <w:rPr>
          <w:rFonts w:ascii="Century Gothic" w:hAnsi="Century Gothic"/>
        </w:rPr>
        <w:t xml:space="preserve"> d</w:t>
      </w:r>
      <w:r w:rsidR="009B2634">
        <w:rPr>
          <w:rFonts w:ascii="Century Gothic" w:hAnsi="Century Gothic"/>
        </w:rPr>
        <w:t xml:space="preserve">ell’Azienda USL Toscana Centro </w:t>
      </w:r>
      <w:r w:rsidR="000760F6">
        <w:rPr>
          <w:rFonts w:ascii="Century Gothic" w:hAnsi="Century Gothic"/>
        </w:rPr>
        <w:t>e</w:t>
      </w:r>
      <w:r w:rsidR="0047026A">
        <w:rPr>
          <w:rFonts w:ascii="Century Gothic" w:hAnsi="Century Gothic"/>
        </w:rPr>
        <w:t xml:space="preserve"> </w:t>
      </w:r>
      <w:r w:rsidR="000760F6">
        <w:rPr>
          <w:rFonts w:ascii="Century Gothic" w:hAnsi="Century Gothic"/>
        </w:rPr>
        <w:t>della SDS di Prato per la trasformazione della RSA pubblica di Narnali in struttura per cure intermedie; incontr</w:t>
      </w:r>
      <w:r w:rsidR="0047026A">
        <w:rPr>
          <w:rFonts w:ascii="Century Gothic" w:hAnsi="Century Gothic"/>
        </w:rPr>
        <w:t>i</w:t>
      </w:r>
      <w:r w:rsidR="000760F6">
        <w:rPr>
          <w:rFonts w:ascii="Century Gothic" w:hAnsi="Century Gothic"/>
        </w:rPr>
        <w:t xml:space="preserve"> da parte della FP CGIL, </w:t>
      </w:r>
      <w:r w:rsidR="0047026A">
        <w:rPr>
          <w:rFonts w:ascii="Century Gothic" w:hAnsi="Century Gothic"/>
        </w:rPr>
        <w:t xml:space="preserve">in Commissione Consiliare del Comune di Prato, sia </w:t>
      </w:r>
      <w:r w:rsidR="000760F6">
        <w:rPr>
          <w:rFonts w:ascii="Century Gothic" w:hAnsi="Century Gothic"/>
        </w:rPr>
        <w:t xml:space="preserve">per evidenziare le difficoltà che soffre il territorio pratese nell’inclusione </w:t>
      </w:r>
      <w:r w:rsidR="006B0351">
        <w:rPr>
          <w:rFonts w:ascii="Century Gothic" w:hAnsi="Century Gothic"/>
        </w:rPr>
        <w:t xml:space="preserve">dell’ex ASL 4 </w:t>
      </w:r>
      <w:r w:rsidR="007F392F">
        <w:rPr>
          <w:rFonts w:ascii="Century Gothic" w:hAnsi="Century Gothic"/>
        </w:rPr>
        <w:t>nell’</w:t>
      </w:r>
      <w:r w:rsidR="006B0351">
        <w:rPr>
          <w:rFonts w:ascii="Century Gothic" w:hAnsi="Century Gothic"/>
        </w:rPr>
        <w:t xml:space="preserve">Area Vasta Toscana Centro; </w:t>
      </w:r>
      <w:r w:rsidR="0047026A">
        <w:rPr>
          <w:rFonts w:ascii="Century Gothic" w:hAnsi="Century Gothic"/>
        </w:rPr>
        <w:t xml:space="preserve">sia per </w:t>
      </w:r>
      <w:r w:rsidR="006B0351">
        <w:rPr>
          <w:rFonts w:ascii="Century Gothic" w:hAnsi="Century Gothic"/>
        </w:rPr>
        <w:t>presenta</w:t>
      </w:r>
      <w:r w:rsidR="0047026A">
        <w:rPr>
          <w:rFonts w:ascii="Century Gothic" w:hAnsi="Century Gothic"/>
        </w:rPr>
        <w:t>re</w:t>
      </w:r>
      <w:r w:rsidR="006B0351">
        <w:rPr>
          <w:rFonts w:ascii="Century Gothic" w:hAnsi="Century Gothic"/>
        </w:rPr>
        <w:t xml:space="preserve"> </w:t>
      </w:r>
      <w:r w:rsidR="0047026A">
        <w:rPr>
          <w:rFonts w:ascii="Century Gothic" w:hAnsi="Century Gothic"/>
        </w:rPr>
        <w:t>la</w:t>
      </w:r>
      <w:r w:rsidR="006B0351">
        <w:rPr>
          <w:rFonts w:ascii="Century Gothic" w:hAnsi="Century Gothic"/>
        </w:rPr>
        <w:t xml:space="preserve"> pr</w:t>
      </w:r>
      <w:r w:rsidR="008A16BD">
        <w:rPr>
          <w:rFonts w:ascii="Century Gothic" w:hAnsi="Century Gothic"/>
        </w:rPr>
        <w:t>opria piattaforma sulla sanità.</w:t>
      </w:r>
    </w:p>
    <w:p w:rsidR="00D1149C" w:rsidRDefault="00D1149C" w:rsidP="00B56CDD">
      <w:pPr>
        <w:jc w:val="both"/>
        <w:rPr>
          <w:rFonts w:ascii="Century Gothic" w:hAnsi="Century Gothic"/>
          <w:highlight w:val="yellow"/>
        </w:rPr>
      </w:pPr>
    </w:p>
    <w:p w:rsidR="00CE5A7F" w:rsidRDefault="005D5B11" w:rsidP="00B56CDD">
      <w:pPr>
        <w:jc w:val="both"/>
        <w:rPr>
          <w:rFonts w:ascii="Century Gothic" w:hAnsi="Century Gothic"/>
        </w:rPr>
      </w:pPr>
      <w:r w:rsidRPr="005D5B11">
        <w:rPr>
          <w:rFonts w:ascii="Century Gothic" w:hAnsi="Century Gothic"/>
        </w:rPr>
        <w:t>Nel 2016 la</w:t>
      </w:r>
      <w:r>
        <w:rPr>
          <w:rFonts w:ascii="Century Gothic" w:hAnsi="Century Gothic"/>
          <w:b/>
          <w:i/>
        </w:rPr>
        <w:t xml:space="preserve"> </w:t>
      </w:r>
      <w:r w:rsidR="00BB42C6" w:rsidRPr="008F4138">
        <w:rPr>
          <w:rFonts w:ascii="Century Gothic" w:hAnsi="Century Gothic"/>
          <w:b/>
          <w:i/>
        </w:rPr>
        <w:t>provincia di Siena</w:t>
      </w:r>
      <w:r w:rsidR="00BB42C6" w:rsidRPr="00FB7894">
        <w:rPr>
          <w:rFonts w:ascii="Century Gothic" w:hAnsi="Century Gothic"/>
          <w:b/>
          <w:i/>
        </w:rPr>
        <w:t xml:space="preserve"> </w:t>
      </w:r>
      <w:r w:rsidRPr="005D5B11">
        <w:rPr>
          <w:rFonts w:ascii="Century Gothic" w:hAnsi="Century Gothic"/>
        </w:rPr>
        <w:t>si</w:t>
      </w:r>
      <w:r>
        <w:rPr>
          <w:rFonts w:ascii="Century Gothic" w:hAnsi="Century Gothic"/>
          <w:b/>
          <w:i/>
        </w:rPr>
        <w:t xml:space="preserve"> </w:t>
      </w:r>
      <w:r w:rsidRPr="005D5B11">
        <w:rPr>
          <w:rFonts w:ascii="Century Gothic" w:hAnsi="Century Gothic"/>
        </w:rPr>
        <w:t>confer</w:t>
      </w:r>
      <w:r>
        <w:rPr>
          <w:rFonts w:ascii="Century Gothic" w:hAnsi="Century Gothic"/>
        </w:rPr>
        <w:t>ma come un territorio in cui è radicata la contrattazione sociale.</w:t>
      </w:r>
      <w:r w:rsidR="006E1A0E">
        <w:rPr>
          <w:rFonts w:ascii="Century Gothic" w:hAnsi="Century Gothic"/>
        </w:rPr>
        <w:t xml:space="preserve"> In controtendenza con l’andamento decrescente rispetto al 2015 registrato nella regione, questa provincia riesce ad aumentare il numero dei comuni oggetto di contrattazione sociale, passando da 14 a 17. Riesce così a coprire quasi la metà dei comuni (47%) e due terzi della popolazione (67%), grazie anche alla presenza del comune capoluogo. Nel 2015 nel comune di Siena era stato sottoscritto solo un </w:t>
      </w:r>
      <w:r w:rsidR="006E1A0E" w:rsidRPr="00CE5A7F">
        <w:rPr>
          <w:rFonts w:ascii="Century Gothic" w:hAnsi="Century Gothic"/>
        </w:rPr>
        <w:t>accordo specifico sulle quote di compartecipazione ai servizi scolastici per l’anno scolastico 2015-2016</w:t>
      </w:r>
      <w:r w:rsidR="006E1A0E">
        <w:rPr>
          <w:rFonts w:ascii="Century Gothic" w:hAnsi="Century Gothic"/>
        </w:rPr>
        <w:t xml:space="preserve">. Nel 2016 è stato possibile siglare un accordo complessivo sul bilancio sulla base </w:t>
      </w:r>
      <w:r w:rsidR="0055536F">
        <w:rPr>
          <w:rFonts w:ascii="Century Gothic" w:hAnsi="Century Gothic"/>
        </w:rPr>
        <w:t xml:space="preserve">della bozza di protocollo di intesa, elaborata dalla delegazione sindacale come modello per la contrattazione con i comuni della provincia. Dato che negli altri comuni, </w:t>
      </w:r>
      <w:r w:rsidR="0055536F" w:rsidRPr="009B2634">
        <w:rPr>
          <w:rFonts w:ascii="Century Gothic" w:hAnsi="Century Gothic"/>
        </w:rPr>
        <w:t>generalmente</w:t>
      </w:r>
      <w:r w:rsidR="0055536F">
        <w:rPr>
          <w:rFonts w:ascii="Century Gothic" w:hAnsi="Century Gothic"/>
        </w:rPr>
        <w:t xml:space="preserve">, si verifica continuità, nel corso degli anni, nel processo di negoziazione sociale, sono stati ripresi i modelli degli anni precedenti, che, </w:t>
      </w:r>
      <w:r w:rsidR="0055536F" w:rsidRPr="008A16BD">
        <w:rPr>
          <w:rFonts w:ascii="Century Gothic" w:hAnsi="Century Gothic"/>
        </w:rPr>
        <w:t>per lo</w:t>
      </w:r>
      <w:r w:rsidR="009B2634" w:rsidRPr="008A16BD">
        <w:rPr>
          <w:rFonts w:ascii="Century Gothic" w:hAnsi="Century Gothic"/>
        </w:rPr>
        <w:t xml:space="preserve"> più</w:t>
      </w:r>
      <w:r w:rsidR="0055536F">
        <w:rPr>
          <w:rFonts w:ascii="Century Gothic" w:hAnsi="Century Gothic"/>
        </w:rPr>
        <w:t>, hanno una buona articolazione, affrontando varie tematiche. In particolare si segnala la continuazione</w:t>
      </w:r>
      <w:r w:rsidR="00E7685F">
        <w:rPr>
          <w:rFonts w:ascii="Century Gothic" w:hAnsi="Century Gothic"/>
        </w:rPr>
        <w:t xml:space="preserve">, in alcuni comuni, di investimenti in opere pubbliche programmati nel 2015 che si estendono ad anni successivi. </w:t>
      </w:r>
    </w:p>
    <w:p w:rsidR="000B2D6E" w:rsidRDefault="000B2D6E">
      <w:pPr>
        <w:rPr>
          <w:rFonts w:ascii="Century Gothic" w:hAnsi="Century Gothic"/>
        </w:rPr>
      </w:pPr>
      <w:r>
        <w:rPr>
          <w:rFonts w:ascii="Century Gothic" w:hAnsi="Century Gothic"/>
        </w:rPr>
        <w:br w:type="page"/>
      </w:r>
    </w:p>
    <w:p w:rsidR="00D82120" w:rsidRPr="00573C1E" w:rsidRDefault="00D82120" w:rsidP="00D82120">
      <w:pPr>
        <w:jc w:val="both"/>
        <w:rPr>
          <w:rFonts w:ascii="Century Gothic" w:hAnsi="Century Gothic"/>
          <w:b/>
          <w:sz w:val="28"/>
          <w:szCs w:val="28"/>
        </w:rPr>
      </w:pPr>
      <w:r w:rsidRPr="00573C1E">
        <w:rPr>
          <w:rFonts w:ascii="Century Gothic" w:hAnsi="Century Gothic"/>
          <w:b/>
          <w:sz w:val="28"/>
          <w:szCs w:val="28"/>
        </w:rPr>
        <w:t>4. L’ANALISI DELLE AREE TEMATICHE NEGOZIALI</w:t>
      </w:r>
    </w:p>
    <w:p w:rsidR="00D82120" w:rsidRDefault="00D82120" w:rsidP="00D82120">
      <w:pPr>
        <w:jc w:val="both"/>
        <w:rPr>
          <w:rFonts w:ascii="Century Gothic" w:hAnsi="Century Gothic"/>
          <w:b/>
        </w:rPr>
      </w:pPr>
    </w:p>
    <w:p w:rsidR="00D82120" w:rsidRDefault="00D82120" w:rsidP="00D82120">
      <w:pPr>
        <w:jc w:val="both"/>
        <w:rPr>
          <w:rFonts w:ascii="Century Gothic" w:hAnsi="Century Gothic"/>
          <w:b/>
        </w:rPr>
      </w:pPr>
      <w:r>
        <w:rPr>
          <w:rFonts w:ascii="Century Gothic" w:hAnsi="Century Gothic"/>
          <w:b/>
        </w:rPr>
        <w:t xml:space="preserve">4.1. </w:t>
      </w:r>
      <w:r w:rsidRPr="00E67C0D">
        <w:rPr>
          <w:rFonts w:ascii="Century Gothic" w:hAnsi="Century Gothic"/>
          <w:b/>
        </w:rPr>
        <w:t>Gli argomenti oggetto di contrattazione</w:t>
      </w:r>
    </w:p>
    <w:p w:rsidR="00D82120" w:rsidRPr="000221D4" w:rsidRDefault="00D82120" w:rsidP="00D82120">
      <w:pPr>
        <w:jc w:val="both"/>
        <w:rPr>
          <w:rFonts w:ascii="Century Gothic" w:hAnsi="Century Gothic"/>
          <w:b/>
        </w:rPr>
      </w:pPr>
    </w:p>
    <w:p w:rsidR="00CE5A1E" w:rsidRDefault="00D82120" w:rsidP="00D82120">
      <w:pPr>
        <w:jc w:val="both"/>
        <w:rPr>
          <w:rFonts w:ascii="Century Gothic" w:hAnsi="Century Gothic"/>
        </w:rPr>
      </w:pPr>
      <w:r>
        <w:rPr>
          <w:rFonts w:ascii="Century Gothic" w:hAnsi="Century Gothic"/>
        </w:rPr>
        <w:t>In questo capitolo viene presentata una panoramica dei principali argomenti trattati ne</w:t>
      </w:r>
      <w:r w:rsidR="00F76B88">
        <w:rPr>
          <w:rFonts w:ascii="Century Gothic" w:hAnsi="Century Gothic"/>
        </w:rPr>
        <w:t>gli</w:t>
      </w:r>
      <w:r>
        <w:rPr>
          <w:rFonts w:ascii="Century Gothic" w:hAnsi="Century Gothic"/>
        </w:rPr>
        <w:t xml:space="preserve"> </w:t>
      </w:r>
      <w:r w:rsidR="00F76B88">
        <w:rPr>
          <w:rFonts w:ascii="Century Gothic" w:hAnsi="Century Gothic"/>
        </w:rPr>
        <w:t>accordi</w:t>
      </w:r>
      <w:r>
        <w:rPr>
          <w:rFonts w:ascii="Century Gothic" w:hAnsi="Century Gothic"/>
        </w:rPr>
        <w:t xml:space="preserve"> stipulat</w:t>
      </w:r>
      <w:r w:rsidR="00F76B88">
        <w:rPr>
          <w:rFonts w:ascii="Century Gothic" w:hAnsi="Century Gothic"/>
        </w:rPr>
        <w:t>i</w:t>
      </w:r>
      <w:r>
        <w:rPr>
          <w:rFonts w:ascii="Century Gothic" w:hAnsi="Century Gothic"/>
        </w:rPr>
        <w:t xml:space="preserve"> con le amministrazioni comunali nel corso del 201</w:t>
      </w:r>
      <w:r w:rsidR="000E0769">
        <w:rPr>
          <w:rFonts w:ascii="Century Gothic" w:hAnsi="Century Gothic"/>
        </w:rPr>
        <w:t>6</w:t>
      </w:r>
      <w:r w:rsidR="009F79DE">
        <w:rPr>
          <w:rFonts w:ascii="Century Gothic" w:hAnsi="Century Gothic"/>
        </w:rPr>
        <w:t xml:space="preserve">, </w:t>
      </w:r>
      <w:r w:rsidR="00CE5A1E">
        <w:rPr>
          <w:rFonts w:ascii="Century Gothic" w:hAnsi="Century Gothic"/>
        </w:rPr>
        <w:t xml:space="preserve">prendendo come riferimento le aree negoziali e le </w:t>
      </w:r>
      <w:r w:rsidR="00CE5A1E" w:rsidRPr="00982B3E">
        <w:rPr>
          <w:rFonts w:ascii="Century Gothic" w:hAnsi="Century Gothic"/>
        </w:rPr>
        <w:t>voci tematiche dell’albero logico adottato a livello nazionale, uno schema strutturato su più livelli relativi ai contenuti del processo negoziale</w:t>
      </w:r>
      <w:r w:rsidR="00CE5A1E">
        <w:rPr>
          <w:rFonts w:ascii="Century Gothic" w:hAnsi="Century Gothic"/>
        </w:rPr>
        <w:t>.</w:t>
      </w:r>
    </w:p>
    <w:p w:rsidR="00CE5A1E" w:rsidRDefault="00CE5A1E" w:rsidP="00CE5A1E">
      <w:pPr>
        <w:jc w:val="both"/>
        <w:rPr>
          <w:rFonts w:ascii="Century Gothic" w:hAnsi="Century Gothic"/>
        </w:rPr>
      </w:pPr>
      <w:r>
        <w:rPr>
          <w:rFonts w:ascii="Century Gothic" w:hAnsi="Century Gothic"/>
        </w:rPr>
        <w:t>Come si vede dalla tabella seguente, per le 11 aree tematiche negoziali è stata conteggiata la numerosità delle intese concordate nel 201</w:t>
      </w:r>
      <w:r w:rsidR="000E0769">
        <w:rPr>
          <w:rFonts w:ascii="Century Gothic" w:hAnsi="Century Gothic"/>
        </w:rPr>
        <w:t>6</w:t>
      </w:r>
      <w:r>
        <w:rPr>
          <w:rFonts w:ascii="Century Gothic" w:hAnsi="Century Gothic"/>
        </w:rPr>
        <w:t xml:space="preserve"> che le citassero almeno una volta.</w:t>
      </w:r>
    </w:p>
    <w:p w:rsidR="00B12B83" w:rsidRDefault="00B12B83" w:rsidP="00B12B83">
      <w:pPr>
        <w:rPr>
          <w:rFonts w:ascii="Century Gothic" w:hAnsi="Century Gothic"/>
          <w:b/>
        </w:rPr>
      </w:pPr>
      <w:r>
        <w:rPr>
          <w:rFonts w:ascii="Century Gothic" w:hAnsi="Century Gothic"/>
          <w:b/>
        </w:rPr>
        <w:t>Tab</w:t>
      </w:r>
      <w:r w:rsidRPr="0035601B">
        <w:rPr>
          <w:rFonts w:ascii="Century Gothic" w:hAnsi="Century Gothic"/>
          <w:b/>
        </w:rPr>
        <w:t xml:space="preserve">. n. </w:t>
      </w:r>
      <w:r>
        <w:rPr>
          <w:rFonts w:ascii="Century Gothic" w:hAnsi="Century Gothic"/>
          <w:b/>
        </w:rPr>
        <w:t xml:space="preserve">9 </w:t>
      </w:r>
      <w:r w:rsidRPr="0035601B">
        <w:rPr>
          <w:rFonts w:ascii="Century Gothic" w:hAnsi="Century Gothic"/>
          <w:b/>
        </w:rPr>
        <w:t xml:space="preserve">- </w:t>
      </w:r>
      <w:r>
        <w:rPr>
          <w:rFonts w:ascii="Century Gothic" w:hAnsi="Century Gothic"/>
          <w:b/>
        </w:rPr>
        <w:t>Percentuale dell</w:t>
      </w:r>
      <w:r w:rsidRPr="008B1E01">
        <w:rPr>
          <w:rFonts w:ascii="Century Gothic" w:hAnsi="Century Gothic"/>
          <w:b/>
        </w:rPr>
        <w:t xml:space="preserve">e aree tematiche </w:t>
      </w:r>
      <w:r>
        <w:rPr>
          <w:rFonts w:ascii="Century Gothic" w:hAnsi="Century Gothic"/>
          <w:b/>
        </w:rPr>
        <w:t xml:space="preserve">negoziali </w:t>
      </w:r>
      <w:r w:rsidRPr="008B1E01">
        <w:rPr>
          <w:rFonts w:ascii="Century Gothic" w:hAnsi="Century Gothic"/>
          <w:b/>
        </w:rPr>
        <w:t>di primo livello</w:t>
      </w:r>
      <w:r>
        <w:rPr>
          <w:rFonts w:ascii="Century Gothic" w:hAnsi="Century Gothic"/>
          <w:b/>
        </w:rPr>
        <w:t xml:space="preserve"> sul totale degli accordi</w:t>
      </w:r>
    </w:p>
    <w:p w:rsidR="00CE5A1E" w:rsidRDefault="00CE5A1E" w:rsidP="00D82120">
      <w:pPr>
        <w:jc w:val="both"/>
        <w:rPr>
          <w:rFonts w:ascii="Century Gothic" w:hAnsi="Century Gothic"/>
        </w:rPr>
      </w:pPr>
    </w:p>
    <w:tbl>
      <w:tblPr>
        <w:tblW w:w="8377" w:type="dxa"/>
        <w:tblInd w:w="57" w:type="dxa"/>
        <w:tblCellMar>
          <w:left w:w="70" w:type="dxa"/>
          <w:right w:w="70" w:type="dxa"/>
        </w:tblCellMar>
        <w:tblLook w:val="04A0" w:firstRow="1" w:lastRow="0" w:firstColumn="1" w:lastColumn="0" w:noHBand="0" w:noVBand="1"/>
      </w:tblPr>
      <w:tblGrid>
        <w:gridCol w:w="960"/>
        <w:gridCol w:w="6440"/>
        <w:gridCol w:w="977"/>
      </w:tblGrid>
      <w:tr w:rsidR="00CE5A1E" w:rsidRPr="00CE5A1E" w:rsidTr="0010540F">
        <w:trPr>
          <w:trHeight w:val="600"/>
        </w:trPr>
        <w:tc>
          <w:tcPr>
            <w:tcW w:w="7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A1E" w:rsidRPr="00CE5A1E" w:rsidRDefault="00CE5A1E"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Aree tematiche negoziali</w:t>
            </w:r>
          </w:p>
        </w:tc>
        <w:tc>
          <w:tcPr>
            <w:tcW w:w="977" w:type="dxa"/>
            <w:tcBorders>
              <w:top w:val="single" w:sz="4" w:space="0" w:color="auto"/>
              <w:left w:val="nil"/>
              <w:bottom w:val="single" w:sz="4" w:space="0" w:color="auto"/>
              <w:right w:val="single" w:sz="4" w:space="0" w:color="auto"/>
            </w:tcBorders>
            <w:shd w:val="clear" w:color="auto" w:fill="auto"/>
            <w:hideMark/>
          </w:tcPr>
          <w:p w:rsidR="00CE5A1E" w:rsidRPr="00CE5A1E" w:rsidRDefault="00CE5A1E"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 % sugli accordi totali</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01.</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Relazioni tra le parti e definizione del processo </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041C56">
            <w:pPr>
              <w:jc w:val="right"/>
              <w:rPr>
                <w:rFonts w:ascii="Century Gothic" w:hAnsi="Century Gothic" w:cs="Calibri"/>
                <w:b/>
                <w:bCs/>
                <w:color w:val="000000"/>
              </w:rPr>
            </w:pPr>
            <w:r>
              <w:rPr>
                <w:rFonts w:ascii="Century Gothic" w:hAnsi="Century Gothic" w:cs="Calibri"/>
                <w:b/>
                <w:bCs/>
                <w:color w:val="000000"/>
              </w:rPr>
              <w:t>80</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02.</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e strumenti della partecipazione attiva</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8658E9">
            <w:pPr>
              <w:jc w:val="right"/>
              <w:rPr>
                <w:rFonts w:ascii="Century Gothic" w:hAnsi="Century Gothic" w:cs="Calibri"/>
                <w:b/>
                <w:bCs/>
                <w:color w:val="000000"/>
              </w:rPr>
            </w:pPr>
            <w:r>
              <w:rPr>
                <w:rFonts w:ascii="Century Gothic" w:hAnsi="Century Gothic" w:cs="Calibri"/>
                <w:b/>
                <w:bCs/>
                <w:color w:val="000000"/>
              </w:rPr>
              <w:t>35</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03.</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Pubblica amministrazione</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1D266A">
            <w:pPr>
              <w:jc w:val="right"/>
              <w:rPr>
                <w:rFonts w:ascii="Century Gothic" w:hAnsi="Century Gothic" w:cs="Calibri"/>
                <w:b/>
                <w:bCs/>
                <w:color w:val="000000"/>
              </w:rPr>
            </w:pPr>
            <w:r>
              <w:rPr>
                <w:rFonts w:ascii="Century Gothic" w:hAnsi="Century Gothic" w:cs="Calibri"/>
                <w:b/>
                <w:bCs/>
                <w:color w:val="000000"/>
              </w:rPr>
              <w:t>67</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04.</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Politiche di bilancio </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8A16BD">
            <w:pPr>
              <w:jc w:val="right"/>
              <w:rPr>
                <w:rFonts w:ascii="Century Gothic" w:hAnsi="Century Gothic" w:cs="Calibri"/>
                <w:b/>
                <w:bCs/>
                <w:color w:val="000000"/>
              </w:rPr>
            </w:pPr>
            <w:r>
              <w:rPr>
                <w:rFonts w:ascii="Century Gothic" w:hAnsi="Century Gothic" w:cs="Calibri"/>
                <w:b/>
                <w:bCs/>
                <w:color w:val="000000"/>
              </w:rPr>
              <w:t>73</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05.</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 xml:space="preserve">Politiche socio-sanitarie ed assistenziali </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1D266A">
            <w:pPr>
              <w:jc w:val="right"/>
              <w:rPr>
                <w:rFonts w:ascii="Century Gothic" w:hAnsi="Century Gothic" w:cs="Calibri"/>
                <w:b/>
                <w:bCs/>
                <w:color w:val="000000"/>
              </w:rPr>
            </w:pPr>
            <w:r>
              <w:rPr>
                <w:rFonts w:ascii="Century Gothic" w:hAnsi="Century Gothic" w:cs="Calibri"/>
                <w:b/>
                <w:bCs/>
                <w:color w:val="000000"/>
              </w:rPr>
              <w:t>80</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06.</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del lavoro e dello sviluppo</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8F7DAD" w:rsidP="001D266A">
            <w:pPr>
              <w:jc w:val="right"/>
              <w:rPr>
                <w:rFonts w:ascii="Century Gothic" w:hAnsi="Century Gothic" w:cs="Calibri"/>
                <w:b/>
                <w:bCs/>
                <w:color w:val="000000"/>
              </w:rPr>
            </w:pPr>
            <w:r>
              <w:rPr>
                <w:rFonts w:ascii="Century Gothic" w:hAnsi="Century Gothic" w:cs="Calibri"/>
                <w:b/>
                <w:bCs/>
                <w:color w:val="000000"/>
              </w:rPr>
              <w:t>4</w:t>
            </w:r>
            <w:r w:rsidR="001D266A">
              <w:rPr>
                <w:rFonts w:ascii="Century Gothic" w:hAnsi="Century Gothic" w:cs="Calibri"/>
                <w:b/>
                <w:bCs/>
                <w:color w:val="000000"/>
              </w:rPr>
              <w:t>5</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07.</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Politica locale dei redditi e delle entrate</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10540F" w:rsidP="000E0769">
            <w:pPr>
              <w:jc w:val="right"/>
              <w:rPr>
                <w:rFonts w:ascii="Century Gothic" w:hAnsi="Century Gothic" w:cs="Calibri"/>
                <w:b/>
                <w:bCs/>
                <w:color w:val="000000"/>
              </w:rPr>
            </w:pPr>
            <w:r>
              <w:rPr>
                <w:rFonts w:ascii="Century Gothic" w:hAnsi="Century Gothic" w:cs="Calibri"/>
                <w:b/>
                <w:bCs/>
                <w:color w:val="000000"/>
              </w:rPr>
              <w:t>9</w:t>
            </w:r>
            <w:r w:rsidR="000E0769">
              <w:rPr>
                <w:rFonts w:ascii="Century Gothic" w:hAnsi="Century Gothic" w:cs="Calibri"/>
                <w:b/>
                <w:bCs/>
                <w:color w:val="000000"/>
              </w:rPr>
              <w:t>6</w:t>
            </w:r>
            <w:r>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08.</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Azioni di contrasto delle discriminazioni e pari opportunità</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8658E9">
            <w:pPr>
              <w:jc w:val="right"/>
              <w:rPr>
                <w:rFonts w:ascii="Century Gothic" w:hAnsi="Century Gothic" w:cs="Calibri"/>
                <w:b/>
                <w:bCs/>
                <w:color w:val="000000"/>
              </w:rPr>
            </w:pPr>
            <w:r>
              <w:rPr>
                <w:rFonts w:ascii="Century Gothic" w:hAnsi="Century Gothic" w:cs="Calibri"/>
                <w:b/>
                <w:bCs/>
                <w:color w:val="000000"/>
              </w:rPr>
              <w:t>24</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09.</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per la casa e condizione abitativa</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0A57F8">
            <w:pPr>
              <w:jc w:val="right"/>
              <w:rPr>
                <w:rFonts w:ascii="Century Gothic" w:hAnsi="Century Gothic" w:cs="Calibri"/>
                <w:b/>
                <w:bCs/>
                <w:color w:val="000000"/>
              </w:rPr>
            </w:pPr>
            <w:r>
              <w:rPr>
                <w:rFonts w:ascii="Century Gothic" w:hAnsi="Century Gothic" w:cs="Calibri"/>
                <w:b/>
                <w:bCs/>
                <w:color w:val="000000"/>
              </w:rPr>
              <w:t>73</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10.</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dell’infanzia, giovani, educative e dell’istruzione</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13302A">
            <w:pPr>
              <w:jc w:val="right"/>
              <w:rPr>
                <w:rFonts w:ascii="Century Gothic" w:hAnsi="Century Gothic" w:cs="Calibri"/>
                <w:b/>
                <w:bCs/>
                <w:color w:val="000000"/>
              </w:rPr>
            </w:pPr>
            <w:r>
              <w:rPr>
                <w:rFonts w:ascii="Century Gothic" w:hAnsi="Century Gothic" w:cs="Calibri"/>
                <w:b/>
                <w:bCs/>
                <w:color w:val="000000"/>
              </w:rPr>
              <w:t>73</w:t>
            </w:r>
            <w:r w:rsidR="0010540F">
              <w:rPr>
                <w:rFonts w:ascii="Century Gothic" w:hAnsi="Century Gothic" w:cs="Calibri"/>
                <w:b/>
                <w:bCs/>
                <w:color w:val="000000"/>
              </w:rPr>
              <w:t>%</w:t>
            </w:r>
          </w:p>
        </w:tc>
      </w:tr>
      <w:tr w:rsidR="0010540F" w:rsidRPr="00CE5A1E" w:rsidTr="0010540F">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0540F" w:rsidRPr="00CE5A1E" w:rsidRDefault="0010540F" w:rsidP="00CE5A1E">
            <w:pPr>
              <w:spacing w:line="240" w:lineRule="auto"/>
              <w:jc w:val="center"/>
              <w:rPr>
                <w:rFonts w:ascii="Century Gothic" w:hAnsi="Century Gothic"/>
                <w:b/>
                <w:bCs/>
                <w:color w:val="000000"/>
                <w:lang w:eastAsia="it-IT"/>
              </w:rPr>
            </w:pPr>
            <w:r w:rsidRPr="00CE5A1E">
              <w:rPr>
                <w:rFonts w:ascii="Century Gothic" w:hAnsi="Century Gothic"/>
                <w:b/>
                <w:bCs/>
                <w:color w:val="000000"/>
                <w:lang w:eastAsia="it-IT"/>
              </w:rPr>
              <w:t>11.</w:t>
            </w:r>
          </w:p>
        </w:tc>
        <w:tc>
          <w:tcPr>
            <w:tcW w:w="6440" w:type="dxa"/>
            <w:tcBorders>
              <w:top w:val="nil"/>
              <w:left w:val="nil"/>
              <w:bottom w:val="single" w:sz="4" w:space="0" w:color="auto"/>
              <w:right w:val="single" w:sz="4" w:space="0" w:color="auto"/>
            </w:tcBorders>
            <w:shd w:val="clear" w:color="auto" w:fill="auto"/>
            <w:hideMark/>
          </w:tcPr>
          <w:p w:rsidR="0010540F" w:rsidRPr="00CE5A1E" w:rsidRDefault="0010540F" w:rsidP="00CE5A1E">
            <w:pPr>
              <w:spacing w:line="240" w:lineRule="auto"/>
              <w:rPr>
                <w:rFonts w:ascii="Century Gothic" w:hAnsi="Century Gothic"/>
                <w:b/>
                <w:bCs/>
                <w:color w:val="000000"/>
                <w:lang w:eastAsia="it-IT"/>
              </w:rPr>
            </w:pPr>
            <w:r w:rsidRPr="00CE5A1E">
              <w:rPr>
                <w:rFonts w:ascii="Century Gothic" w:hAnsi="Century Gothic"/>
                <w:b/>
                <w:bCs/>
                <w:color w:val="000000"/>
                <w:lang w:eastAsia="it-IT"/>
              </w:rPr>
              <w:t>Politiche culturali, di socializzazione e sicurezza</w:t>
            </w:r>
          </w:p>
        </w:tc>
        <w:tc>
          <w:tcPr>
            <w:tcW w:w="977" w:type="dxa"/>
            <w:tcBorders>
              <w:top w:val="nil"/>
              <w:left w:val="nil"/>
              <w:bottom w:val="single" w:sz="4" w:space="0" w:color="auto"/>
              <w:right w:val="single" w:sz="4" w:space="0" w:color="auto"/>
            </w:tcBorders>
            <w:shd w:val="clear" w:color="auto" w:fill="auto"/>
            <w:noWrap/>
            <w:vAlign w:val="bottom"/>
            <w:hideMark/>
          </w:tcPr>
          <w:p w:rsidR="0010540F" w:rsidRDefault="00680B10">
            <w:pPr>
              <w:jc w:val="right"/>
              <w:rPr>
                <w:rFonts w:ascii="Century Gothic" w:hAnsi="Century Gothic" w:cs="Calibri"/>
                <w:b/>
                <w:bCs/>
                <w:color w:val="000000"/>
              </w:rPr>
            </w:pPr>
            <w:r>
              <w:rPr>
                <w:rFonts w:ascii="Century Gothic" w:hAnsi="Century Gothic" w:cs="Calibri"/>
                <w:b/>
                <w:bCs/>
                <w:color w:val="000000"/>
              </w:rPr>
              <w:t>31</w:t>
            </w:r>
            <w:r w:rsidR="0010540F">
              <w:rPr>
                <w:rFonts w:ascii="Century Gothic" w:hAnsi="Century Gothic" w:cs="Calibri"/>
                <w:b/>
                <w:bCs/>
                <w:color w:val="000000"/>
              </w:rPr>
              <w:t>%</w:t>
            </w:r>
          </w:p>
        </w:tc>
      </w:tr>
    </w:tbl>
    <w:p w:rsidR="00806AA8" w:rsidRDefault="00806AA8" w:rsidP="008231A2">
      <w:pPr>
        <w:jc w:val="both"/>
        <w:rPr>
          <w:rFonts w:ascii="Century Gothic" w:hAnsi="Century Gothic"/>
        </w:rPr>
      </w:pPr>
    </w:p>
    <w:p w:rsidR="00757B74" w:rsidRDefault="00757B74" w:rsidP="008231A2">
      <w:pPr>
        <w:jc w:val="both"/>
        <w:rPr>
          <w:rFonts w:ascii="Century Gothic" w:hAnsi="Century Gothic"/>
        </w:rPr>
      </w:pPr>
      <w:r>
        <w:rPr>
          <w:rFonts w:ascii="Century Gothic" w:hAnsi="Century Gothic"/>
        </w:rPr>
        <w:t xml:space="preserve">La prima </w:t>
      </w:r>
      <w:r w:rsidR="00806AA8">
        <w:rPr>
          <w:rFonts w:ascii="Century Gothic" w:hAnsi="Century Gothic"/>
        </w:rPr>
        <w:t>area</w:t>
      </w:r>
      <w:r>
        <w:rPr>
          <w:rFonts w:ascii="Century Gothic" w:hAnsi="Century Gothic"/>
        </w:rPr>
        <w:t>, quella</w:t>
      </w:r>
      <w:r w:rsidR="00806AA8">
        <w:rPr>
          <w:rFonts w:ascii="Century Gothic" w:hAnsi="Century Gothic"/>
        </w:rPr>
        <w:t xml:space="preserve"> </w:t>
      </w:r>
      <w:r>
        <w:rPr>
          <w:rFonts w:ascii="Century Gothic" w:hAnsi="Century Gothic"/>
        </w:rPr>
        <w:t>concernente l</w:t>
      </w:r>
      <w:r w:rsidR="00806AA8">
        <w:rPr>
          <w:rFonts w:ascii="Century Gothic" w:hAnsi="Century Gothic"/>
        </w:rPr>
        <w:t xml:space="preserve">a relazione tra le parti e </w:t>
      </w:r>
      <w:r>
        <w:rPr>
          <w:rFonts w:ascii="Century Gothic" w:hAnsi="Century Gothic"/>
        </w:rPr>
        <w:t xml:space="preserve">la </w:t>
      </w:r>
      <w:r w:rsidR="00806AA8">
        <w:rPr>
          <w:rFonts w:ascii="Century Gothic" w:hAnsi="Century Gothic"/>
        </w:rPr>
        <w:t>definizione del processo</w:t>
      </w:r>
      <w:r>
        <w:rPr>
          <w:rFonts w:ascii="Century Gothic" w:hAnsi="Century Gothic"/>
        </w:rPr>
        <w:t>, compare</w:t>
      </w:r>
      <w:r w:rsidR="00806AA8">
        <w:rPr>
          <w:rFonts w:ascii="Century Gothic" w:hAnsi="Century Gothic"/>
        </w:rPr>
        <w:t xml:space="preserve"> in una parte rilevante degli accordi (80%) e</w:t>
      </w:r>
      <w:r>
        <w:rPr>
          <w:rFonts w:ascii="Century Gothic" w:hAnsi="Century Gothic"/>
        </w:rPr>
        <w:t>,</w:t>
      </w:r>
      <w:r w:rsidR="00806AA8">
        <w:rPr>
          <w:rFonts w:ascii="Century Gothic" w:hAnsi="Century Gothic"/>
        </w:rPr>
        <w:t xml:space="preserve"> in genere</w:t>
      </w:r>
      <w:r>
        <w:rPr>
          <w:rFonts w:ascii="Century Gothic" w:hAnsi="Century Gothic"/>
        </w:rPr>
        <w:t>,</w:t>
      </w:r>
      <w:r w:rsidR="00806AA8">
        <w:rPr>
          <w:rFonts w:ascii="Century Gothic" w:hAnsi="Century Gothic"/>
        </w:rPr>
        <w:t xml:space="preserve"> </w:t>
      </w:r>
      <w:r>
        <w:rPr>
          <w:rFonts w:ascii="Century Gothic" w:hAnsi="Century Gothic"/>
        </w:rPr>
        <w:t>è rappresentata dal</w:t>
      </w:r>
      <w:r w:rsidR="00806AA8">
        <w:rPr>
          <w:rFonts w:ascii="Century Gothic" w:hAnsi="Century Gothic"/>
        </w:rPr>
        <w:t>le valutazioni di premessa</w:t>
      </w:r>
      <w:r>
        <w:rPr>
          <w:rFonts w:ascii="Century Gothic" w:hAnsi="Century Gothic"/>
        </w:rPr>
        <w:t>, che servono sia a</w:t>
      </w:r>
      <w:r w:rsidR="00806AA8">
        <w:rPr>
          <w:rFonts w:ascii="Century Gothic" w:hAnsi="Century Gothic"/>
        </w:rPr>
        <w:t xml:space="preserve"> </w:t>
      </w:r>
      <w:r w:rsidR="005C544F">
        <w:rPr>
          <w:rFonts w:ascii="Century Gothic" w:hAnsi="Century Gothic"/>
        </w:rPr>
        <w:t>conoscere</w:t>
      </w:r>
      <w:r>
        <w:rPr>
          <w:rFonts w:ascii="Century Gothic" w:hAnsi="Century Gothic"/>
        </w:rPr>
        <w:t xml:space="preserve"> il contesto in cui le amministrazioni effettuano le loro scelte di bilancio, sia a dare legittimazione alle parti sociali, tramite il richiamo alla validità del metodo concertativo, oppure a una piattaforma sindacale </w:t>
      </w:r>
      <w:r w:rsidR="00753574">
        <w:rPr>
          <w:rFonts w:ascii="Century Gothic" w:hAnsi="Century Gothic"/>
        </w:rPr>
        <w:t>o</w:t>
      </w:r>
      <w:r>
        <w:rPr>
          <w:rFonts w:ascii="Century Gothic" w:hAnsi="Century Gothic"/>
        </w:rPr>
        <w:t xml:space="preserve"> </w:t>
      </w:r>
      <w:r w:rsidR="00814565">
        <w:rPr>
          <w:rFonts w:ascii="Century Gothic" w:hAnsi="Century Gothic"/>
        </w:rPr>
        <w:t xml:space="preserve">a </w:t>
      </w:r>
      <w:r>
        <w:rPr>
          <w:rFonts w:ascii="Century Gothic" w:hAnsi="Century Gothic"/>
        </w:rPr>
        <w:t>incontri e intese precedenti.</w:t>
      </w:r>
    </w:p>
    <w:p w:rsidR="005C544F" w:rsidRDefault="00757B74" w:rsidP="008231A2">
      <w:pPr>
        <w:jc w:val="both"/>
        <w:rPr>
          <w:rFonts w:ascii="Century Gothic" w:hAnsi="Century Gothic"/>
        </w:rPr>
      </w:pPr>
      <w:r>
        <w:rPr>
          <w:rFonts w:ascii="Century Gothic" w:hAnsi="Century Gothic"/>
        </w:rPr>
        <w:t xml:space="preserve">Nelle valutazioni di premessa </w:t>
      </w:r>
      <w:r w:rsidR="00753574">
        <w:rPr>
          <w:rFonts w:ascii="Century Gothic" w:hAnsi="Century Gothic"/>
        </w:rPr>
        <w:t>si possono, quindi, trovare sia valutazioni sulle politiche nazionali che influiscono sulle decisioni di bilancio sia gli obiettivi prioritari da conseguire. E’ interessante notare come in alcuni accordi, oltre ad affermazioni generiche sull’impegno a perseguire politiche a favore delle fasce più bisognose</w:t>
      </w:r>
      <w:r w:rsidR="005C544F">
        <w:rPr>
          <w:rFonts w:ascii="Century Gothic" w:hAnsi="Century Gothic"/>
        </w:rPr>
        <w:t xml:space="preserve"> in presenza di risorse limitate</w:t>
      </w:r>
      <w:r w:rsidR="00753574">
        <w:rPr>
          <w:rFonts w:ascii="Century Gothic" w:hAnsi="Century Gothic"/>
        </w:rPr>
        <w:t xml:space="preserve">, </w:t>
      </w:r>
      <w:r w:rsidR="005C544F">
        <w:rPr>
          <w:rFonts w:ascii="Century Gothic" w:hAnsi="Century Gothic"/>
        </w:rPr>
        <w:t xml:space="preserve">si senta l’esigenza di richiamare più nel dettaglio le </w:t>
      </w:r>
      <w:r w:rsidR="00814565">
        <w:rPr>
          <w:rFonts w:ascii="Century Gothic" w:hAnsi="Century Gothic"/>
        </w:rPr>
        <w:t>disposizioni contenute</w:t>
      </w:r>
      <w:r w:rsidR="005C544F">
        <w:rPr>
          <w:rFonts w:ascii="Century Gothic" w:hAnsi="Century Gothic"/>
        </w:rPr>
        <w:t xml:space="preserve"> </w:t>
      </w:r>
      <w:r w:rsidR="00814565">
        <w:rPr>
          <w:rFonts w:ascii="Century Gothic" w:hAnsi="Century Gothic"/>
        </w:rPr>
        <w:t xml:space="preserve">nel </w:t>
      </w:r>
      <w:r w:rsidR="005C544F">
        <w:rPr>
          <w:rFonts w:ascii="Century Gothic" w:hAnsi="Century Gothic"/>
        </w:rPr>
        <w:t xml:space="preserve">patto di stabilità, in questo caso concernente il 2016, per far comprendere meglio lo scenario e le eventuali criticità in cui l’amministrazione si trova ad operare. </w:t>
      </w:r>
    </w:p>
    <w:p w:rsidR="005C544F" w:rsidRDefault="005C544F" w:rsidP="008231A2">
      <w:pPr>
        <w:jc w:val="both"/>
        <w:rPr>
          <w:rFonts w:ascii="Century Gothic" w:hAnsi="Century Gothic"/>
        </w:rPr>
      </w:pPr>
      <w:r>
        <w:rPr>
          <w:rFonts w:ascii="Century Gothic" w:hAnsi="Century Gothic"/>
        </w:rPr>
        <w:t xml:space="preserve">Oltre </w:t>
      </w:r>
      <w:r w:rsidR="00AB2E62">
        <w:rPr>
          <w:rFonts w:ascii="Century Gothic" w:hAnsi="Century Gothic"/>
        </w:rPr>
        <w:t xml:space="preserve">alle valutazioni di premessa, in alcuni accordi, tramite l’attivazione di appositi tavoli, sono previsti momenti di confronto su tematiche già definite o eventualmente da concordare a seconda della necessità nel corso dell’anno. Inoltre possono essere previsti occasioni di verifica rispetto ai contenuti </w:t>
      </w:r>
      <w:r w:rsidR="00735CE5">
        <w:rPr>
          <w:rFonts w:ascii="Century Gothic" w:hAnsi="Century Gothic"/>
        </w:rPr>
        <w:t>concordati</w:t>
      </w:r>
      <w:r w:rsidR="00AB2E62">
        <w:rPr>
          <w:rFonts w:ascii="Century Gothic" w:hAnsi="Century Gothic"/>
        </w:rPr>
        <w:t>, un monitoraggio importante per il sindacato e i cittadini s</w:t>
      </w:r>
      <w:r w:rsidR="00735CE5">
        <w:rPr>
          <w:rFonts w:ascii="Century Gothic" w:hAnsi="Century Gothic"/>
        </w:rPr>
        <w:t xml:space="preserve">ull’effettiva realizzazione delle decisioni contenute negli accordi. </w:t>
      </w:r>
      <w:r w:rsidR="0051048A">
        <w:rPr>
          <w:rFonts w:ascii="Century Gothic" w:hAnsi="Century Gothic"/>
        </w:rPr>
        <w:t xml:space="preserve">La nuova regolamentazione ISEE continua a essere nel 2016 una delle tematiche più citate per momenti di approfondimento e di verifica. </w:t>
      </w:r>
    </w:p>
    <w:p w:rsidR="0051048A" w:rsidRDefault="0051048A" w:rsidP="0051048A">
      <w:pPr>
        <w:jc w:val="both"/>
        <w:rPr>
          <w:rFonts w:ascii="Century Gothic" w:hAnsi="Century Gothic"/>
        </w:rPr>
      </w:pPr>
      <w:r>
        <w:rPr>
          <w:rFonts w:ascii="Century Gothic" w:hAnsi="Century Gothic"/>
        </w:rPr>
        <w:t xml:space="preserve">Come più volte ricordato, l’area della relazione tra le parti e definizione del processo è un indicatore, seppur indiretto, della salute delle procedure negoziali, in quanto attiene alla formalizzazione del processo negoziale. </w:t>
      </w:r>
      <w:r w:rsidR="00A12622" w:rsidRPr="00814565">
        <w:rPr>
          <w:rFonts w:ascii="Century Gothic" w:hAnsi="Century Gothic"/>
        </w:rPr>
        <w:t>Se questa area</w:t>
      </w:r>
      <w:r w:rsidRPr="00814565">
        <w:rPr>
          <w:rFonts w:ascii="Century Gothic" w:hAnsi="Century Gothic"/>
        </w:rPr>
        <w:t xml:space="preserve"> è presente </w:t>
      </w:r>
      <w:r w:rsidR="00A12622" w:rsidRPr="00814565">
        <w:rPr>
          <w:rFonts w:ascii="Century Gothic" w:hAnsi="Century Gothic"/>
        </w:rPr>
        <w:t>nel 2016 in un valore</w:t>
      </w:r>
      <w:r w:rsidRPr="00814565">
        <w:rPr>
          <w:rFonts w:ascii="Century Gothic" w:hAnsi="Century Gothic"/>
        </w:rPr>
        <w:t xml:space="preserve"> co</w:t>
      </w:r>
      <w:r w:rsidR="00A12622" w:rsidRPr="00814565">
        <w:rPr>
          <w:rFonts w:ascii="Century Gothic" w:hAnsi="Century Gothic"/>
        </w:rPr>
        <w:t>rrispondente ai quattro quinti,</w:t>
      </w:r>
      <w:r w:rsidR="00A12622">
        <w:rPr>
          <w:rFonts w:ascii="Century Gothic" w:hAnsi="Century Gothic"/>
        </w:rPr>
        <w:t xml:space="preserve"> non è detto che n</w:t>
      </w:r>
      <w:r>
        <w:rPr>
          <w:rFonts w:ascii="Century Gothic" w:hAnsi="Century Gothic"/>
        </w:rPr>
        <w:t>el restante quinto che non ci sia stato un percorso negoziale, semplicemente può essere stato non menzionato nell’intesa.</w:t>
      </w:r>
    </w:p>
    <w:p w:rsidR="008231A2" w:rsidRDefault="00A12622" w:rsidP="008231A2">
      <w:pPr>
        <w:jc w:val="both"/>
        <w:rPr>
          <w:rFonts w:ascii="Century Gothic" w:hAnsi="Century Gothic"/>
        </w:rPr>
      </w:pPr>
      <w:r>
        <w:rPr>
          <w:rFonts w:ascii="Century Gothic" w:hAnsi="Century Gothic"/>
        </w:rPr>
        <w:t>La</w:t>
      </w:r>
      <w:r w:rsidR="008231A2">
        <w:rPr>
          <w:rFonts w:ascii="Century Gothic" w:hAnsi="Century Gothic"/>
        </w:rPr>
        <w:t xml:space="preserve"> contrattazione soc</w:t>
      </w:r>
      <w:r>
        <w:rPr>
          <w:rFonts w:ascii="Century Gothic" w:hAnsi="Century Gothic"/>
        </w:rPr>
        <w:t>iale è, generalmente, collegata con</w:t>
      </w:r>
      <w:r w:rsidR="008231A2">
        <w:rPr>
          <w:rFonts w:ascii="Century Gothic" w:hAnsi="Century Gothic"/>
        </w:rPr>
        <w:t xml:space="preserve"> il confronto sul </w:t>
      </w:r>
      <w:r w:rsidR="008231A2" w:rsidRPr="00C961FC">
        <w:rPr>
          <w:rFonts w:ascii="Century Gothic" w:hAnsi="Century Gothic"/>
        </w:rPr>
        <w:t>bilancio preventivo</w:t>
      </w:r>
      <w:r>
        <w:rPr>
          <w:rFonts w:ascii="Century Gothic" w:hAnsi="Century Gothic"/>
        </w:rPr>
        <w:t>, e, quindi,</w:t>
      </w:r>
      <w:r w:rsidR="008231A2">
        <w:rPr>
          <w:rFonts w:ascii="Century Gothic" w:hAnsi="Century Gothic"/>
        </w:rPr>
        <w:t xml:space="preserve"> </w:t>
      </w:r>
      <w:r w:rsidR="008231A2" w:rsidRPr="00230A73">
        <w:rPr>
          <w:rFonts w:ascii="Century Gothic" w:hAnsi="Century Gothic"/>
        </w:rPr>
        <w:t xml:space="preserve">l’area delle politiche di bilancio è </w:t>
      </w:r>
      <w:r>
        <w:rPr>
          <w:rFonts w:ascii="Century Gothic" w:hAnsi="Century Gothic"/>
        </w:rPr>
        <w:t>ben rappresentata</w:t>
      </w:r>
      <w:r w:rsidR="008231A2" w:rsidRPr="00230A73">
        <w:rPr>
          <w:rFonts w:ascii="Century Gothic" w:hAnsi="Century Gothic"/>
        </w:rPr>
        <w:t xml:space="preserve"> </w:t>
      </w:r>
      <w:r>
        <w:rPr>
          <w:rFonts w:ascii="Century Gothic" w:hAnsi="Century Gothic"/>
        </w:rPr>
        <w:t>n</w:t>
      </w:r>
      <w:r w:rsidR="008231A2" w:rsidRPr="00230A73">
        <w:rPr>
          <w:rFonts w:ascii="Century Gothic" w:hAnsi="Century Gothic"/>
        </w:rPr>
        <w:t>egli accordi (</w:t>
      </w:r>
      <w:r w:rsidRPr="008A16BD">
        <w:rPr>
          <w:rFonts w:ascii="Century Gothic" w:hAnsi="Century Gothic"/>
        </w:rPr>
        <w:t>73</w:t>
      </w:r>
      <w:r w:rsidR="008231A2" w:rsidRPr="008A16BD">
        <w:rPr>
          <w:rFonts w:ascii="Century Gothic" w:hAnsi="Century Gothic"/>
        </w:rPr>
        <w:t xml:space="preserve">%, </w:t>
      </w:r>
      <w:r w:rsidRPr="008A16BD">
        <w:rPr>
          <w:rFonts w:ascii="Century Gothic" w:hAnsi="Century Gothic"/>
        </w:rPr>
        <w:t>quasi tre quarti</w:t>
      </w:r>
      <w:r w:rsidR="008231A2" w:rsidRPr="008A16BD">
        <w:rPr>
          <w:rFonts w:ascii="Century Gothic" w:hAnsi="Century Gothic"/>
        </w:rPr>
        <w:t xml:space="preserve"> delle intese).</w:t>
      </w:r>
      <w:r w:rsidR="008231A2" w:rsidRPr="00230A73">
        <w:rPr>
          <w:rFonts w:ascii="Century Gothic" w:hAnsi="Century Gothic"/>
        </w:rPr>
        <w:t xml:space="preserve"> </w:t>
      </w:r>
      <w:r w:rsidR="0076370F">
        <w:rPr>
          <w:rFonts w:ascii="Century Gothic" w:hAnsi="Century Gothic"/>
        </w:rPr>
        <w:t xml:space="preserve">Come precedentemente detto, </w:t>
      </w:r>
      <w:r w:rsidR="0076370F" w:rsidRPr="00814565">
        <w:rPr>
          <w:rFonts w:ascii="Century Gothic" w:hAnsi="Century Gothic"/>
        </w:rPr>
        <w:t>n</w:t>
      </w:r>
      <w:r w:rsidR="008231A2" w:rsidRPr="00814565">
        <w:rPr>
          <w:rFonts w:ascii="Century Gothic" w:hAnsi="Century Gothic"/>
        </w:rPr>
        <w:t xml:space="preserve">elle valutazioni di premessa, spesso, è indicato l’approccio di bilancio che l’amministrazione intende seguire, soprattutto se </w:t>
      </w:r>
      <w:r w:rsidR="0076370F" w:rsidRPr="00814565">
        <w:rPr>
          <w:rFonts w:ascii="Century Gothic" w:hAnsi="Century Gothic"/>
        </w:rPr>
        <w:t>sono affrontat</w:t>
      </w:r>
      <w:r w:rsidR="00DF0C90" w:rsidRPr="00814565">
        <w:rPr>
          <w:rFonts w:ascii="Century Gothic" w:hAnsi="Century Gothic"/>
        </w:rPr>
        <w:t>e</w:t>
      </w:r>
      <w:r w:rsidR="008231A2" w:rsidRPr="00814565">
        <w:rPr>
          <w:rFonts w:ascii="Century Gothic" w:hAnsi="Century Gothic"/>
        </w:rPr>
        <w:t xml:space="preserve"> </w:t>
      </w:r>
      <w:r w:rsidR="0076370F" w:rsidRPr="00814565">
        <w:rPr>
          <w:rFonts w:ascii="Century Gothic" w:hAnsi="Century Gothic"/>
        </w:rPr>
        <w:t>le diverse aree di pertinenza</w:t>
      </w:r>
      <w:r w:rsidR="008231A2" w:rsidRPr="00814565">
        <w:rPr>
          <w:rFonts w:ascii="Century Gothic" w:hAnsi="Century Gothic"/>
        </w:rPr>
        <w:t xml:space="preserve"> </w:t>
      </w:r>
      <w:r w:rsidR="0076370F" w:rsidRPr="00814565">
        <w:rPr>
          <w:rFonts w:ascii="Century Gothic" w:hAnsi="Century Gothic"/>
        </w:rPr>
        <w:t>de</w:t>
      </w:r>
      <w:r w:rsidR="008231A2" w:rsidRPr="00814565">
        <w:rPr>
          <w:rFonts w:ascii="Century Gothic" w:hAnsi="Century Gothic"/>
        </w:rPr>
        <w:t>lle politiche sociali locali. Comunque, anche se, negli accordi, vengono affrontate solo le questioni più rilevanti (tasse e tributi locali), in alcuni casi, si possono rilevare delle considerazioni sugli indirizzi di bilancio, che mirano a tutelare la popolazione più bisognosa.</w:t>
      </w:r>
      <w:r w:rsidR="008231A2" w:rsidRPr="000F3B7A">
        <w:rPr>
          <w:rFonts w:ascii="Century Gothic" w:hAnsi="Century Gothic"/>
        </w:rPr>
        <w:t xml:space="preserve"> </w:t>
      </w:r>
      <w:r w:rsidR="00814565">
        <w:rPr>
          <w:rFonts w:ascii="Century Gothic" w:hAnsi="Century Gothic"/>
        </w:rPr>
        <w:t>In altri casi il documento si incentra</w:t>
      </w:r>
      <w:r w:rsidR="00162246">
        <w:rPr>
          <w:rFonts w:ascii="Century Gothic" w:hAnsi="Century Gothic"/>
        </w:rPr>
        <w:t xml:space="preserve"> sulle misure di politica fiscale, con l’indicazione delle agevolazioni e delle esenzioni, senza ulteriori specificazioni sulle linee di bilancio complessive. </w:t>
      </w:r>
      <w:r w:rsidR="00814565">
        <w:rPr>
          <w:rFonts w:ascii="Century Gothic" w:hAnsi="Century Gothic"/>
        </w:rPr>
        <w:t xml:space="preserve">Sono rari gli </w:t>
      </w:r>
      <w:r w:rsidR="00814565" w:rsidRPr="003978CC">
        <w:rPr>
          <w:rFonts w:ascii="Century Gothic" w:hAnsi="Century Gothic"/>
        </w:rPr>
        <w:t>a</w:t>
      </w:r>
      <w:r w:rsidR="0076370F" w:rsidRPr="003978CC">
        <w:rPr>
          <w:rFonts w:ascii="Century Gothic" w:hAnsi="Century Gothic"/>
        </w:rPr>
        <w:t>ccordi con valenza pluriennale</w:t>
      </w:r>
      <w:r w:rsidR="00814565" w:rsidRPr="003978CC">
        <w:rPr>
          <w:rFonts w:ascii="Century Gothic" w:hAnsi="Century Gothic"/>
        </w:rPr>
        <w:t xml:space="preserve">, in cui </w:t>
      </w:r>
      <w:r w:rsidR="007D0E39" w:rsidRPr="003978CC">
        <w:rPr>
          <w:rFonts w:ascii="Century Gothic" w:hAnsi="Century Gothic"/>
        </w:rPr>
        <w:t>è contemplata una programmazione che va oltre il singolo anno.</w:t>
      </w:r>
    </w:p>
    <w:p w:rsidR="008231A2" w:rsidRDefault="008231A2" w:rsidP="008231A2">
      <w:pPr>
        <w:jc w:val="both"/>
        <w:rPr>
          <w:rFonts w:ascii="Century Gothic" w:hAnsi="Century Gothic"/>
        </w:rPr>
      </w:pPr>
      <w:r w:rsidRPr="00814565">
        <w:rPr>
          <w:rFonts w:ascii="Century Gothic" w:hAnsi="Century Gothic"/>
        </w:rPr>
        <w:t>Dopo questa premessa sulle aree che sono di introduzione negli accordi</w:t>
      </w:r>
      <w:r>
        <w:rPr>
          <w:rFonts w:ascii="Century Gothic" w:hAnsi="Century Gothic"/>
        </w:rPr>
        <w:t xml:space="preserve">, nei prossimi paragrafi </w:t>
      </w:r>
      <w:r w:rsidR="00A12622">
        <w:rPr>
          <w:rFonts w:ascii="Century Gothic" w:hAnsi="Century Gothic"/>
        </w:rPr>
        <w:t>saranno trattati</w:t>
      </w:r>
      <w:r>
        <w:rPr>
          <w:rFonts w:ascii="Century Gothic" w:hAnsi="Century Gothic"/>
        </w:rPr>
        <w:t xml:space="preserve"> i principali ambiti di negoziazione, partendo da quelli maggiormente presenti nelle intese, che rappresentano il cuore della contrattazione sociale, per arrivare a quelli che hanno minore incidenza, ma che, comunque, configurano aspetti che sono di complemento alla soddisfazione delle esigenze di base. </w:t>
      </w:r>
    </w:p>
    <w:p w:rsidR="00CE5A1E" w:rsidRDefault="00CE5A1E" w:rsidP="00D82120">
      <w:pPr>
        <w:jc w:val="both"/>
        <w:rPr>
          <w:rFonts w:ascii="Century Gothic" w:hAnsi="Century Gothic"/>
        </w:rPr>
      </w:pPr>
    </w:p>
    <w:p w:rsidR="00ED3D74" w:rsidRDefault="00ED3D74">
      <w:pPr>
        <w:rPr>
          <w:rFonts w:ascii="Century Gothic" w:hAnsi="Century Gothic"/>
        </w:rPr>
      </w:pPr>
      <w:r>
        <w:rPr>
          <w:rFonts w:ascii="Century Gothic" w:hAnsi="Century Gothic"/>
        </w:rPr>
        <w:br w:type="page"/>
      </w:r>
    </w:p>
    <w:p w:rsidR="003D3BA7" w:rsidRPr="00573C1E" w:rsidRDefault="003D3BA7" w:rsidP="003D3BA7">
      <w:pPr>
        <w:jc w:val="both"/>
        <w:rPr>
          <w:rFonts w:ascii="Century Gothic" w:hAnsi="Century Gothic"/>
          <w:b/>
        </w:rPr>
      </w:pPr>
      <w:r>
        <w:rPr>
          <w:rFonts w:ascii="Century Gothic" w:hAnsi="Century Gothic"/>
          <w:b/>
        </w:rPr>
        <w:t xml:space="preserve">4.2. </w:t>
      </w:r>
      <w:r w:rsidRPr="00573C1E">
        <w:rPr>
          <w:rFonts w:ascii="Century Gothic" w:hAnsi="Century Gothic"/>
          <w:b/>
        </w:rPr>
        <w:t>Esame delle aree tematiche negoziali</w:t>
      </w:r>
    </w:p>
    <w:p w:rsidR="00D82120" w:rsidRDefault="00D82120" w:rsidP="00DD1D58">
      <w:pPr>
        <w:jc w:val="both"/>
        <w:rPr>
          <w:rFonts w:ascii="Century Gothic" w:hAnsi="Century Gothic"/>
          <w:b/>
        </w:rPr>
      </w:pPr>
    </w:p>
    <w:p w:rsidR="00DD1D58" w:rsidRPr="004F777B" w:rsidRDefault="00DD1D58" w:rsidP="00DD1D58">
      <w:pPr>
        <w:jc w:val="both"/>
        <w:rPr>
          <w:rFonts w:ascii="Century Gothic" w:hAnsi="Century Gothic"/>
          <w:b/>
        </w:rPr>
      </w:pPr>
      <w:r w:rsidRPr="005D2FEE">
        <w:rPr>
          <w:rFonts w:ascii="Century Gothic" w:hAnsi="Century Gothic"/>
          <w:b/>
        </w:rPr>
        <w:t>Politica locale dei redditi e delle entrate</w:t>
      </w:r>
    </w:p>
    <w:p w:rsidR="00DD1D58" w:rsidRDefault="00DD1D58" w:rsidP="00795064">
      <w:pPr>
        <w:jc w:val="both"/>
        <w:rPr>
          <w:rFonts w:ascii="Century Gothic" w:hAnsi="Century Gothic"/>
        </w:rPr>
      </w:pPr>
    </w:p>
    <w:p w:rsidR="00CC1CF2" w:rsidRDefault="00CC1CF2" w:rsidP="00795064">
      <w:pPr>
        <w:jc w:val="both"/>
        <w:rPr>
          <w:rFonts w:ascii="Century Gothic" w:hAnsi="Century Gothic"/>
        </w:rPr>
      </w:pPr>
      <w:r>
        <w:rPr>
          <w:rFonts w:ascii="Century Gothic" w:hAnsi="Century Gothic"/>
        </w:rPr>
        <w:t xml:space="preserve">L’area Politica locale dei redditi e delle entrate continua a essere il principale ambito di </w:t>
      </w:r>
      <w:r w:rsidR="00465034">
        <w:rPr>
          <w:rFonts w:ascii="Century Gothic" w:hAnsi="Century Gothic"/>
        </w:rPr>
        <w:t>trattazione</w:t>
      </w:r>
      <w:r>
        <w:rPr>
          <w:rFonts w:ascii="Century Gothic" w:hAnsi="Century Gothic"/>
        </w:rPr>
        <w:t xml:space="preserve"> all’interno della negoziazione sociale, comparendo nella quasi totalità degli accordi (</w:t>
      </w:r>
      <w:r w:rsidR="00917E60">
        <w:rPr>
          <w:rFonts w:ascii="Century Gothic" w:hAnsi="Century Gothic"/>
        </w:rPr>
        <w:t>96</w:t>
      </w:r>
      <w:r>
        <w:rPr>
          <w:rFonts w:ascii="Century Gothic" w:hAnsi="Century Gothic"/>
        </w:rPr>
        <w:t>%) stipulati nel 2016.</w:t>
      </w:r>
    </w:p>
    <w:p w:rsidR="00465034" w:rsidRDefault="00465034" w:rsidP="00795064">
      <w:pPr>
        <w:jc w:val="both"/>
        <w:rPr>
          <w:rFonts w:ascii="Century Gothic" w:hAnsi="Century Gothic"/>
        </w:rPr>
      </w:pPr>
      <w:r>
        <w:rPr>
          <w:rFonts w:ascii="Century Gothic" w:hAnsi="Century Gothic"/>
        </w:rPr>
        <w:t xml:space="preserve">Il compito prioritario del sindacato rimane quello di difendere le fasce più deboli della popolazione (famiglie a basso reddito, anziani, lavoratori colpiti dalla crisi) tramite una politica fiscale e tariffaria fondata sull’equità, che mantenga il livello dei servizi sociali ed educativi senza un aggravio del carico fiscale e tariffario per i gruppi svantaggiati. </w:t>
      </w:r>
    </w:p>
    <w:p w:rsidR="00465034" w:rsidRDefault="00465034" w:rsidP="00795064">
      <w:pPr>
        <w:jc w:val="both"/>
        <w:rPr>
          <w:rFonts w:ascii="Century Gothic" w:hAnsi="Century Gothic"/>
        </w:rPr>
      </w:pPr>
      <w:r>
        <w:rPr>
          <w:rFonts w:ascii="Century Gothic" w:hAnsi="Century Gothic"/>
        </w:rPr>
        <w:t>Inoltre</w:t>
      </w:r>
      <w:r w:rsidR="00C47595">
        <w:rPr>
          <w:rFonts w:ascii="Century Gothic" w:hAnsi="Century Gothic"/>
        </w:rPr>
        <w:t>, come segnalato anche dall’Osservatorio nazionale</w:t>
      </w:r>
      <w:r w:rsidR="00C47595" w:rsidRPr="001544DA">
        <w:rPr>
          <w:rFonts w:ascii="Century Gothic" w:hAnsi="Century Gothic"/>
        </w:rPr>
        <w:t>, si verifica</w:t>
      </w:r>
      <w:r w:rsidR="00C47595">
        <w:rPr>
          <w:rFonts w:ascii="Century Gothic" w:hAnsi="Century Gothic"/>
        </w:rPr>
        <w:t xml:space="preserve"> anche l’esigenza di confronto sulle tematiche fiscali di anno in anno, date le modifiche della normativa nazionale in particolare sulle imposte sulle abitazioni e sulle tariffe dei servizi di gestione dei rifiuti. </w:t>
      </w:r>
      <w:r w:rsidR="000E0769">
        <w:rPr>
          <w:rFonts w:ascii="Century Gothic" w:hAnsi="Century Gothic"/>
        </w:rPr>
        <w:t>Permanendo</w:t>
      </w:r>
      <w:r w:rsidR="00C47595">
        <w:rPr>
          <w:rFonts w:ascii="Century Gothic" w:hAnsi="Century Gothic"/>
        </w:rPr>
        <w:t xml:space="preserve"> a volte l’incertezza sull’applicazione delle norme nazionali, vengono previsti ulteriori momenti di approfondimento </w:t>
      </w:r>
      <w:r w:rsidR="00B2003F">
        <w:rPr>
          <w:rFonts w:ascii="Century Gothic" w:hAnsi="Century Gothic"/>
        </w:rPr>
        <w:t>e di verifica in alcuni accordi, soprattutto se sottoscritti all’inizio dell’anno.</w:t>
      </w:r>
      <w:r w:rsidR="003978CC">
        <w:rPr>
          <w:rStyle w:val="Rimandonotaapidipagina"/>
          <w:rFonts w:ascii="Century Gothic" w:hAnsi="Century Gothic"/>
        </w:rPr>
        <w:footnoteReference w:id="6"/>
      </w:r>
      <w:r w:rsidR="00B2003F" w:rsidRPr="005D2FEE">
        <w:rPr>
          <w:rFonts w:ascii="Century Gothic" w:hAnsi="Century Gothic"/>
          <w:highlight w:val="red"/>
        </w:rPr>
        <w:t xml:space="preserve"> </w:t>
      </w:r>
    </w:p>
    <w:p w:rsidR="00C547B2" w:rsidRDefault="00C547B2" w:rsidP="00C547B2">
      <w:pPr>
        <w:jc w:val="both"/>
        <w:rPr>
          <w:rFonts w:ascii="Century Gothic" w:hAnsi="Century Gothic"/>
        </w:rPr>
      </w:pPr>
      <w:r>
        <w:rPr>
          <w:rFonts w:ascii="Century Gothic" w:hAnsi="Century Gothic"/>
        </w:rPr>
        <w:t>Come rilevato negli anni precedenti, per quanto riguarda la politica fiscale, il confronto avviene sulle imposte sulle abitazioni (lMU, TASI) e sull’addizionale IRPEF, e, nell’ambito delle tariffe dei servizi pubblici, la voce prevalente rimane la tassa sui rifiuti, la TARI. In alcun</w:t>
      </w:r>
      <w:r w:rsidR="00CC6134">
        <w:rPr>
          <w:rFonts w:ascii="Century Gothic" w:hAnsi="Century Gothic"/>
        </w:rPr>
        <w:t>e</w:t>
      </w:r>
      <w:r>
        <w:rPr>
          <w:rFonts w:ascii="Century Gothic" w:hAnsi="Century Gothic"/>
        </w:rPr>
        <w:t xml:space="preserve"> </w:t>
      </w:r>
      <w:r w:rsidR="00CC6134">
        <w:rPr>
          <w:rFonts w:ascii="Century Gothic" w:hAnsi="Century Gothic"/>
        </w:rPr>
        <w:t>intese</w:t>
      </w:r>
      <w:r>
        <w:rPr>
          <w:rFonts w:ascii="Century Gothic" w:hAnsi="Century Gothic"/>
        </w:rPr>
        <w:t xml:space="preserve"> </w:t>
      </w:r>
      <w:r w:rsidR="00CC6134">
        <w:rPr>
          <w:rFonts w:ascii="Century Gothic" w:hAnsi="Century Gothic"/>
        </w:rPr>
        <w:t>compare</w:t>
      </w:r>
      <w:r>
        <w:rPr>
          <w:rFonts w:ascii="Century Gothic" w:hAnsi="Century Gothic"/>
        </w:rPr>
        <w:t xml:space="preserve"> anche </w:t>
      </w:r>
      <w:r w:rsidR="00CC6134">
        <w:rPr>
          <w:rFonts w:ascii="Century Gothic" w:hAnsi="Century Gothic"/>
        </w:rPr>
        <w:t xml:space="preserve">la problematica </w:t>
      </w:r>
      <w:r>
        <w:rPr>
          <w:rFonts w:ascii="Century Gothic" w:hAnsi="Century Gothic"/>
        </w:rPr>
        <w:t xml:space="preserve">delle utenze domestiche, </w:t>
      </w:r>
      <w:r w:rsidR="00CC6134">
        <w:rPr>
          <w:rFonts w:ascii="Century Gothic" w:hAnsi="Century Gothic"/>
        </w:rPr>
        <w:t>trattata</w:t>
      </w:r>
      <w:r>
        <w:rPr>
          <w:rFonts w:ascii="Century Gothic" w:hAnsi="Century Gothic"/>
        </w:rPr>
        <w:t xml:space="preserve"> </w:t>
      </w:r>
      <w:r w:rsidR="00CC6134">
        <w:rPr>
          <w:rFonts w:ascii="Century Gothic" w:hAnsi="Century Gothic"/>
        </w:rPr>
        <w:t>con l’erogazione d</w:t>
      </w:r>
      <w:r>
        <w:rPr>
          <w:rFonts w:ascii="Century Gothic" w:hAnsi="Century Gothic"/>
        </w:rPr>
        <w:t xml:space="preserve">i contributi comunali per il pagamento delle bollette dei soggetti in difficoltà, all’interno dei fondi anti-povertà o fondi anticrisi. </w:t>
      </w:r>
    </w:p>
    <w:p w:rsidR="00C547B2" w:rsidRDefault="005521FB" w:rsidP="00C547B2">
      <w:pPr>
        <w:jc w:val="both"/>
        <w:rPr>
          <w:rFonts w:ascii="Century Gothic" w:hAnsi="Century Gothic"/>
        </w:rPr>
      </w:pPr>
      <w:r>
        <w:rPr>
          <w:rFonts w:ascii="Century Gothic" w:hAnsi="Century Gothic"/>
        </w:rPr>
        <w:t>In molti accordi è presente la voce</w:t>
      </w:r>
      <w:r w:rsidR="00C547B2">
        <w:rPr>
          <w:rFonts w:ascii="Century Gothic" w:hAnsi="Century Gothic"/>
        </w:rPr>
        <w:t xml:space="preserve"> </w:t>
      </w:r>
      <w:r>
        <w:rPr>
          <w:rFonts w:ascii="Century Gothic" w:hAnsi="Century Gothic"/>
        </w:rPr>
        <w:t>de</w:t>
      </w:r>
      <w:r w:rsidR="00C547B2">
        <w:rPr>
          <w:rFonts w:ascii="Century Gothic" w:hAnsi="Century Gothic"/>
        </w:rPr>
        <w:t xml:space="preserve">lla compartecipazione ai costi del welfare, ossia della </w:t>
      </w:r>
      <w:r w:rsidR="00C547B2" w:rsidRPr="001544DA">
        <w:rPr>
          <w:rFonts w:ascii="Century Gothic" w:hAnsi="Century Gothic"/>
        </w:rPr>
        <w:t>determinazione</w:t>
      </w:r>
      <w:r w:rsidR="00C547B2">
        <w:rPr>
          <w:rFonts w:ascii="Century Gothic" w:hAnsi="Century Gothic"/>
        </w:rPr>
        <w:t xml:space="preserve"> delle rette dei servizi pubblici (sociali, educativi, assistenziali) con </w:t>
      </w:r>
      <w:r>
        <w:rPr>
          <w:rFonts w:ascii="Century Gothic" w:hAnsi="Century Gothic"/>
        </w:rPr>
        <w:t>l’obiettivo</w:t>
      </w:r>
      <w:r w:rsidR="00C547B2">
        <w:rPr>
          <w:rFonts w:ascii="Century Gothic" w:hAnsi="Century Gothic"/>
        </w:rPr>
        <w:t xml:space="preserve"> </w:t>
      </w:r>
      <w:r>
        <w:rPr>
          <w:rFonts w:ascii="Century Gothic" w:hAnsi="Century Gothic"/>
        </w:rPr>
        <w:t>del mantenimento del livello dell</w:t>
      </w:r>
      <w:r w:rsidR="00C547B2">
        <w:rPr>
          <w:rFonts w:ascii="Century Gothic" w:hAnsi="Century Gothic"/>
        </w:rPr>
        <w:t xml:space="preserve">e tariffe </w:t>
      </w:r>
      <w:r w:rsidR="00795D5D">
        <w:rPr>
          <w:rFonts w:ascii="Century Gothic" w:hAnsi="Century Gothic"/>
        </w:rPr>
        <w:t>e della concessione</w:t>
      </w:r>
      <w:r w:rsidR="00C547B2">
        <w:rPr>
          <w:rFonts w:ascii="Century Gothic" w:hAnsi="Century Gothic"/>
        </w:rPr>
        <w:t xml:space="preserve"> d</w:t>
      </w:r>
      <w:r w:rsidR="00795D5D">
        <w:rPr>
          <w:rFonts w:ascii="Century Gothic" w:hAnsi="Century Gothic"/>
        </w:rPr>
        <w:t>i</w:t>
      </w:r>
      <w:r w:rsidR="00C547B2">
        <w:rPr>
          <w:rFonts w:ascii="Century Gothic" w:hAnsi="Century Gothic"/>
        </w:rPr>
        <w:t xml:space="preserve"> agevolazioni o esenzioni a coloro </w:t>
      </w:r>
      <w:r w:rsidR="00C547B2" w:rsidRPr="00795D5D">
        <w:rPr>
          <w:rFonts w:ascii="Century Gothic" w:hAnsi="Century Gothic"/>
        </w:rPr>
        <w:t xml:space="preserve">che si trovano in stato di </w:t>
      </w:r>
      <w:r w:rsidR="00795D5D" w:rsidRPr="00795D5D">
        <w:rPr>
          <w:rFonts w:ascii="Century Gothic" w:hAnsi="Century Gothic"/>
        </w:rPr>
        <w:t>bisogno</w:t>
      </w:r>
      <w:r w:rsidR="00C547B2">
        <w:rPr>
          <w:rFonts w:ascii="Century Gothic" w:hAnsi="Century Gothic"/>
        </w:rPr>
        <w:t>.</w:t>
      </w:r>
    </w:p>
    <w:p w:rsidR="0070039B" w:rsidRDefault="00795D5D" w:rsidP="0070039B">
      <w:pPr>
        <w:jc w:val="both"/>
        <w:rPr>
          <w:rFonts w:ascii="Century Gothic" w:hAnsi="Century Gothic"/>
        </w:rPr>
      </w:pPr>
      <w:r>
        <w:rPr>
          <w:rFonts w:ascii="Century Gothic" w:hAnsi="Century Gothic"/>
        </w:rPr>
        <w:t xml:space="preserve">La tematica </w:t>
      </w:r>
      <w:r w:rsidRPr="005522E9">
        <w:rPr>
          <w:rFonts w:ascii="Century Gothic" w:hAnsi="Century Gothic"/>
        </w:rPr>
        <w:t>della compartecipazione</w:t>
      </w:r>
      <w:r>
        <w:rPr>
          <w:rFonts w:ascii="Century Gothic" w:hAnsi="Century Gothic"/>
        </w:rPr>
        <w:t xml:space="preserve"> dei costi del welfare è strettamente legata </w:t>
      </w:r>
      <w:r w:rsidR="00B11C68">
        <w:rPr>
          <w:rFonts w:ascii="Century Gothic" w:hAnsi="Century Gothic"/>
        </w:rPr>
        <w:t xml:space="preserve">al metodo </w:t>
      </w:r>
      <w:r w:rsidRPr="001B3733">
        <w:rPr>
          <w:rFonts w:ascii="Century Gothic" w:hAnsi="Century Gothic"/>
          <w:bCs/>
        </w:rPr>
        <w:t>ISEE</w:t>
      </w:r>
      <w:r>
        <w:rPr>
          <w:rFonts w:ascii="Century Gothic" w:hAnsi="Century Gothic"/>
          <w:bCs/>
        </w:rPr>
        <w:t xml:space="preserve">, che rimane </w:t>
      </w:r>
      <w:r w:rsidR="00B11C68">
        <w:rPr>
          <w:rFonts w:ascii="Century Gothic" w:hAnsi="Century Gothic"/>
          <w:bCs/>
        </w:rPr>
        <w:t xml:space="preserve">il principale indicatore </w:t>
      </w:r>
      <w:r w:rsidRPr="001B3733">
        <w:rPr>
          <w:rFonts w:ascii="Century Gothic" w:hAnsi="Century Gothic"/>
        </w:rPr>
        <w:t xml:space="preserve">adottato </w:t>
      </w:r>
      <w:r w:rsidR="00B11C68">
        <w:rPr>
          <w:rFonts w:ascii="Century Gothic" w:hAnsi="Century Gothic"/>
        </w:rPr>
        <w:t>nei vari territori</w:t>
      </w:r>
      <w:r>
        <w:rPr>
          <w:rFonts w:ascii="Century Gothic" w:hAnsi="Century Gothic"/>
        </w:rPr>
        <w:t xml:space="preserve"> </w:t>
      </w:r>
      <w:r w:rsidRPr="001B3733">
        <w:rPr>
          <w:rFonts w:ascii="Century Gothic" w:hAnsi="Century Gothic"/>
        </w:rPr>
        <w:t>per de</w:t>
      </w:r>
      <w:r>
        <w:rPr>
          <w:rFonts w:ascii="Century Gothic" w:hAnsi="Century Gothic"/>
        </w:rPr>
        <w:t>finire</w:t>
      </w:r>
      <w:r w:rsidR="005522E9">
        <w:rPr>
          <w:rFonts w:ascii="Century Gothic" w:hAnsi="Century Gothic"/>
        </w:rPr>
        <w:t xml:space="preserve"> esenzioni e </w:t>
      </w:r>
      <w:r w:rsidR="00785770">
        <w:rPr>
          <w:rFonts w:ascii="Century Gothic" w:hAnsi="Century Gothic"/>
        </w:rPr>
        <w:t>riduzioni</w:t>
      </w:r>
      <w:r w:rsidR="005522E9">
        <w:rPr>
          <w:rFonts w:ascii="Century Gothic" w:hAnsi="Century Gothic"/>
        </w:rPr>
        <w:t>, quindi</w:t>
      </w:r>
      <w:r>
        <w:rPr>
          <w:rFonts w:ascii="Century Gothic" w:hAnsi="Century Gothic"/>
        </w:rPr>
        <w:t xml:space="preserve"> </w:t>
      </w:r>
      <w:r w:rsidR="00B11C68">
        <w:rPr>
          <w:rFonts w:ascii="Century Gothic" w:hAnsi="Century Gothic"/>
        </w:rPr>
        <w:t xml:space="preserve">non solo </w:t>
      </w:r>
      <w:r w:rsidRPr="00B12B83">
        <w:rPr>
          <w:rFonts w:ascii="Century Gothic" w:hAnsi="Century Gothic"/>
        </w:rPr>
        <w:t xml:space="preserve">le </w:t>
      </w:r>
      <w:r w:rsidR="005522E9">
        <w:rPr>
          <w:rFonts w:ascii="Century Gothic" w:hAnsi="Century Gothic"/>
        </w:rPr>
        <w:t>rette dei servizi pubblici</w:t>
      </w:r>
      <w:r w:rsidRPr="00B12B83">
        <w:rPr>
          <w:rFonts w:ascii="Century Gothic" w:hAnsi="Century Gothic"/>
        </w:rPr>
        <w:t xml:space="preserve">, </w:t>
      </w:r>
      <w:r w:rsidR="00B11C68">
        <w:rPr>
          <w:rFonts w:ascii="Century Gothic" w:hAnsi="Century Gothic"/>
        </w:rPr>
        <w:t xml:space="preserve">ma anche </w:t>
      </w:r>
      <w:r w:rsidR="005522E9">
        <w:rPr>
          <w:rFonts w:ascii="Century Gothic" w:hAnsi="Century Gothic"/>
        </w:rPr>
        <w:t xml:space="preserve">per la </w:t>
      </w:r>
      <w:r w:rsidR="001544DA">
        <w:rPr>
          <w:rFonts w:ascii="Century Gothic" w:hAnsi="Century Gothic"/>
        </w:rPr>
        <w:t>definizione</w:t>
      </w:r>
      <w:r w:rsidR="005522E9">
        <w:rPr>
          <w:rFonts w:ascii="Century Gothic" w:hAnsi="Century Gothic"/>
        </w:rPr>
        <w:t xml:space="preserve"> di </w:t>
      </w:r>
      <w:r w:rsidR="00B11C68">
        <w:rPr>
          <w:rFonts w:ascii="Century Gothic" w:hAnsi="Century Gothic"/>
        </w:rPr>
        <w:t xml:space="preserve">altre misure quali </w:t>
      </w:r>
      <w:r w:rsidRPr="00B12B83">
        <w:rPr>
          <w:rFonts w:ascii="Century Gothic" w:hAnsi="Century Gothic"/>
        </w:rPr>
        <w:t>i contributi per il pagament</w:t>
      </w:r>
      <w:r w:rsidR="005522E9">
        <w:rPr>
          <w:rFonts w:ascii="Century Gothic" w:hAnsi="Century Gothic"/>
        </w:rPr>
        <w:t>o delle bollette di gas e acqua</w:t>
      </w:r>
      <w:r>
        <w:rPr>
          <w:rFonts w:ascii="Century Gothic" w:hAnsi="Century Gothic"/>
        </w:rPr>
        <w:t>.</w:t>
      </w:r>
      <w:r w:rsidR="005522E9">
        <w:rPr>
          <w:rFonts w:ascii="Century Gothic" w:hAnsi="Century Gothic"/>
        </w:rPr>
        <w:t xml:space="preserve"> </w:t>
      </w:r>
      <w:r w:rsidR="00785770">
        <w:rPr>
          <w:rFonts w:ascii="Century Gothic" w:hAnsi="Century Gothic"/>
        </w:rPr>
        <w:t xml:space="preserve">Come rilevato a livello nazionale, anche nell’ambito della tariffa dei rifiuti si fa </w:t>
      </w:r>
      <w:r w:rsidR="00785770" w:rsidRPr="000E0769">
        <w:rPr>
          <w:rFonts w:ascii="Century Gothic" w:hAnsi="Century Gothic"/>
        </w:rPr>
        <w:t>spesso riferimento all’utilizzo dell’ISEE</w:t>
      </w:r>
      <w:r w:rsidR="00785770">
        <w:rPr>
          <w:rFonts w:ascii="Century Gothic" w:hAnsi="Century Gothic"/>
        </w:rPr>
        <w:t>.</w:t>
      </w:r>
      <w:r w:rsidR="001F44AE">
        <w:rPr>
          <w:rStyle w:val="Rimandonotaapidipagina"/>
          <w:rFonts w:ascii="Century Gothic" w:hAnsi="Century Gothic"/>
        </w:rPr>
        <w:footnoteReference w:id="7"/>
      </w:r>
    </w:p>
    <w:p w:rsidR="0070039B" w:rsidRDefault="0070039B" w:rsidP="0070039B">
      <w:pPr>
        <w:jc w:val="both"/>
        <w:rPr>
          <w:rFonts w:ascii="Century Gothic" w:hAnsi="Century Gothic"/>
        </w:rPr>
      </w:pPr>
      <w:r>
        <w:rPr>
          <w:rFonts w:ascii="Century Gothic" w:hAnsi="Century Gothic"/>
        </w:rPr>
        <w:t xml:space="preserve">Nel precedente rapporto sulla contrattazione sociale svolta nel 2015, veniva evidenziato come sia importante per l’accesso all’esenzione o al contributo non solo il livello del reddito, ma anche la provenienza dello stesso, in particolare dando rilevanza ai redditi da lavoro dipendente e pensioni. </w:t>
      </w:r>
      <w:r w:rsidR="001544DA">
        <w:rPr>
          <w:rFonts w:ascii="Century Gothic" w:hAnsi="Century Gothic"/>
        </w:rPr>
        <w:t>Di fondo</w:t>
      </w:r>
      <w:r>
        <w:rPr>
          <w:rFonts w:ascii="Century Gothic" w:hAnsi="Century Gothic"/>
        </w:rPr>
        <w:t xml:space="preserve"> è presente la considerazione che su tali categorie vi è un controllo alla fonte sul livello effettivo del reddito, quindi i dati forniti sono quelli corretti. Venivano anche citati degli </w:t>
      </w:r>
      <w:r w:rsidR="00FC1021">
        <w:rPr>
          <w:rFonts w:ascii="Century Gothic" w:hAnsi="Century Gothic"/>
        </w:rPr>
        <w:t xml:space="preserve">accordi </w:t>
      </w:r>
      <w:r w:rsidR="00736AE7">
        <w:rPr>
          <w:rFonts w:ascii="Century Gothic" w:hAnsi="Century Gothic"/>
        </w:rPr>
        <w:t xml:space="preserve">della provincia di Siena </w:t>
      </w:r>
      <w:r w:rsidR="00FC1021">
        <w:rPr>
          <w:rFonts w:ascii="Century Gothic" w:hAnsi="Century Gothic"/>
        </w:rPr>
        <w:t>in cui</w:t>
      </w:r>
      <w:r>
        <w:rPr>
          <w:rFonts w:ascii="Century Gothic" w:hAnsi="Century Gothic"/>
        </w:rPr>
        <w:t xml:space="preserve"> </w:t>
      </w:r>
      <w:r w:rsidR="00FC1021">
        <w:rPr>
          <w:rFonts w:ascii="Century Gothic" w:hAnsi="Century Gothic"/>
        </w:rPr>
        <w:t xml:space="preserve">per l’esenzione </w:t>
      </w:r>
      <w:r>
        <w:rPr>
          <w:rFonts w:ascii="Century Gothic" w:hAnsi="Century Gothic"/>
        </w:rPr>
        <w:t>sull’addizionale IRP</w:t>
      </w:r>
      <w:r w:rsidR="00FC1021">
        <w:rPr>
          <w:rFonts w:ascii="Century Gothic" w:hAnsi="Century Gothic"/>
        </w:rPr>
        <w:t xml:space="preserve">EF veniva proprio </w:t>
      </w:r>
      <w:r w:rsidR="001544DA">
        <w:rPr>
          <w:rFonts w:ascii="Century Gothic" w:hAnsi="Century Gothic"/>
        </w:rPr>
        <w:t>tenuto conto</w:t>
      </w:r>
      <w:r w:rsidR="00FC1021">
        <w:rPr>
          <w:rFonts w:ascii="Century Gothic" w:hAnsi="Century Gothic"/>
        </w:rPr>
        <w:t xml:space="preserve"> </w:t>
      </w:r>
      <w:r w:rsidR="001544DA">
        <w:rPr>
          <w:rFonts w:ascii="Century Gothic" w:hAnsi="Century Gothic"/>
        </w:rPr>
        <w:t>del</w:t>
      </w:r>
      <w:r w:rsidR="00272671">
        <w:rPr>
          <w:rFonts w:ascii="Century Gothic" w:hAnsi="Century Gothic"/>
        </w:rPr>
        <w:t xml:space="preserve">l’origine </w:t>
      </w:r>
      <w:r w:rsidR="00FC1021" w:rsidRPr="00272671">
        <w:rPr>
          <w:rFonts w:ascii="Century Gothic" w:hAnsi="Century Gothic"/>
        </w:rPr>
        <w:t>del reddito</w:t>
      </w:r>
      <w:r w:rsidR="008A16BD">
        <w:rPr>
          <w:rFonts w:ascii="Century Gothic" w:hAnsi="Century Gothic"/>
        </w:rPr>
        <w:t>.</w:t>
      </w:r>
    </w:p>
    <w:p w:rsidR="008D2034" w:rsidRDefault="00272671" w:rsidP="0070039B">
      <w:pPr>
        <w:jc w:val="both"/>
        <w:rPr>
          <w:rFonts w:ascii="Century Gothic" w:hAnsi="Century Gothic"/>
        </w:rPr>
      </w:pPr>
      <w:r>
        <w:rPr>
          <w:rFonts w:ascii="Century Gothic" w:hAnsi="Century Gothic"/>
        </w:rPr>
        <w:t xml:space="preserve">Se la progressività sull’addizionale IRPEF è ormai una conquista </w:t>
      </w:r>
      <w:r w:rsidR="001D2A98">
        <w:rPr>
          <w:rFonts w:ascii="Century Gothic" w:hAnsi="Century Gothic"/>
        </w:rPr>
        <w:t>diffusa</w:t>
      </w:r>
      <w:r>
        <w:rPr>
          <w:rFonts w:ascii="Century Gothic" w:hAnsi="Century Gothic"/>
        </w:rPr>
        <w:t xml:space="preserve"> grazie al lavoro svolto dalle delegazioni, </w:t>
      </w:r>
      <w:r w:rsidR="000C32F6">
        <w:rPr>
          <w:rFonts w:ascii="Century Gothic" w:hAnsi="Century Gothic"/>
        </w:rPr>
        <w:t>in alcuni territori l’</w:t>
      </w:r>
      <w:r w:rsidR="008D2034">
        <w:rPr>
          <w:rFonts w:ascii="Century Gothic" w:hAnsi="Century Gothic"/>
        </w:rPr>
        <w:t>iniziativa</w:t>
      </w:r>
      <w:r w:rsidR="000C32F6">
        <w:rPr>
          <w:rFonts w:ascii="Century Gothic" w:hAnsi="Century Gothic"/>
        </w:rPr>
        <w:t xml:space="preserve"> </w:t>
      </w:r>
      <w:r w:rsidR="00157F8A">
        <w:rPr>
          <w:rFonts w:ascii="Century Gothic" w:hAnsi="Century Gothic"/>
        </w:rPr>
        <w:t>sindacal</w:t>
      </w:r>
      <w:r w:rsidR="00736AE7">
        <w:rPr>
          <w:rFonts w:ascii="Century Gothic" w:hAnsi="Century Gothic"/>
        </w:rPr>
        <w:t>e</w:t>
      </w:r>
      <w:r w:rsidR="00157F8A">
        <w:rPr>
          <w:rFonts w:ascii="Century Gothic" w:hAnsi="Century Gothic"/>
        </w:rPr>
        <w:t xml:space="preserve"> </w:t>
      </w:r>
      <w:r w:rsidR="000C32F6">
        <w:rPr>
          <w:rFonts w:ascii="Century Gothic" w:hAnsi="Century Gothic"/>
        </w:rPr>
        <w:t>si sta indirizzando proprio sull’inclusione della provenienza del reddito</w:t>
      </w:r>
      <w:r w:rsidR="00AE330A">
        <w:rPr>
          <w:rFonts w:ascii="Century Gothic" w:hAnsi="Century Gothic"/>
        </w:rPr>
        <w:t xml:space="preserve"> per l’acquisizione di esenzione</w:t>
      </w:r>
      <w:r w:rsidR="000C32F6">
        <w:rPr>
          <w:rFonts w:ascii="Century Gothic" w:hAnsi="Century Gothic"/>
        </w:rPr>
        <w:t xml:space="preserve">. </w:t>
      </w:r>
      <w:r w:rsidR="002C5F37">
        <w:rPr>
          <w:rFonts w:ascii="Century Gothic" w:hAnsi="Century Gothic"/>
        </w:rPr>
        <w:t>Ad esempio n</w:t>
      </w:r>
      <w:r w:rsidR="008D2034">
        <w:rPr>
          <w:rFonts w:ascii="Century Gothic" w:hAnsi="Century Gothic"/>
        </w:rPr>
        <w:t xml:space="preserve">ella provincia di Pisa in </w:t>
      </w:r>
      <w:r w:rsidR="00163AEF">
        <w:rPr>
          <w:rFonts w:ascii="Century Gothic" w:hAnsi="Century Gothic"/>
        </w:rPr>
        <w:t xml:space="preserve">circa </w:t>
      </w:r>
      <w:r w:rsidR="008D2034">
        <w:rPr>
          <w:rFonts w:ascii="Century Gothic" w:hAnsi="Century Gothic"/>
        </w:rPr>
        <w:t>la metà delle intese (</w:t>
      </w:r>
      <w:r w:rsidR="00163AEF">
        <w:rPr>
          <w:rFonts w:ascii="Century Gothic" w:hAnsi="Century Gothic"/>
        </w:rPr>
        <w:t>7</w:t>
      </w:r>
      <w:r w:rsidR="008D2034">
        <w:rPr>
          <w:rFonts w:ascii="Century Gothic" w:hAnsi="Century Gothic"/>
        </w:rPr>
        <w:t xml:space="preserve"> su 15) </w:t>
      </w:r>
      <w:r w:rsidR="00163AEF">
        <w:rPr>
          <w:rFonts w:ascii="Century Gothic" w:hAnsi="Century Gothic"/>
        </w:rPr>
        <w:t xml:space="preserve">è stato trattato il tema: in un comune viene proprio prevista l’esenzione </w:t>
      </w:r>
      <w:r w:rsidR="00157F8A">
        <w:rPr>
          <w:rFonts w:ascii="Century Gothic" w:hAnsi="Century Gothic"/>
        </w:rPr>
        <w:t xml:space="preserve">a 10.000 euro per pensionati, dipendenti e assimilati, negli altri </w:t>
      </w:r>
      <w:r w:rsidR="001544DA">
        <w:rPr>
          <w:rFonts w:ascii="Century Gothic" w:hAnsi="Century Gothic"/>
        </w:rPr>
        <w:t xml:space="preserve">sei </w:t>
      </w:r>
      <w:r w:rsidR="00157F8A">
        <w:rPr>
          <w:rFonts w:ascii="Century Gothic" w:hAnsi="Century Gothic"/>
        </w:rPr>
        <w:t xml:space="preserve">comuni </w:t>
      </w:r>
      <w:r w:rsidR="008D2034">
        <w:rPr>
          <w:rFonts w:ascii="Century Gothic" w:hAnsi="Century Gothic"/>
        </w:rPr>
        <w:t xml:space="preserve">le amministrazioni si sono dichiarate disponibili a incontri e verifiche sulla possibilità di differenziazione delle agevolazioni </w:t>
      </w:r>
      <w:r w:rsidR="00157F8A" w:rsidRPr="003D6E82">
        <w:rPr>
          <w:rFonts w:ascii="Century Gothic" w:hAnsi="Century Gothic"/>
        </w:rPr>
        <w:t>dell’addizionale</w:t>
      </w:r>
      <w:r w:rsidR="008D2034" w:rsidRPr="003D6E82">
        <w:rPr>
          <w:rFonts w:ascii="Century Gothic" w:hAnsi="Century Gothic"/>
        </w:rPr>
        <w:t xml:space="preserve"> a favore </w:t>
      </w:r>
      <w:r w:rsidR="00163AEF" w:rsidRPr="003D6E82">
        <w:rPr>
          <w:rFonts w:ascii="Century Gothic" w:hAnsi="Century Gothic"/>
        </w:rPr>
        <w:t>di</w:t>
      </w:r>
      <w:r w:rsidR="00163AEF">
        <w:rPr>
          <w:rFonts w:ascii="Century Gothic" w:hAnsi="Century Gothic"/>
        </w:rPr>
        <w:t xml:space="preserve"> </w:t>
      </w:r>
      <w:r w:rsidR="00157F8A">
        <w:rPr>
          <w:rFonts w:ascii="Century Gothic" w:hAnsi="Century Gothic"/>
        </w:rPr>
        <w:t>tali categorie.</w:t>
      </w:r>
    </w:p>
    <w:p w:rsidR="001D2A98" w:rsidRDefault="001D2A98" w:rsidP="0070039B">
      <w:pPr>
        <w:jc w:val="both"/>
        <w:rPr>
          <w:rFonts w:ascii="Century Gothic" w:hAnsi="Century Gothic"/>
        </w:rPr>
      </w:pPr>
      <w:r>
        <w:rPr>
          <w:rFonts w:ascii="Century Gothic" w:hAnsi="Century Gothic"/>
        </w:rPr>
        <w:t>Differenziazioni sono possibili anche in altri campi come la tassa sui rifiuti</w:t>
      </w:r>
      <w:r w:rsidR="003D6E82">
        <w:rPr>
          <w:rFonts w:ascii="Century Gothic" w:hAnsi="Century Gothic"/>
        </w:rPr>
        <w:t>;</w:t>
      </w:r>
      <w:r>
        <w:rPr>
          <w:rFonts w:ascii="Century Gothic" w:hAnsi="Century Gothic"/>
        </w:rPr>
        <w:t xml:space="preserve"> </w:t>
      </w:r>
      <w:r w:rsidR="003D6E82">
        <w:rPr>
          <w:rFonts w:ascii="Century Gothic" w:hAnsi="Century Gothic"/>
        </w:rPr>
        <w:t>a</w:t>
      </w:r>
      <w:r w:rsidR="00B0738A">
        <w:rPr>
          <w:rFonts w:ascii="Century Gothic" w:hAnsi="Century Gothic"/>
        </w:rPr>
        <w:t xml:space="preserve">d esempio, in provincia di Lucca, </w:t>
      </w:r>
      <w:r w:rsidR="00E06F10">
        <w:rPr>
          <w:rFonts w:ascii="Century Gothic" w:hAnsi="Century Gothic"/>
        </w:rPr>
        <w:t xml:space="preserve">in molti accordi </w:t>
      </w:r>
      <w:r w:rsidR="00B0738A">
        <w:rPr>
          <w:rFonts w:ascii="Century Gothic" w:hAnsi="Century Gothic"/>
        </w:rPr>
        <w:t xml:space="preserve">per le agevolazioni TARI </w:t>
      </w:r>
      <w:r w:rsidR="00F46B73">
        <w:rPr>
          <w:rFonts w:ascii="Century Gothic" w:hAnsi="Century Gothic"/>
        </w:rPr>
        <w:t xml:space="preserve">viene posta particolare attenzione </w:t>
      </w:r>
      <w:r w:rsidR="003D6E82">
        <w:rPr>
          <w:rFonts w:ascii="Century Gothic" w:hAnsi="Century Gothic"/>
        </w:rPr>
        <w:t>ai pensionati e ai lavoratori dipendenti</w:t>
      </w:r>
      <w:r w:rsidR="00F46B73">
        <w:rPr>
          <w:rFonts w:ascii="Century Gothic" w:hAnsi="Century Gothic"/>
        </w:rPr>
        <w:t xml:space="preserve">. </w:t>
      </w:r>
    </w:p>
    <w:p w:rsidR="0045749C" w:rsidRDefault="00EA03F3" w:rsidP="0045749C">
      <w:pPr>
        <w:jc w:val="both"/>
        <w:rPr>
          <w:rFonts w:ascii="Century Gothic" w:hAnsi="Century Gothic"/>
          <w:highlight w:val="cyan"/>
        </w:rPr>
      </w:pPr>
      <w:r>
        <w:rPr>
          <w:rFonts w:ascii="Century Gothic" w:hAnsi="Century Gothic"/>
        </w:rPr>
        <w:t xml:space="preserve">Al tema dell’equità sociale è strettamente collegata la lotta all’evasione ed elusione fiscale e tariffaria, voce che compare in una parte rilevante degli accordi pur con diversi gradi di specificazione. </w:t>
      </w:r>
      <w:r w:rsidR="00814247">
        <w:rPr>
          <w:rFonts w:ascii="Century Gothic" w:hAnsi="Century Gothic"/>
        </w:rPr>
        <w:t xml:space="preserve">Se in alcune intese sono previste affermazioni generiche riguardo all’importanza di misure di contrasto all’evasione fiscale, in altre vengono descritte più in dettaglio le modalità di attuazione in collaborazione con l’Agenzia delle Entrate </w:t>
      </w:r>
      <w:r w:rsidR="0045749C" w:rsidRPr="00053F0D">
        <w:rPr>
          <w:rFonts w:ascii="Century Gothic" w:hAnsi="Century Gothic"/>
        </w:rPr>
        <w:t xml:space="preserve">e </w:t>
      </w:r>
      <w:r w:rsidR="008216DA">
        <w:rPr>
          <w:rFonts w:ascii="Century Gothic" w:hAnsi="Century Gothic"/>
        </w:rPr>
        <w:t>nell’ambito</w:t>
      </w:r>
      <w:r w:rsidR="0045749C" w:rsidRPr="00053F0D">
        <w:rPr>
          <w:rFonts w:ascii="Century Gothic" w:hAnsi="Century Gothic"/>
        </w:rPr>
        <w:t xml:space="preserve"> del progetto regionale TOSCA, </w:t>
      </w:r>
      <w:r w:rsidR="008216DA">
        <w:rPr>
          <w:rFonts w:ascii="Century Gothic" w:hAnsi="Century Gothic"/>
        </w:rPr>
        <w:t xml:space="preserve">che prevede </w:t>
      </w:r>
      <w:r w:rsidR="0045749C" w:rsidRPr="00053F0D">
        <w:rPr>
          <w:rFonts w:ascii="Century Gothic" w:hAnsi="Century Gothic"/>
        </w:rPr>
        <w:t xml:space="preserve">percorsi formativi </w:t>
      </w:r>
      <w:r w:rsidR="008216DA">
        <w:rPr>
          <w:rFonts w:ascii="Century Gothic" w:hAnsi="Century Gothic"/>
        </w:rPr>
        <w:t>mirati</w:t>
      </w:r>
      <w:r w:rsidR="0045749C" w:rsidRPr="00053F0D">
        <w:rPr>
          <w:rFonts w:ascii="Century Gothic" w:hAnsi="Century Gothic"/>
        </w:rPr>
        <w:t xml:space="preserve"> </w:t>
      </w:r>
      <w:r w:rsidR="008216DA">
        <w:rPr>
          <w:rFonts w:ascii="Century Gothic" w:hAnsi="Century Gothic"/>
        </w:rPr>
        <w:t xml:space="preserve">per </w:t>
      </w:r>
      <w:r w:rsidR="0045749C" w:rsidRPr="00053F0D">
        <w:rPr>
          <w:rFonts w:ascii="Century Gothic" w:hAnsi="Century Gothic"/>
        </w:rPr>
        <w:t>i dipendenti comunali.</w:t>
      </w:r>
      <w:r w:rsidR="0045749C">
        <w:rPr>
          <w:rFonts w:ascii="Century Gothic" w:hAnsi="Century Gothic"/>
        </w:rPr>
        <w:t xml:space="preserve"> </w:t>
      </w:r>
      <w:r w:rsidR="008216DA">
        <w:rPr>
          <w:rFonts w:ascii="Century Gothic" w:hAnsi="Century Gothic"/>
        </w:rPr>
        <w:t>Si ricorda che l</w:t>
      </w:r>
      <w:r w:rsidR="0045749C" w:rsidRPr="000B37F3">
        <w:rPr>
          <w:rFonts w:ascii="Century Gothic" w:hAnsi="Century Gothic"/>
        </w:rPr>
        <w:t>a Regione Toscana</w:t>
      </w:r>
      <w:r w:rsidR="0045749C">
        <w:rPr>
          <w:rFonts w:ascii="Century Gothic" w:hAnsi="Century Gothic"/>
        </w:rPr>
        <w:t>,</w:t>
      </w:r>
      <w:r w:rsidR="0045749C" w:rsidRPr="000B37F3">
        <w:rPr>
          <w:rFonts w:ascii="Century Gothic" w:hAnsi="Century Gothic"/>
        </w:rPr>
        <w:t xml:space="preserve"> a partire</w:t>
      </w:r>
      <w:r w:rsidR="0045749C">
        <w:rPr>
          <w:rFonts w:ascii="Century Gothic" w:hAnsi="Century Gothic"/>
        </w:rPr>
        <w:t xml:space="preserve"> dal 2008, ha </w:t>
      </w:r>
      <w:r w:rsidR="008216DA">
        <w:rPr>
          <w:rFonts w:ascii="Century Gothic" w:hAnsi="Century Gothic"/>
        </w:rPr>
        <w:t>posto l’accento sullo svolgimento in forma associata delle attività anti-evasione.</w:t>
      </w:r>
      <w:r w:rsidR="0045749C">
        <w:rPr>
          <w:rFonts w:ascii="Century Gothic" w:hAnsi="Century Gothic"/>
        </w:rPr>
        <w:t xml:space="preserve"> </w:t>
      </w:r>
    </w:p>
    <w:p w:rsidR="00E1671B" w:rsidRDefault="00976B23" w:rsidP="0070039B">
      <w:pPr>
        <w:jc w:val="both"/>
        <w:rPr>
          <w:rFonts w:ascii="Century Gothic" w:hAnsi="Century Gothic"/>
        </w:rPr>
      </w:pPr>
      <w:r>
        <w:rPr>
          <w:rFonts w:ascii="Century Gothic" w:hAnsi="Century Gothic"/>
        </w:rPr>
        <w:t xml:space="preserve">Ai fini della verifica delle misure intraprese, in alcuni accordi sono riportati pure i risultati di attività condotte negli anni precedenti con l’indicazione delle somme recuperate e delle loro destinazioni, che </w:t>
      </w:r>
      <w:r w:rsidRPr="00D14232">
        <w:rPr>
          <w:rFonts w:ascii="Century Gothic" w:hAnsi="Century Gothic"/>
        </w:rPr>
        <w:t xml:space="preserve">in genere </w:t>
      </w:r>
      <w:r w:rsidR="006431F7" w:rsidRPr="00D14232">
        <w:rPr>
          <w:rFonts w:ascii="Century Gothic" w:hAnsi="Century Gothic"/>
        </w:rPr>
        <w:t>riguardano la spesa sociale</w:t>
      </w:r>
      <w:r>
        <w:rPr>
          <w:rFonts w:ascii="Century Gothic" w:hAnsi="Century Gothic"/>
        </w:rPr>
        <w:t>.</w:t>
      </w:r>
      <w:r w:rsidR="007E5330">
        <w:rPr>
          <w:rFonts w:ascii="Century Gothic" w:hAnsi="Century Gothic"/>
        </w:rPr>
        <w:t xml:space="preserve"> </w:t>
      </w:r>
      <w:r w:rsidR="006E55E8">
        <w:rPr>
          <w:rFonts w:ascii="Century Gothic" w:hAnsi="Century Gothic"/>
        </w:rPr>
        <w:t xml:space="preserve">Come segnalato dalla delegazione territoriale, in diversi accordi della provincia di Lucca </w:t>
      </w:r>
      <w:r w:rsidR="00A56AA6">
        <w:rPr>
          <w:rFonts w:ascii="Century Gothic" w:hAnsi="Century Gothic"/>
        </w:rPr>
        <w:t>l’allocazione di</w:t>
      </w:r>
      <w:r w:rsidR="006E55E8">
        <w:rPr>
          <w:rFonts w:ascii="Century Gothic" w:hAnsi="Century Gothic"/>
        </w:rPr>
        <w:t xml:space="preserve"> una parte consistente delle risorse recuperate </w:t>
      </w:r>
      <w:r w:rsidR="00811D19">
        <w:rPr>
          <w:rFonts w:ascii="Century Gothic" w:hAnsi="Century Gothic"/>
        </w:rPr>
        <w:t>è prevista per l</w:t>
      </w:r>
      <w:r w:rsidR="006E55E8">
        <w:rPr>
          <w:rFonts w:ascii="Century Gothic" w:hAnsi="Century Gothic"/>
        </w:rPr>
        <w:t>a spesa sociale</w:t>
      </w:r>
      <w:r w:rsidR="00811D19">
        <w:rPr>
          <w:rFonts w:ascii="Century Gothic" w:hAnsi="Century Gothic"/>
        </w:rPr>
        <w:t>,</w:t>
      </w:r>
      <w:r w:rsidR="006E55E8">
        <w:rPr>
          <w:rFonts w:ascii="Century Gothic" w:hAnsi="Century Gothic"/>
        </w:rPr>
        <w:t xml:space="preserve"> </w:t>
      </w:r>
      <w:r w:rsidR="00811D19">
        <w:rPr>
          <w:rFonts w:ascii="Century Gothic" w:hAnsi="Century Gothic"/>
        </w:rPr>
        <w:t>ma</w:t>
      </w:r>
      <w:r w:rsidR="00A56AA6">
        <w:rPr>
          <w:rFonts w:ascii="Century Gothic" w:hAnsi="Century Gothic"/>
        </w:rPr>
        <w:t xml:space="preserve"> all’interno</w:t>
      </w:r>
      <w:r w:rsidR="006E55E8">
        <w:rPr>
          <w:rFonts w:ascii="Century Gothic" w:hAnsi="Century Gothic"/>
        </w:rPr>
        <w:t xml:space="preserve"> </w:t>
      </w:r>
      <w:r w:rsidR="00A56AA6">
        <w:rPr>
          <w:rFonts w:ascii="Century Gothic" w:hAnsi="Century Gothic"/>
        </w:rPr>
        <w:t xml:space="preserve">di </w:t>
      </w:r>
      <w:r w:rsidR="006E55E8">
        <w:rPr>
          <w:rFonts w:ascii="Century Gothic" w:hAnsi="Century Gothic"/>
        </w:rPr>
        <w:t>un nuovo sistema di welfare locale/regionale che “non è alternativo, ma integrativo del sistema socio-sanitario locale”</w:t>
      </w:r>
      <w:r w:rsidR="00A56AA6">
        <w:rPr>
          <w:rFonts w:ascii="Century Gothic" w:hAnsi="Century Gothic"/>
        </w:rPr>
        <w:t xml:space="preserve">, </w:t>
      </w:r>
      <w:r w:rsidR="00D95404">
        <w:rPr>
          <w:rFonts w:ascii="Century Gothic" w:hAnsi="Century Gothic"/>
        </w:rPr>
        <w:t xml:space="preserve">come testualmente sottoscritto” </w:t>
      </w:r>
      <w:r w:rsidR="00A56AA6">
        <w:rPr>
          <w:rFonts w:ascii="Century Gothic" w:hAnsi="Century Gothic"/>
        </w:rPr>
        <w:t>anche tramite l’eventuale adesione a un “futuro fondo territoriale regionale”</w:t>
      </w:r>
      <w:r w:rsidR="006E55E8">
        <w:rPr>
          <w:rFonts w:ascii="Century Gothic" w:hAnsi="Century Gothic"/>
        </w:rPr>
        <w:t xml:space="preserve">. </w:t>
      </w:r>
      <w:r w:rsidR="00A56AA6">
        <w:rPr>
          <w:rFonts w:ascii="Century Gothic" w:hAnsi="Century Gothic"/>
        </w:rPr>
        <w:t xml:space="preserve">Viene comunque rilevata la necessità di un accordo integrativo per l’individuazione di “progetti mirati finanziati da queste risorse”. </w:t>
      </w:r>
      <w:r w:rsidR="00E1671B" w:rsidRPr="00E1671B">
        <w:rPr>
          <w:rFonts w:ascii="Century Gothic" w:hAnsi="Century Gothic"/>
        </w:rPr>
        <w:t xml:space="preserve">Vi è un </w:t>
      </w:r>
      <w:r w:rsidR="00E1671B" w:rsidRPr="00E1671B">
        <w:rPr>
          <w:rFonts w:ascii="Century Gothic" w:hAnsi="Century Gothic"/>
          <w:bCs/>
        </w:rPr>
        <w:t xml:space="preserve">richiamo al tema della sanità integrativa affrontato dalle piattaforme </w:t>
      </w:r>
      <w:r w:rsidR="00E1671B" w:rsidRPr="00E1671B">
        <w:rPr>
          <w:rFonts w:ascii="Century Gothic" w:hAnsi="Century Gothic"/>
        </w:rPr>
        <w:t>redatte a livello regionale</w:t>
      </w:r>
      <w:r w:rsidR="00E1671B">
        <w:rPr>
          <w:rFonts w:ascii="Century Gothic" w:hAnsi="Century Gothic"/>
        </w:rPr>
        <w:t xml:space="preserve">, come visto nel paragrafo 2.2. </w:t>
      </w:r>
      <w:r w:rsidR="001F4C61" w:rsidRPr="001F4C61">
        <w:rPr>
          <w:rFonts w:ascii="Century Gothic" w:hAnsi="Century Gothic"/>
        </w:rPr>
        <w:t>In genere questa tipologia di allocazione verso un fondo sanitario integrativo</w:t>
      </w:r>
      <w:r w:rsidR="00D95404">
        <w:rPr>
          <w:rFonts w:ascii="Century Gothic" w:hAnsi="Century Gothic"/>
        </w:rPr>
        <w:t>, non ancora definito,</w:t>
      </w:r>
      <w:r w:rsidR="001F4C61" w:rsidRPr="001F4C61">
        <w:rPr>
          <w:rFonts w:ascii="Century Gothic" w:hAnsi="Century Gothic"/>
        </w:rPr>
        <w:t xml:space="preserve"> riguarda i proventi derivanti dalle attività di lotta all’evasione erariale</w:t>
      </w:r>
      <w:r w:rsidR="008A16BD">
        <w:rPr>
          <w:rFonts w:ascii="Century Gothic" w:hAnsi="Century Gothic"/>
        </w:rPr>
        <w:t xml:space="preserve">. </w:t>
      </w:r>
    </w:p>
    <w:p w:rsidR="00153933" w:rsidRDefault="00D14232" w:rsidP="00CA26F0">
      <w:pPr>
        <w:jc w:val="both"/>
        <w:rPr>
          <w:rFonts w:ascii="Century Gothic" w:hAnsi="Century Gothic"/>
        </w:rPr>
      </w:pPr>
      <w:r>
        <w:rPr>
          <w:rFonts w:ascii="Century Gothic" w:hAnsi="Century Gothic"/>
        </w:rPr>
        <w:t xml:space="preserve">Come rilevato dai </w:t>
      </w:r>
      <w:r w:rsidR="00CA26F0">
        <w:rPr>
          <w:rFonts w:ascii="Century Gothic" w:hAnsi="Century Gothic"/>
        </w:rPr>
        <w:t>c</w:t>
      </w:r>
      <w:r>
        <w:rPr>
          <w:rFonts w:ascii="Century Gothic" w:hAnsi="Century Gothic"/>
        </w:rPr>
        <w:t>omunicat</w:t>
      </w:r>
      <w:r w:rsidR="00BC4BD2">
        <w:rPr>
          <w:rFonts w:ascii="Century Gothic" w:hAnsi="Century Gothic"/>
        </w:rPr>
        <w:t xml:space="preserve">i dello SPI regionale, </w:t>
      </w:r>
      <w:r w:rsidR="001F4C61" w:rsidRPr="001F4C61">
        <w:rPr>
          <w:rFonts w:ascii="Century Gothic" w:hAnsi="Century Gothic"/>
        </w:rPr>
        <w:t>oltre al recupero di tributi di competenza delle amministrazioni</w:t>
      </w:r>
      <w:r w:rsidR="001F4C61">
        <w:rPr>
          <w:rFonts w:ascii="Century Gothic" w:hAnsi="Century Gothic"/>
        </w:rPr>
        <w:t xml:space="preserve">, </w:t>
      </w:r>
      <w:r w:rsidR="005B2FAD">
        <w:rPr>
          <w:rFonts w:ascii="Century Gothic" w:hAnsi="Century Gothic"/>
        </w:rPr>
        <w:t xml:space="preserve"> </w:t>
      </w:r>
      <w:r w:rsidR="00CA26F0">
        <w:rPr>
          <w:rFonts w:ascii="Century Gothic" w:hAnsi="Century Gothic"/>
        </w:rPr>
        <w:t>esiste un altro tipo di attività di accertamento fiscale e contributivo che i comuni possono svolgere per lo Stato centrale, e l’aspetto importante è che il contributo riconosciuto a ogni comune per gli anni dal 2015 al 2017 è il totale dell’importo dell’evasione fiscale e/o contributiva che è stata accertata. Gli ultimi dati disponibili forniti dal Ministero riguardano il 2015, anno in cui il numero dei comuni che hanno svolto attività di recupero evasione è stabile (</w:t>
      </w:r>
      <w:r w:rsidR="00CA26F0" w:rsidRPr="008A16BD">
        <w:rPr>
          <w:rFonts w:ascii="Century Gothic" w:hAnsi="Century Gothic"/>
        </w:rPr>
        <w:t xml:space="preserve">da 51 </w:t>
      </w:r>
      <w:r w:rsidR="00540A38" w:rsidRPr="008A16BD">
        <w:rPr>
          <w:rFonts w:ascii="Century Gothic" w:hAnsi="Century Gothic"/>
        </w:rPr>
        <w:t xml:space="preserve">su 279 </w:t>
      </w:r>
      <w:r w:rsidR="00CA26F0" w:rsidRPr="008A16BD">
        <w:rPr>
          <w:rFonts w:ascii="Century Gothic" w:hAnsi="Century Gothic"/>
        </w:rPr>
        <w:t>nel 2014 a 50 nel 2015</w:t>
      </w:r>
      <w:r w:rsidR="00CA26F0">
        <w:rPr>
          <w:rFonts w:ascii="Century Gothic" w:hAnsi="Century Gothic"/>
        </w:rPr>
        <w:t>)</w:t>
      </w:r>
      <w:r w:rsidR="00540A38">
        <w:rPr>
          <w:rFonts w:ascii="Century Gothic" w:hAnsi="Century Gothic"/>
        </w:rPr>
        <w:t>, ma si verifica una diminuzione di circa il 24% delle somme recuperate, con soltanto 2 comuni che superano il livello dei 100.000 euro (Arezzo e Prato, nel 2014 erano tre con Firenze).</w:t>
      </w:r>
      <w:r w:rsidR="00153933">
        <w:rPr>
          <w:rFonts w:ascii="Century Gothic" w:hAnsi="Century Gothic"/>
        </w:rPr>
        <w:t xml:space="preserve"> </w:t>
      </w:r>
    </w:p>
    <w:p w:rsidR="005C3B47" w:rsidRPr="005C3B47" w:rsidRDefault="005C3B47" w:rsidP="00D14232">
      <w:pPr>
        <w:pStyle w:val="Nessunaspaziatura"/>
        <w:spacing w:line="276" w:lineRule="auto"/>
        <w:jc w:val="both"/>
        <w:rPr>
          <w:rFonts w:ascii="Century Gothic" w:hAnsi="Century Gothic"/>
        </w:rPr>
      </w:pPr>
      <w:r>
        <w:rPr>
          <w:rFonts w:ascii="Century Gothic" w:hAnsi="Century Gothic"/>
        </w:rPr>
        <w:t xml:space="preserve">Sono previste delle macro aree </w:t>
      </w:r>
      <w:r w:rsidR="0015153B">
        <w:rPr>
          <w:rFonts w:ascii="Century Gothic" w:hAnsi="Century Gothic"/>
        </w:rPr>
        <w:t xml:space="preserve">per </w:t>
      </w:r>
      <w:r>
        <w:rPr>
          <w:rFonts w:ascii="Century Gothic" w:hAnsi="Century Gothic"/>
        </w:rPr>
        <w:t>le</w:t>
      </w:r>
      <w:r w:rsidR="0015153B">
        <w:rPr>
          <w:rFonts w:ascii="Century Gothic" w:hAnsi="Century Gothic"/>
        </w:rPr>
        <w:t xml:space="preserve"> quali </w:t>
      </w:r>
      <w:r>
        <w:rPr>
          <w:rFonts w:ascii="Century Gothic" w:hAnsi="Century Gothic"/>
        </w:rPr>
        <w:t>le amministrazioni comunali possono inoltrare delle segnalazioni qualificate all’Agenzia delle Entrate</w:t>
      </w:r>
      <w:r w:rsidR="00D14232">
        <w:rPr>
          <w:rFonts w:ascii="Century Gothic" w:hAnsi="Century Gothic"/>
        </w:rPr>
        <w:t xml:space="preserve"> quali</w:t>
      </w:r>
      <w:r>
        <w:rPr>
          <w:rFonts w:ascii="Century Gothic" w:hAnsi="Century Gothic"/>
        </w:rPr>
        <w:t xml:space="preserve">: </w:t>
      </w:r>
      <w:r w:rsidRPr="005C3B47">
        <w:rPr>
          <w:rFonts w:ascii="Century Gothic" w:hAnsi="Century Gothic"/>
        </w:rPr>
        <w:t>commercio e professioni; urbanistica e territorio; proprietà edilizie e patrimonio immobiliare; residenze fittizie all'estero; disponibilità di beni indicativi di capacità contributiva.</w:t>
      </w:r>
      <w:r>
        <w:rPr>
          <w:rFonts w:ascii="Century Gothic" w:hAnsi="Century Gothic"/>
        </w:rPr>
        <w:t xml:space="preserve"> </w:t>
      </w:r>
    </w:p>
    <w:p w:rsidR="00153933" w:rsidRPr="00153933" w:rsidRDefault="005C3B47" w:rsidP="00D14232">
      <w:pPr>
        <w:jc w:val="both"/>
        <w:rPr>
          <w:rFonts w:ascii="Century Gothic" w:hAnsi="Century Gothic"/>
        </w:rPr>
      </w:pPr>
      <w:r>
        <w:rPr>
          <w:rFonts w:ascii="Century Gothic" w:hAnsi="Century Gothic"/>
        </w:rPr>
        <w:t>Solta</w:t>
      </w:r>
      <w:r w:rsidR="00BC4BD2">
        <w:rPr>
          <w:rFonts w:ascii="Century Gothic" w:hAnsi="Century Gothic"/>
        </w:rPr>
        <w:t>nto in pochi accordi, in abbinamento alle misure contro l’evasione dei tributi locali, sono previste iniziative di compartecipazione alla lotta all’evasione statale mediante il sistema delle segnalazioni qualificate. Si può comunque ritenere un inizio di attività che si auspica che nel tempo diventino più strutturate e diffuse</w:t>
      </w:r>
      <w:r w:rsidR="00D209C5">
        <w:rPr>
          <w:rFonts w:ascii="Century Gothic" w:hAnsi="Century Gothic"/>
        </w:rPr>
        <w:t xml:space="preserve">, grazie </w:t>
      </w:r>
      <w:r w:rsidR="00D209C5" w:rsidRPr="005D2FEE">
        <w:rPr>
          <w:rFonts w:ascii="Century Gothic" w:hAnsi="Century Gothic"/>
        </w:rPr>
        <w:t xml:space="preserve">anche </w:t>
      </w:r>
      <w:r w:rsidR="001F4C61" w:rsidRPr="005D2FEE">
        <w:rPr>
          <w:rFonts w:ascii="Century Gothic" w:hAnsi="Century Gothic"/>
        </w:rPr>
        <w:t>all</w:t>
      </w:r>
      <w:r w:rsidR="001544DA" w:rsidRPr="005D2FEE">
        <w:rPr>
          <w:rFonts w:ascii="Century Gothic" w:hAnsi="Century Gothic"/>
        </w:rPr>
        <w:t>o stimolo</w:t>
      </w:r>
      <w:r w:rsidR="001544DA">
        <w:rPr>
          <w:rFonts w:ascii="Century Gothic" w:hAnsi="Century Gothic"/>
        </w:rPr>
        <w:t xml:space="preserve"> della </w:t>
      </w:r>
      <w:r w:rsidR="00D209C5" w:rsidRPr="001F4C61">
        <w:rPr>
          <w:rFonts w:ascii="Century Gothic" w:hAnsi="Century Gothic"/>
        </w:rPr>
        <w:t>contrattazione sociale</w:t>
      </w:r>
      <w:r w:rsidR="00BC4BD2" w:rsidRPr="001F4C61">
        <w:rPr>
          <w:rFonts w:ascii="Century Gothic" w:hAnsi="Century Gothic"/>
        </w:rPr>
        <w:t>.</w:t>
      </w:r>
      <w:r w:rsidR="00BC4BD2">
        <w:rPr>
          <w:rFonts w:ascii="Century Gothic" w:hAnsi="Century Gothic"/>
        </w:rPr>
        <w:t xml:space="preserve"> </w:t>
      </w:r>
    </w:p>
    <w:p w:rsidR="00540A38" w:rsidRDefault="00153933" w:rsidP="00CA26F0">
      <w:pPr>
        <w:jc w:val="both"/>
        <w:rPr>
          <w:rFonts w:ascii="Century Gothic" w:hAnsi="Century Gothic"/>
        </w:rPr>
      </w:pPr>
      <w:r>
        <w:rPr>
          <w:rFonts w:ascii="Century Gothic" w:hAnsi="Century Gothic"/>
        </w:rPr>
        <w:t>Come più volte ricordato, l</w:t>
      </w:r>
      <w:r w:rsidR="00540A38">
        <w:rPr>
          <w:rFonts w:ascii="Century Gothic" w:hAnsi="Century Gothic"/>
        </w:rPr>
        <w:t>a lotta all’evasione fiscale</w:t>
      </w:r>
      <w:r>
        <w:rPr>
          <w:rFonts w:ascii="Century Gothic" w:hAnsi="Century Gothic"/>
        </w:rPr>
        <w:t>,</w:t>
      </w:r>
      <w:r w:rsidR="00540A38">
        <w:rPr>
          <w:rFonts w:ascii="Century Gothic" w:hAnsi="Century Gothic"/>
        </w:rPr>
        <w:t xml:space="preserve"> oltre a </w:t>
      </w:r>
      <w:r>
        <w:rPr>
          <w:rFonts w:ascii="Century Gothic" w:hAnsi="Century Gothic"/>
        </w:rPr>
        <w:t>ricondursi a</w:t>
      </w:r>
      <w:r w:rsidR="00540A38">
        <w:rPr>
          <w:rFonts w:ascii="Century Gothic" w:hAnsi="Century Gothic"/>
        </w:rPr>
        <w:t xml:space="preserve"> una questione di legalità</w:t>
      </w:r>
      <w:r>
        <w:rPr>
          <w:rFonts w:ascii="Century Gothic" w:hAnsi="Century Gothic"/>
        </w:rPr>
        <w:t>,</w:t>
      </w:r>
      <w:r w:rsidR="00540A38">
        <w:rPr>
          <w:rFonts w:ascii="Century Gothic" w:hAnsi="Century Gothic"/>
        </w:rPr>
        <w:t xml:space="preserve"> è uno strumento per disporre di risorse </w:t>
      </w:r>
      <w:r>
        <w:rPr>
          <w:rFonts w:ascii="Century Gothic" w:hAnsi="Century Gothic"/>
        </w:rPr>
        <w:t>da indirizzare ai servizi sociali territoriali a tutela delle fasce più bisognose, soprattutto in un contesto di minori entrate per le amministrazioni locali.</w:t>
      </w:r>
    </w:p>
    <w:p w:rsidR="00EC2D0C" w:rsidRDefault="00EC2D0C" w:rsidP="00DD1D58">
      <w:pPr>
        <w:jc w:val="both"/>
        <w:rPr>
          <w:rFonts w:ascii="Century Gothic" w:hAnsi="Century Gothic"/>
        </w:rPr>
      </w:pPr>
    </w:p>
    <w:p w:rsidR="00DD1D58" w:rsidRDefault="00DD1D58" w:rsidP="00DD1D58">
      <w:pPr>
        <w:jc w:val="both"/>
        <w:rPr>
          <w:rFonts w:ascii="Century Gothic" w:hAnsi="Century Gothic"/>
          <w:b/>
        </w:rPr>
      </w:pPr>
      <w:r w:rsidRPr="005D2FEE">
        <w:rPr>
          <w:rFonts w:ascii="Century Gothic" w:hAnsi="Century Gothic"/>
          <w:b/>
        </w:rPr>
        <w:t>Politiche socio-sanitarie e assistenziali</w:t>
      </w:r>
    </w:p>
    <w:p w:rsidR="008626C4" w:rsidRPr="00D8521C" w:rsidRDefault="008626C4" w:rsidP="00DD1D58">
      <w:pPr>
        <w:jc w:val="both"/>
        <w:rPr>
          <w:rFonts w:ascii="Century Gothic" w:hAnsi="Century Gothic"/>
          <w:b/>
        </w:rPr>
      </w:pPr>
    </w:p>
    <w:p w:rsidR="00DD1D58" w:rsidRDefault="00DD1D58" w:rsidP="00DD1D58">
      <w:pPr>
        <w:jc w:val="both"/>
        <w:rPr>
          <w:rFonts w:ascii="Century Gothic" w:hAnsi="Century Gothic"/>
        </w:rPr>
      </w:pPr>
      <w:r>
        <w:rPr>
          <w:rFonts w:ascii="Century Gothic" w:hAnsi="Century Gothic"/>
        </w:rPr>
        <w:t xml:space="preserve">Come </w:t>
      </w:r>
      <w:r w:rsidR="00B742A9">
        <w:rPr>
          <w:rFonts w:ascii="Century Gothic" w:hAnsi="Century Gothic"/>
        </w:rPr>
        <w:t xml:space="preserve">più volte osservato anche </w:t>
      </w:r>
      <w:r>
        <w:rPr>
          <w:rFonts w:ascii="Century Gothic" w:hAnsi="Century Gothic"/>
        </w:rPr>
        <w:t xml:space="preserve">a livello nazionale, le politiche socio-sanitarie e assistenziali </w:t>
      </w:r>
      <w:r w:rsidR="00B742A9">
        <w:rPr>
          <w:rFonts w:ascii="Century Gothic" w:hAnsi="Century Gothic"/>
        </w:rPr>
        <w:t>costituiscono</w:t>
      </w:r>
      <w:r>
        <w:rPr>
          <w:rFonts w:ascii="Century Gothic" w:hAnsi="Century Gothic"/>
        </w:rPr>
        <w:t xml:space="preserve"> il cuore della contrattazione sociale territoriale, insieme alle politiche fiscali tributarie e tariffarie. Nel 201</w:t>
      </w:r>
      <w:r w:rsidR="00B742A9">
        <w:rPr>
          <w:rFonts w:ascii="Century Gothic" w:hAnsi="Century Gothic"/>
        </w:rPr>
        <w:t>6</w:t>
      </w:r>
      <w:r>
        <w:rPr>
          <w:rFonts w:ascii="Century Gothic" w:hAnsi="Century Gothic"/>
        </w:rPr>
        <w:t xml:space="preserve">, </w:t>
      </w:r>
      <w:r w:rsidR="00B742A9">
        <w:rPr>
          <w:rFonts w:ascii="Century Gothic" w:hAnsi="Century Gothic"/>
        </w:rPr>
        <w:t xml:space="preserve">anche </w:t>
      </w:r>
      <w:r>
        <w:rPr>
          <w:rFonts w:ascii="Century Gothic" w:hAnsi="Century Gothic"/>
        </w:rPr>
        <w:t xml:space="preserve">in Toscana </w:t>
      </w:r>
      <w:r w:rsidR="00422E57">
        <w:rPr>
          <w:rFonts w:ascii="Century Gothic" w:hAnsi="Century Gothic"/>
        </w:rPr>
        <w:t xml:space="preserve">questa area </w:t>
      </w:r>
      <w:r w:rsidR="00B742A9">
        <w:rPr>
          <w:rFonts w:ascii="Century Gothic" w:hAnsi="Century Gothic"/>
        </w:rPr>
        <w:t>rimane</w:t>
      </w:r>
      <w:r>
        <w:rPr>
          <w:rFonts w:ascii="Century Gothic" w:hAnsi="Century Gothic"/>
        </w:rPr>
        <w:t xml:space="preserve"> uno de</w:t>
      </w:r>
      <w:r w:rsidR="00B742A9">
        <w:rPr>
          <w:rFonts w:ascii="Century Gothic" w:hAnsi="Century Gothic"/>
        </w:rPr>
        <w:t>gli ambiti prevalenti</w:t>
      </w:r>
      <w:r>
        <w:rPr>
          <w:rFonts w:ascii="Century Gothic" w:hAnsi="Century Gothic"/>
        </w:rPr>
        <w:t xml:space="preserve"> della negoziazione sociale</w:t>
      </w:r>
      <w:r w:rsidR="00F50017">
        <w:rPr>
          <w:rFonts w:ascii="Century Gothic" w:hAnsi="Century Gothic"/>
        </w:rPr>
        <w:t xml:space="preserve">, </w:t>
      </w:r>
      <w:r w:rsidR="00B742A9">
        <w:rPr>
          <w:rFonts w:ascii="Century Gothic" w:hAnsi="Century Gothic"/>
        </w:rPr>
        <w:t>trattata</w:t>
      </w:r>
      <w:r w:rsidR="00F50017">
        <w:rPr>
          <w:rFonts w:ascii="Century Gothic" w:hAnsi="Century Gothic"/>
        </w:rPr>
        <w:t xml:space="preserve"> </w:t>
      </w:r>
      <w:r w:rsidR="00F50017" w:rsidRPr="008A16BD">
        <w:rPr>
          <w:rFonts w:ascii="Century Gothic" w:hAnsi="Century Gothic"/>
        </w:rPr>
        <w:t xml:space="preserve">in </w:t>
      </w:r>
      <w:r w:rsidR="001B2912" w:rsidRPr="008A16BD">
        <w:rPr>
          <w:rFonts w:ascii="Century Gothic" w:hAnsi="Century Gothic"/>
        </w:rPr>
        <w:t>quattro quinti</w:t>
      </w:r>
      <w:r w:rsidR="00F50017" w:rsidRPr="008A16BD">
        <w:rPr>
          <w:rFonts w:ascii="Century Gothic" w:hAnsi="Century Gothic"/>
        </w:rPr>
        <w:t xml:space="preserve"> delle intese</w:t>
      </w:r>
      <w:r w:rsidR="001B2912" w:rsidRPr="008A16BD">
        <w:rPr>
          <w:rFonts w:ascii="Century Gothic" w:hAnsi="Century Gothic"/>
        </w:rPr>
        <w:t xml:space="preserve"> (80%)</w:t>
      </w:r>
      <w:r w:rsidRPr="008A16BD">
        <w:rPr>
          <w:rFonts w:ascii="Century Gothic" w:hAnsi="Century Gothic"/>
        </w:rPr>
        <w:t>.</w:t>
      </w:r>
    </w:p>
    <w:p w:rsidR="00B742A9" w:rsidRDefault="00B742A9" w:rsidP="00CC4F45">
      <w:pPr>
        <w:jc w:val="both"/>
        <w:rPr>
          <w:rFonts w:ascii="Century Gothic" w:hAnsi="Century Gothic"/>
        </w:rPr>
      </w:pPr>
      <w:r>
        <w:rPr>
          <w:rFonts w:ascii="Century Gothic" w:hAnsi="Century Gothic"/>
        </w:rPr>
        <w:t>Se, come rilevato precedentemente, l’obiettivo principale è quello del mantenimento del</w:t>
      </w:r>
      <w:r w:rsidRPr="00F23E18">
        <w:rPr>
          <w:rFonts w:ascii="Century Gothic" w:hAnsi="Century Gothic"/>
        </w:rPr>
        <w:t xml:space="preserve"> livello </w:t>
      </w:r>
      <w:r>
        <w:rPr>
          <w:rFonts w:ascii="Century Gothic" w:hAnsi="Century Gothic"/>
        </w:rPr>
        <w:t xml:space="preserve">dei servizi, </w:t>
      </w:r>
      <w:r w:rsidR="004A1484">
        <w:rPr>
          <w:rFonts w:ascii="Century Gothic" w:hAnsi="Century Gothic"/>
        </w:rPr>
        <w:t xml:space="preserve">pur in presenza di risorse limitate, </w:t>
      </w:r>
      <w:r>
        <w:rPr>
          <w:rFonts w:ascii="Century Gothic" w:hAnsi="Century Gothic"/>
        </w:rPr>
        <w:t xml:space="preserve">ciò vale in particolar modo per le prestazioni </w:t>
      </w:r>
      <w:r w:rsidRPr="00F23E18">
        <w:rPr>
          <w:rFonts w:ascii="Century Gothic" w:hAnsi="Century Gothic"/>
        </w:rPr>
        <w:t>socio-assistenziali</w:t>
      </w:r>
      <w:r>
        <w:rPr>
          <w:rFonts w:ascii="Century Gothic" w:hAnsi="Century Gothic"/>
        </w:rPr>
        <w:t xml:space="preserve">. </w:t>
      </w:r>
    </w:p>
    <w:p w:rsidR="00CC4F45" w:rsidRDefault="00422E57" w:rsidP="00CC4F45">
      <w:pPr>
        <w:jc w:val="both"/>
        <w:rPr>
          <w:rFonts w:ascii="Century Gothic" w:hAnsi="Century Gothic"/>
        </w:rPr>
      </w:pPr>
      <w:r>
        <w:rPr>
          <w:rFonts w:ascii="Century Gothic" w:hAnsi="Century Gothic"/>
        </w:rPr>
        <w:t xml:space="preserve">In alcuni accordi </w:t>
      </w:r>
      <w:r w:rsidR="004A1484">
        <w:rPr>
          <w:rFonts w:ascii="Century Gothic" w:hAnsi="Century Gothic"/>
        </w:rPr>
        <w:t>sono presenti solo</w:t>
      </w:r>
      <w:r>
        <w:rPr>
          <w:rFonts w:ascii="Century Gothic" w:hAnsi="Century Gothic"/>
        </w:rPr>
        <w:t xml:space="preserve"> affermazioni generiche</w:t>
      </w:r>
      <w:r w:rsidR="004A1484">
        <w:rPr>
          <w:rFonts w:ascii="Century Gothic" w:hAnsi="Century Gothic"/>
        </w:rPr>
        <w:t xml:space="preserve"> di mantenimento del livello della spesa sociale</w:t>
      </w:r>
      <w:r>
        <w:rPr>
          <w:rFonts w:ascii="Century Gothic" w:hAnsi="Century Gothic"/>
        </w:rPr>
        <w:t xml:space="preserve">, </w:t>
      </w:r>
      <w:r w:rsidR="004A1484">
        <w:rPr>
          <w:rFonts w:ascii="Century Gothic" w:hAnsi="Century Gothic"/>
        </w:rPr>
        <w:t xml:space="preserve">rimandando probabilmente alla lettura delle voci di bilancio oppure ad accordi precedenti. In altri </w:t>
      </w:r>
      <w:r w:rsidR="00534455">
        <w:rPr>
          <w:rFonts w:ascii="Century Gothic" w:hAnsi="Century Gothic"/>
        </w:rPr>
        <w:t>sono presenti paragrafi dettagliati con la descrizione</w:t>
      </w:r>
      <w:r>
        <w:rPr>
          <w:rFonts w:ascii="Century Gothic" w:hAnsi="Century Gothic"/>
        </w:rPr>
        <w:t xml:space="preserve"> </w:t>
      </w:r>
      <w:r w:rsidR="00534455">
        <w:rPr>
          <w:rFonts w:ascii="Century Gothic" w:hAnsi="Century Gothic"/>
        </w:rPr>
        <w:t>del</w:t>
      </w:r>
      <w:r w:rsidR="00D82A56">
        <w:rPr>
          <w:rFonts w:ascii="Century Gothic" w:hAnsi="Century Gothic"/>
        </w:rPr>
        <w:t>le tipologie di intervento</w:t>
      </w:r>
      <w:r w:rsidR="00313638">
        <w:rPr>
          <w:rFonts w:ascii="Century Gothic" w:hAnsi="Century Gothic"/>
        </w:rPr>
        <w:t>,</w:t>
      </w:r>
      <w:r w:rsidR="00D82A56">
        <w:rPr>
          <w:rFonts w:ascii="Century Gothic" w:hAnsi="Century Gothic"/>
        </w:rPr>
        <w:t xml:space="preserve"> che</w:t>
      </w:r>
      <w:r w:rsidR="001F4C61">
        <w:rPr>
          <w:rFonts w:ascii="Century Gothic" w:hAnsi="Century Gothic"/>
        </w:rPr>
        <w:t>,</w:t>
      </w:r>
      <w:r w:rsidR="00D82A56">
        <w:rPr>
          <w:rFonts w:ascii="Century Gothic" w:hAnsi="Century Gothic"/>
        </w:rPr>
        <w:t xml:space="preserve"> nel caso dell’assistenza in strutture resid</w:t>
      </w:r>
      <w:r w:rsidR="00BB27BE">
        <w:rPr>
          <w:rFonts w:ascii="Century Gothic" w:hAnsi="Century Gothic"/>
        </w:rPr>
        <w:t xml:space="preserve">enziali, semiresidenziali o di </w:t>
      </w:r>
      <w:r w:rsidR="00D82A56">
        <w:rPr>
          <w:rFonts w:ascii="Century Gothic" w:hAnsi="Century Gothic"/>
        </w:rPr>
        <w:t>quella domiciliare</w:t>
      </w:r>
      <w:r w:rsidR="00313638">
        <w:rPr>
          <w:rFonts w:ascii="Century Gothic" w:hAnsi="Century Gothic"/>
        </w:rPr>
        <w:t>,</w:t>
      </w:r>
      <w:r w:rsidR="00D82A56">
        <w:rPr>
          <w:rFonts w:ascii="Century Gothic" w:hAnsi="Century Gothic"/>
        </w:rPr>
        <w:t xml:space="preserve"> spesso sono </w:t>
      </w:r>
      <w:r w:rsidR="00313638">
        <w:rPr>
          <w:rFonts w:ascii="Century Gothic" w:hAnsi="Century Gothic"/>
        </w:rPr>
        <w:t>in relazione</w:t>
      </w:r>
      <w:r w:rsidR="00D82A56">
        <w:rPr>
          <w:rFonts w:ascii="Century Gothic" w:hAnsi="Century Gothic"/>
        </w:rPr>
        <w:t xml:space="preserve"> con </w:t>
      </w:r>
      <w:r w:rsidR="007F11F1">
        <w:rPr>
          <w:rFonts w:ascii="Century Gothic" w:hAnsi="Century Gothic"/>
        </w:rPr>
        <w:t>i provvedimenti</w:t>
      </w:r>
      <w:r w:rsidR="00D82A56">
        <w:rPr>
          <w:rFonts w:ascii="Century Gothic" w:hAnsi="Century Gothic"/>
        </w:rPr>
        <w:t xml:space="preserve"> per la non auto-sufficienza. </w:t>
      </w:r>
      <w:r w:rsidR="00BB27BE">
        <w:rPr>
          <w:rFonts w:ascii="Century Gothic" w:hAnsi="Century Gothic"/>
        </w:rPr>
        <w:t xml:space="preserve">Per quanto riguarda i servizi </w:t>
      </w:r>
      <w:r w:rsidR="007555D8">
        <w:rPr>
          <w:rFonts w:ascii="Century Gothic" w:hAnsi="Century Gothic"/>
        </w:rPr>
        <w:t xml:space="preserve">territoriali, come nel 2015, </w:t>
      </w:r>
      <w:r w:rsidR="007F11F1">
        <w:rPr>
          <w:rFonts w:ascii="Century Gothic" w:hAnsi="Century Gothic"/>
        </w:rPr>
        <w:t>l’accento è posto</w:t>
      </w:r>
      <w:r w:rsidR="00BB27BE">
        <w:rPr>
          <w:rFonts w:ascii="Century Gothic" w:hAnsi="Century Gothic"/>
        </w:rPr>
        <w:t xml:space="preserve"> </w:t>
      </w:r>
      <w:r w:rsidR="007F11F1">
        <w:rPr>
          <w:rFonts w:ascii="Century Gothic" w:hAnsi="Century Gothic"/>
        </w:rPr>
        <w:t>sulle</w:t>
      </w:r>
      <w:r w:rsidR="00BB27BE">
        <w:rPr>
          <w:rFonts w:ascii="Century Gothic" w:hAnsi="Century Gothic"/>
        </w:rPr>
        <w:t xml:space="preserve"> Case della Salute, considerate </w:t>
      </w:r>
      <w:r w:rsidR="007555D8">
        <w:rPr>
          <w:rFonts w:ascii="Century Gothic" w:hAnsi="Century Gothic"/>
        </w:rPr>
        <w:t xml:space="preserve">uno dei </w:t>
      </w:r>
      <w:r w:rsidR="00DF47A1">
        <w:rPr>
          <w:rFonts w:ascii="Century Gothic" w:hAnsi="Century Gothic"/>
        </w:rPr>
        <w:t>cardini</w:t>
      </w:r>
      <w:r w:rsidR="007555D8">
        <w:rPr>
          <w:rFonts w:ascii="Century Gothic" w:hAnsi="Century Gothic"/>
        </w:rPr>
        <w:t xml:space="preserve"> della</w:t>
      </w:r>
      <w:r w:rsidR="00BB27BE">
        <w:rPr>
          <w:rFonts w:ascii="Century Gothic" w:hAnsi="Century Gothic"/>
        </w:rPr>
        <w:t xml:space="preserve"> riorganizzazione del sistema sanitario </w:t>
      </w:r>
      <w:r w:rsidR="007F11F1">
        <w:rPr>
          <w:rFonts w:ascii="Century Gothic" w:hAnsi="Century Gothic"/>
        </w:rPr>
        <w:t>regionale</w:t>
      </w:r>
      <w:r w:rsidR="00DF47A1">
        <w:rPr>
          <w:rFonts w:ascii="Century Gothic" w:hAnsi="Century Gothic"/>
        </w:rPr>
        <w:t xml:space="preserve"> a </w:t>
      </w:r>
      <w:r w:rsidR="00DF47A1" w:rsidRPr="001F4C61">
        <w:rPr>
          <w:rFonts w:ascii="Century Gothic" w:hAnsi="Century Gothic"/>
        </w:rPr>
        <w:t>livello locale</w:t>
      </w:r>
      <w:r w:rsidR="00BB27BE">
        <w:rPr>
          <w:rFonts w:ascii="Century Gothic" w:hAnsi="Century Gothic"/>
        </w:rPr>
        <w:t xml:space="preserve">. </w:t>
      </w:r>
      <w:r w:rsidR="00DF47A1">
        <w:rPr>
          <w:rFonts w:ascii="Century Gothic" w:hAnsi="Century Gothic"/>
        </w:rPr>
        <w:t>Tale tematica è particolarmente sentita negli accordi sottoscritti nella provincia di Livorno, dove</w:t>
      </w:r>
      <w:r w:rsidR="007F11F1">
        <w:rPr>
          <w:rFonts w:ascii="Century Gothic" w:hAnsi="Century Gothic"/>
        </w:rPr>
        <w:t>,</w:t>
      </w:r>
      <w:r w:rsidR="00DF47A1">
        <w:rPr>
          <w:rFonts w:ascii="Century Gothic" w:hAnsi="Century Gothic"/>
        </w:rPr>
        <w:t xml:space="preserve"> a partire dal 2015</w:t>
      </w:r>
      <w:r w:rsidR="007F11F1">
        <w:rPr>
          <w:rFonts w:ascii="Century Gothic" w:hAnsi="Century Gothic"/>
        </w:rPr>
        <w:t>,</w:t>
      </w:r>
      <w:r w:rsidR="00DF47A1">
        <w:rPr>
          <w:rFonts w:ascii="Century Gothic" w:hAnsi="Century Gothic"/>
        </w:rPr>
        <w:t xml:space="preserve"> è stata condotta una diffusa campagna di mobilitazione ai fini di una completa realizzazione </w:t>
      </w:r>
      <w:r w:rsidR="007F11F1">
        <w:rPr>
          <w:rFonts w:ascii="Century Gothic" w:hAnsi="Century Gothic"/>
        </w:rPr>
        <w:t xml:space="preserve">della rete di questi presidi territoriali. </w:t>
      </w:r>
    </w:p>
    <w:p w:rsidR="006E49B8" w:rsidRDefault="00A40E9E" w:rsidP="00085C90">
      <w:pPr>
        <w:jc w:val="both"/>
        <w:rPr>
          <w:rFonts w:ascii="Century Gothic" w:hAnsi="Century Gothic"/>
        </w:rPr>
      </w:pPr>
      <w:r>
        <w:rPr>
          <w:rFonts w:ascii="Century Gothic" w:hAnsi="Century Gothic"/>
        </w:rPr>
        <w:t xml:space="preserve">Passando dal tema </w:t>
      </w:r>
      <w:r w:rsidR="007F11F1">
        <w:rPr>
          <w:rFonts w:ascii="Century Gothic" w:hAnsi="Century Gothic"/>
        </w:rPr>
        <w:t xml:space="preserve">delle tipologie </w:t>
      </w:r>
      <w:r>
        <w:rPr>
          <w:rFonts w:ascii="Century Gothic" w:hAnsi="Century Gothic"/>
        </w:rPr>
        <w:t xml:space="preserve">dei servizi a quello </w:t>
      </w:r>
      <w:r w:rsidR="007F11F1">
        <w:rPr>
          <w:rFonts w:ascii="Century Gothic" w:hAnsi="Century Gothic"/>
        </w:rPr>
        <w:t xml:space="preserve">più generale </w:t>
      </w:r>
      <w:r>
        <w:rPr>
          <w:rFonts w:ascii="Century Gothic" w:hAnsi="Century Gothic"/>
        </w:rPr>
        <w:t>della programmazione</w:t>
      </w:r>
      <w:r w:rsidR="00143AC6">
        <w:rPr>
          <w:rFonts w:ascii="Century Gothic" w:hAnsi="Century Gothic"/>
        </w:rPr>
        <w:t>,</w:t>
      </w:r>
      <w:r>
        <w:rPr>
          <w:rFonts w:ascii="Century Gothic" w:hAnsi="Century Gothic"/>
        </w:rPr>
        <w:t xml:space="preserve"> si può rilevare come, i</w:t>
      </w:r>
      <w:r w:rsidR="00313638">
        <w:rPr>
          <w:rFonts w:ascii="Century Gothic" w:hAnsi="Century Gothic"/>
        </w:rPr>
        <w:t xml:space="preserve">n una fase di </w:t>
      </w:r>
      <w:r w:rsidR="006D6972">
        <w:rPr>
          <w:rFonts w:ascii="Century Gothic" w:hAnsi="Century Gothic"/>
        </w:rPr>
        <w:t>scarsità</w:t>
      </w:r>
      <w:r w:rsidR="00313638">
        <w:rPr>
          <w:rFonts w:ascii="Century Gothic" w:hAnsi="Century Gothic"/>
        </w:rPr>
        <w:t xml:space="preserve"> di risorse, </w:t>
      </w:r>
      <w:r w:rsidR="00143AC6">
        <w:rPr>
          <w:rFonts w:ascii="Century Gothic" w:hAnsi="Century Gothic"/>
        </w:rPr>
        <w:t>diventi rilevante</w:t>
      </w:r>
      <w:r w:rsidR="006D6972">
        <w:rPr>
          <w:rFonts w:ascii="Century Gothic" w:hAnsi="Century Gothic"/>
        </w:rPr>
        <w:t xml:space="preserve"> la gestione della spesa </w:t>
      </w:r>
      <w:r w:rsidR="006D6972" w:rsidRPr="001B2912">
        <w:rPr>
          <w:rFonts w:ascii="Century Gothic" w:hAnsi="Century Gothic"/>
        </w:rPr>
        <w:t>socio-</w:t>
      </w:r>
      <w:r w:rsidR="006E49B8">
        <w:rPr>
          <w:rFonts w:ascii="Century Gothic" w:hAnsi="Century Gothic"/>
        </w:rPr>
        <w:t>sanitaria</w:t>
      </w:r>
      <w:r w:rsidR="006D6972">
        <w:rPr>
          <w:rFonts w:ascii="Century Gothic" w:hAnsi="Century Gothic"/>
        </w:rPr>
        <w:t xml:space="preserve"> </w:t>
      </w:r>
      <w:r w:rsidR="006D6972" w:rsidRPr="008A16BD">
        <w:rPr>
          <w:rFonts w:ascii="Century Gothic" w:hAnsi="Century Gothic"/>
        </w:rPr>
        <w:t>all’interno di un ambito comunale</w:t>
      </w:r>
      <w:r w:rsidR="001B2912" w:rsidRPr="008A16BD">
        <w:rPr>
          <w:rFonts w:ascii="Century Gothic" w:hAnsi="Century Gothic"/>
        </w:rPr>
        <w:t xml:space="preserve"> e/o di zona distretto</w:t>
      </w:r>
      <w:r w:rsidR="006D6972" w:rsidRPr="008A16BD">
        <w:rPr>
          <w:rFonts w:ascii="Century Gothic" w:hAnsi="Century Gothic"/>
        </w:rPr>
        <w:t>, considerando anche la riorganizzazione del sistema sanitario regionale che si articola</w:t>
      </w:r>
      <w:r w:rsidR="001B2912" w:rsidRPr="008A16BD">
        <w:rPr>
          <w:rFonts w:ascii="Century Gothic" w:hAnsi="Century Gothic"/>
        </w:rPr>
        <w:t xml:space="preserve"> </w:t>
      </w:r>
      <w:r w:rsidR="006D6972" w:rsidRPr="008A16BD">
        <w:rPr>
          <w:rFonts w:ascii="Century Gothic" w:hAnsi="Century Gothic"/>
        </w:rPr>
        <w:t xml:space="preserve">su livelli più </w:t>
      </w:r>
      <w:r w:rsidR="00143AC6" w:rsidRPr="008A16BD">
        <w:rPr>
          <w:rFonts w:ascii="Century Gothic" w:hAnsi="Century Gothic"/>
        </w:rPr>
        <w:t>accentrati</w:t>
      </w:r>
      <w:r w:rsidR="001B2912" w:rsidRPr="008A16BD">
        <w:rPr>
          <w:rFonts w:ascii="Century Gothic" w:hAnsi="Century Gothic"/>
        </w:rPr>
        <w:t xml:space="preserve"> (tre aree vaste)</w:t>
      </w:r>
      <w:r w:rsidR="006D6972" w:rsidRPr="008A16BD">
        <w:rPr>
          <w:rFonts w:ascii="Century Gothic" w:hAnsi="Century Gothic"/>
        </w:rPr>
        <w:t>.</w:t>
      </w:r>
    </w:p>
    <w:p w:rsidR="00C74195" w:rsidRDefault="001B2912" w:rsidP="006E49B8">
      <w:pPr>
        <w:jc w:val="both"/>
        <w:rPr>
          <w:rFonts w:ascii="Century Gothic" w:hAnsi="Century Gothic"/>
        </w:rPr>
      </w:pPr>
      <w:r>
        <w:rPr>
          <w:rFonts w:ascii="Century Gothic" w:hAnsi="Century Gothic"/>
        </w:rPr>
        <w:t>In</w:t>
      </w:r>
      <w:r w:rsidR="006E49B8">
        <w:rPr>
          <w:rFonts w:ascii="Century Gothic" w:hAnsi="Century Gothic"/>
        </w:rPr>
        <w:t xml:space="preserve"> diversi accordi è</w:t>
      </w:r>
      <w:r>
        <w:rPr>
          <w:rFonts w:ascii="Century Gothic" w:hAnsi="Century Gothic"/>
        </w:rPr>
        <w:t xml:space="preserve">, quindi, </w:t>
      </w:r>
      <w:r w:rsidR="006E49B8">
        <w:rPr>
          <w:rFonts w:ascii="Century Gothic" w:hAnsi="Century Gothic"/>
        </w:rPr>
        <w:t xml:space="preserve">presente la tematica della programmazione e dell’integrazione socio-sanitaria. </w:t>
      </w:r>
      <w:r>
        <w:rPr>
          <w:rFonts w:ascii="Century Gothic" w:hAnsi="Century Gothic"/>
        </w:rPr>
        <w:t xml:space="preserve">Se </w:t>
      </w:r>
      <w:r w:rsidRPr="008A16BD">
        <w:rPr>
          <w:rFonts w:ascii="Century Gothic" w:hAnsi="Century Gothic"/>
        </w:rPr>
        <w:t>in alcuni casi</w:t>
      </w:r>
      <w:r w:rsidR="006E49B8">
        <w:rPr>
          <w:rFonts w:ascii="Century Gothic" w:hAnsi="Century Gothic"/>
        </w:rPr>
        <w:t xml:space="preserve"> è sottolineato che il conferimento della spesa </w:t>
      </w:r>
      <w:r w:rsidR="006E49B8" w:rsidRPr="001B2912">
        <w:rPr>
          <w:rFonts w:ascii="Century Gothic" w:hAnsi="Century Gothic"/>
        </w:rPr>
        <w:t>socio-assistenziale all’ambito di zona</w:t>
      </w:r>
      <w:r w:rsidR="006E49B8">
        <w:rPr>
          <w:rFonts w:ascii="Century Gothic" w:hAnsi="Century Gothic"/>
        </w:rPr>
        <w:t xml:space="preserve"> comporta benefici in termini di efficienza e di contenimento dei costi, </w:t>
      </w:r>
      <w:r w:rsidRPr="008A16BD">
        <w:rPr>
          <w:rFonts w:ascii="Century Gothic" w:hAnsi="Century Gothic"/>
        </w:rPr>
        <w:t>in altri</w:t>
      </w:r>
      <w:r w:rsidR="008437F5" w:rsidRPr="008437F5">
        <w:rPr>
          <w:rFonts w:ascii="Century Gothic" w:hAnsi="Century Gothic"/>
        </w:rPr>
        <w:t xml:space="preserve"> si auspica che i </w:t>
      </w:r>
      <w:r w:rsidR="008437F5" w:rsidRPr="008437F5">
        <w:rPr>
          <w:rFonts w:ascii="Century Gothic" w:hAnsi="Century Gothic"/>
          <w:bCs/>
        </w:rPr>
        <w:t xml:space="preserve">processi di integrazione </w:t>
      </w:r>
      <w:r w:rsidR="00474050">
        <w:rPr>
          <w:rFonts w:ascii="Century Gothic" w:hAnsi="Century Gothic"/>
          <w:bCs/>
        </w:rPr>
        <w:t xml:space="preserve">e standardizzazione </w:t>
      </w:r>
      <w:r w:rsidR="008437F5" w:rsidRPr="008437F5">
        <w:rPr>
          <w:rFonts w:ascii="Century Gothic" w:hAnsi="Century Gothic"/>
          <w:bCs/>
        </w:rPr>
        <w:t>socio-sanitari</w:t>
      </w:r>
      <w:r w:rsidR="00474050">
        <w:rPr>
          <w:rFonts w:ascii="Century Gothic" w:hAnsi="Century Gothic"/>
          <w:bCs/>
        </w:rPr>
        <w:t>a</w:t>
      </w:r>
      <w:r w:rsidR="008437F5" w:rsidRPr="008437F5">
        <w:rPr>
          <w:rFonts w:ascii="Century Gothic" w:hAnsi="Century Gothic"/>
          <w:bCs/>
        </w:rPr>
        <w:t xml:space="preserve"> </w:t>
      </w:r>
      <w:r w:rsidR="008437F5" w:rsidRPr="008437F5">
        <w:rPr>
          <w:rFonts w:ascii="Century Gothic" w:hAnsi="Century Gothic"/>
        </w:rPr>
        <w:t xml:space="preserve">siano condotti in modo da </w:t>
      </w:r>
      <w:r w:rsidR="008437F5" w:rsidRPr="008437F5">
        <w:rPr>
          <w:rFonts w:ascii="Century Gothic" w:hAnsi="Century Gothic"/>
          <w:bCs/>
        </w:rPr>
        <w:t>non</w:t>
      </w:r>
      <w:r w:rsidR="008437F5" w:rsidRPr="008437F5">
        <w:rPr>
          <w:rFonts w:ascii="Century Gothic" w:hAnsi="Century Gothic"/>
        </w:rPr>
        <w:t xml:space="preserve"> provocare una </w:t>
      </w:r>
      <w:r w:rsidR="008437F5" w:rsidRPr="008437F5">
        <w:rPr>
          <w:rFonts w:ascii="Century Gothic" w:hAnsi="Century Gothic"/>
          <w:bCs/>
        </w:rPr>
        <w:t>penalizzazione delle autonomie e delle esigenze locali</w:t>
      </w:r>
      <w:r w:rsidR="008437F5" w:rsidRPr="008437F5">
        <w:rPr>
          <w:rFonts w:ascii="Century Gothic" w:hAnsi="Century Gothic"/>
        </w:rPr>
        <w:t>, facendo riferimento anche a intese sovra-comunali (</w:t>
      </w:r>
      <w:r w:rsidR="008437F5">
        <w:rPr>
          <w:rFonts w:ascii="Century Gothic" w:hAnsi="Century Gothic"/>
        </w:rPr>
        <w:t>dal livello distrettuale a quello</w:t>
      </w:r>
      <w:r w:rsidR="008437F5" w:rsidRPr="008437F5">
        <w:rPr>
          <w:rFonts w:ascii="Century Gothic" w:hAnsi="Century Gothic"/>
        </w:rPr>
        <w:t xml:space="preserve"> interprovincial</w:t>
      </w:r>
      <w:r w:rsidR="008437F5">
        <w:rPr>
          <w:rFonts w:ascii="Century Gothic" w:hAnsi="Century Gothic"/>
        </w:rPr>
        <w:t>e</w:t>
      </w:r>
      <w:r w:rsidR="008437F5" w:rsidRPr="008437F5">
        <w:rPr>
          <w:rFonts w:ascii="Century Gothic" w:hAnsi="Century Gothic"/>
        </w:rPr>
        <w:t>)</w:t>
      </w:r>
      <w:r w:rsidR="008437F5">
        <w:rPr>
          <w:rFonts w:ascii="Century Gothic" w:hAnsi="Century Gothic"/>
        </w:rPr>
        <w:t xml:space="preserve"> </w:t>
      </w:r>
      <w:r w:rsidR="00C74195">
        <w:rPr>
          <w:rFonts w:ascii="Century Gothic" w:hAnsi="Century Gothic"/>
        </w:rPr>
        <w:t xml:space="preserve">Il rafforzamento dei presidi territoriali come le Case della Salute dovrebbe garantire </w:t>
      </w:r>
      <w:r w:rsidR="00ED7BFE">
        <w:rPr>
          <w:rFonts w:ascii="Century Gothic" w:hAnsi="Century Gothic"/>
        </w:rPr>
        <w:t xml:space="preserve">una copertura diffusa nelle varie aree. </w:t>
      </w:r>
    </w:p>
    <w:p w:rsidR="00ED7BFE" w:rsidRDefault="00ED7BFE" w:rsidP="00ED7BFE">
      <w:pPr>
        <w:jc w:val="both"/>
        <w:rPr>
          <w:rFonts w:ascii="Century Gothic" w:hAnsi="Century Gothic"/>
        </w:rPr>
      </w:pPr>
      <w:r>
        <w:rPr>
          <w:rFonts w:ascii="Century Gothic" w:hAnsi="Century Gothic"/>
        </w:rPr>
        <w:t xml:space="preserve">Come negli anni passati sono presenti interventi </w:t>
      </w:r>
      <w:r w:rsidRPr="00F23E18">
        <w:rPr>
          <w:rFonts w:ascii="Century Gothic" w:hAnsi="Century Gothic"/>
        </w:rPr>
        <w:t xml:space="preserve">di contrasto alla povertà </w:t>
      </w:r>
      <w:r>
        <w:rPr>
          <w:rFonts w:ascii="Century Gothic" w:hAnsi="Century Gothic"/>
        </w:rPr>
        <w:t xml:space="preserve">con </w:t>
      </w:r>
      <w:r w:rsidRPr="00F23E18">
        <w:rPr>
          <w:rFonts w:ascii="Century Gothic" w:hAnsi="Century Gothic"/>
        </w:rPr>
        <w:t>l’istituzione</w:t>
      </w:r>
      <w:r>
        <w:rPr>
          <w:rFonts w:ascii="Century Gothic" w:hAnsi="Century Gothic"/>
        </w:rPr>
        <w:t>, in alcuni casi, di specifici fondi. Le misure</w:t>
      </w:r>
      <w:r w:rsidRPr="00F23E18">
        <w:rPr>
          <w:rFonts w:ascii="Century Gothic" w:hAnsi="Century Gothic"/>
        </w:rPr>
        <w:t xml:space="preserve"> </w:t>
      </w:r>
      <w:r w:rsidRPr="003B748D">
        <w:rPr>
          <w:rFonts w:ascii="Century Gothic" w:hAnsi="Century Gothic"/>
        </w:rPr>
        <w:t>di sostegno</w:t>
      </w:r>
      <w:r>
        <w:rPr>
          <w:rFonts w:ascii="Century Gothic" w:hAnsi="Century Gothic"/>
        </w:rPr>
        <w:t xml:space="preserve"> consistono principalmente in contributi economici una tantum (per il pagamento di rette, tariffe, utenze domestiche, affitti), ma si rilevano anche contributi in beni di prima necessità come pacchi alimentari, vestiario, etc</w:t>
      </w:r>
      <w:r w:rsidRPr="003A5BEF">
        <w:rPr>
          <w:rFonts w:ascii="Century Gothic" w:hAnsi="Century Gothic"/>
        </w:rPr>
        <w:t>.</w:t>
      </w:r>
      <w:r>
        <w:rPr>
          <w:rFonts w:ascii="Century Gothic" w:hAnsi="Century Gothic"/>
        </w:rPr>
        <w:t xml:space="preserve"> In alcuni accordi sono, infatti, previste collaborazioni con catene della grande distribuzione al fine della riduzione degli sprechi alimentari. Come rilevato </w:t>
      </w:r>
      <w:r w:rsidR="005D2FEE">
        <w:rPr>
          <w:rFonts w:ascii="Century Gothic" w:hAnsi="Century Gothic"/>
        </w:rPr>
        <w:t xml:space="preserve">anche </w:t>
      </w:r>
      <w:r>
        <w:rPr>
          <w:rFonts w:ascii="Century Gothic" w:hAnsi="Century Gothic"/>
        </w:rPr>
        <w:t>a livello nazionale, in pochi casi</w:t>
      </w:r>
      <w:r w:rsidR="0045087D">
        <w:rPr>
          <w:rFonts w:ascii="Century Gothic" w:hAnsi="Century Gothic"/>
        </w:rPr>
        <w:t xml:space="preserve"> </w:t>
      </w:r>
      <w:r w:rsidR="00266FFA">
        <w:rPr>
          <w:rFonts w:ascii="Century Gothic" w:hAnsi="Century Gothic"/>
        </w:rPr>
        <w:t>i provvedimenti anti-povertà sono</w:t>
      </w:r>
      <w:r>
        <w:rPr>
          <w:rFonts w:ascii="Century Gothic" w:hAnsi="Century Gothic"/>
        </w:rPr>
        <w:t xml:space="preserve"> accompagna</w:t>
      </w:r>
      <w:r w:rsidR="00266FFA">
        <w:rPr>
          <w:rFonts w:ascii="Century Gothic" w:hAnsi="Century Gothic"/>
        </w:rPr>
        <w:t>ti da</w:t>
      </w:r>
      <w:r>
        <w:rPr>
          <w:rFonts w:ascii="Century Gothic" w:hAnsi="Century Gothic"/>
        </w:rPr>
        <w:t xml:space="preserve"> progetti di inclusione sociale</w:t>
      </w:r>
      <w:r w:rsidR="00266FFA">
        <w:rPr>
          <w:rFonts w:ascii="Century Gothic" w:hAnsi="Century Gothic"/>
        </w:rPr>
        <w:t>.</w:t>
      </w:r>
      <w:r w:rsidR="00D82079">
        <w:rPr>
          <w:rStyle w:val="Rimandonotaapidipagina"/>
          <w:rFonts w:ascii="Century Gothic" w:hAnsi="Century Gothic"/>
        </w:rPr>
        <w:footnoteReference w:id="8"/>
      </w:r>
    </w:p>
    <w:p w:rsidR="00474025" w:rsidRDefault="00474025" w:rsidP="00ED7BFE">
      <w:pPr>
        <w:jc w:val="both"/>
        <w:rPr>
          <w:rFonts w:ascii="Century Gothic" w:hAnsi="Century Gothic"/>
        </w:rPr>
      </w:pPr>
    </w:p>
    <w:p w:rsidR="00281671" w:rsidRDefault="00281671" w:rsidP="00281671">
      <w:pPr>
        <w:jc w:val="both"/>
        <w:rPr>
          <w:rFonts w:ascii="Century Gothic" w:hAnsi="Century Gothic"/>
          <w:b/>
        </w:rPr>
      </w:pPr>
      <w:r w:rsidRPr="005D2FEE">
        <w:rPr>
          <w:rFonts w:ascii="Century Gothic" w:hAnsi="Century Gothic"/>
          <w:b/>
        </w:rPr>
        <w:t>Politiche abitative e del territorio</w:t>
      </w:r>
    </w:p>
    <w:p w:rsidR="009878DB" w:rsidRPr="00755622" w:rsidRDefault="009878DB" w:rsidP="00281671">
      <w:pPr>
        <w:jc w:val="both"/>
        <w:rPr>
          <w:rFonts w:ascii="Century Gothic" w:hAnsi="Century Gothic"/>
          <w:b/>
        </w:rPr>
      </w:pPr>
    </w:p>
    <w:p w:rsidR="00281671" w:rsidRDefault="009878DB" w:rsidP="00281671">
      <w:pPr>
        <w:jc w:val="both"/>
        <w:rPr>
          <w:rFonts w:ascii="Century Gothic" w:hAnsi="Century Gothic"/>
        </w:rPr>
      </w:pPr>
      <w:r>
        <w:rPr>
          <w:rFonts w:ascii="Century Gothic" w:hAnsi="Century Gothic"/>
        </w:rPr>
        <w:t>L’area delle politiche abitative e del territorio compare in una quota rilevante degli accordi (</w:t>
      </w:r>
      <w:r w:rsidR="00EC5E2F" w:rsidRPr="008A16BD">
        <w:rPr>
          <w:rFonts w:ascii="Century Gothic" w:hAnsi="Century Gothic"/>
        </w:rPr>
        <w:t xml:space="preserve">quasi </w:t>
      </w:r>
      <w:r w:rsidR="00DD5779" w:rsidRPr="008A16BD">
        <w:rPr>
          <w:rFonts w:ascii="Century Gothic" w:hAnsi="Century Gothic"/>
        </w:rPr>
        <w:t>tre quarti</w:t>
      </w:r>
      <w:r w:rsidR="00EC5E2F" w:rsidRPr="008A16BD">
        <w:rPr>
          <w:rFonts w:ascii="Century Gothic" w:hAnsi="Century Gothic"/>
        </w:rPr>
        <w:t xml:space="preserve">, il </w:t>
      </w:r>
      <w:r w:rsidRPr="008A16BD">
        <w:rPr>
          <w:rFonts w:ascii="Century Gothic" w:hAnsi="Century Gothic"/>
        </w:rPr>
        <w:t>73%)</w:t>
      </w:r>
      <w:r w:rsidR="00847E68" w:rsidRPr="008A16BD">
        <w:rPr>
          <w:rFonts w:ascii="Century Gothic" w:hAnsi="Century Gothic"/>
        </w:rPr>
        <w:t>,</w:t>
      </w:r>
      <w:r>
        <w:rPr>
          <w:rFonts w:ascii="Century Gothic" w:hAnsi="Century Gothic"/>
        </w:rPr>
        <w:t xml:space="preserve"> e questa diffusa presenza è dovuta soprattutto all’insieme dei provvedimenti per la casa e la condizione abitativa</w:t>
      </w:r>
      <w:r w:rsidR="00847E68">
        <w:rPr>
          <w:rFonts w:ascii="Century Gothic" w:hAnsi="Century Gothic"/>
        </w:rPr>
        <w:t xml:space="preserve">, </w:t>
      </w:r>
      <w:r w:rsidR="00847E68" w:rsidRPr="00847E68">
        <w:rPr>
          <w:rFonts w:ascii="Century Gothic" w:hAnsi="Century Gothic"/>
        </w:rPr>
        <w:t xml:space="preserve">tesi a soddisfare </w:t>
      </w:r>
      <w:r w:rsidR="00847E68">
        <w:rPr>
          <w:rFonts w:ascii="Century Gothic" w:hAnsi="Century Gothic"/>
        </w:rPr>
        <w:t xml:space="preserve">una delle esigenze di base </w:t>
      </w:r>
      <w:r w:rsidR="00847E68" w:rsidRPr="00847E68">
        <w:rPr>
          <w:rFonts w:ascii="Century Gothic" w:hAnsi="Century Gothic"/>
        </w:rPr>
        <w:t>de</w:t>
      </w:r>
      <w:r w:rsidR="007A4232">
        <w:rPr>
          <w:rFonts w:ascii="Century Gothic" w:hAnsi="Century Gothic"/>
        </w:rPr>
        <w:t>i cittadini</w:t>
      </w:r>
      <w:r w:rsidR="00847E68">
        <w:rPr>
          <w:rFonts w:ascii="Century Gothic" w:hAnsi="Century Gothic"/>
        </w:rPr>
        <w:t>.</w:t>
      </w:r>
    </w:p>
    <w:p w:rsidR="00694DAD" w:rsidRDefault="009878DB" w:rsidP="00847E68">
      <w:pPr>
        <w:jc w:val="both"/>
        <w:rPr>
          <w:rFonts w:ascii="Century Gothic" w:hAnsi="Century Gothic"/>
        </w:rPr>
      </w:pPr>
      <w:r>
        <w:rPr>
          <w:rFonts w:ascii="Century Gothic" w:hAnsi="Century Gothic"/>
        </w:rPr>
        <w:t>In una fase di difficoltà per molti nuclei famigliari</w:t>
      </w:r>
      <w:r w:rsidR="00847E68">
        <w:rPr>
          <w:rFonts w:ascii="Century Gothic" w:hAnsi="Century Gothic"/>
        </w:rPr>
        <w:t>,</w:t>
      </w:r>
      <w:r>
        <w:rPr>
          <w:rFonts w:ascii="Century Gothic" w:hAnsi="Century Gothic"/>
        </w:rPr>
        <w:t xml:space="preserve"> </w:t>
      </w:r>
      <w:r w:rsidR="007A4232">
        <w:rPr>
          <w:rFonts w:ascii="Century Gothic" w:hAnsi="Century Gothic"/>
        </w:rPr>
        <w:t>l’intervento</w:t>
      </w:r>
      <w:r>
        <w:rPr>
          <w:rFonts w:ascii="Century Gothic" w:hAnsi="Century Gothic"/>
        </w:rPr>
        <w:t xml:space="preserve"> principale </w:t>
      </w:r>
      <w:r w:rsidR="00847E68">
        <w:rPr>
          <w:rFonts w:ascii="Century Gothic" w:hAnsi="Century Gothic"/>
        </w:rPr>
        <w:t>continua a essere</w:t>
      </w:r>
      <w:r>
        <w:rPr>
          <w:rFonts w:ascii="Century Gothic" w:hAnsi="Century Gothic"/>
        </w:rPr>
        <w:t xml:space="preserve"> </w:t>
      </w:r>
      <w:r w:rsidR="00847E68">
        <w:rPr>
          <w:rFonts w:ascii="Century Gothic" w:hAnsi="Century Gothic"/>
        </w:rPr>
        <w:t xml:space="preserve">il mantenimento dei fondi per il contributo affitti, pur in una situazione di tagli dell’apporto regionale. In alcune intese </w:t>
      </w:r>
      <w:r w:rsidR="007A4232">
        <w:rPr>
          <w:rFonts w:ascii="Century Gothic" w:hAnsi="Century Gothic"/>
        </w:rPr>
        <w:t xml:space="preserve">il sostegno per il pagamento affitti è inserito in una strategia più ampia che prevede </w:t>
      </w:r>
      <w:r w:rsidR="00022101">
        <w:rPr>
          <w:rFonts w:ascii="Century Gothic" w:hAnsi="Century Gothic"/>
        </w:rPr>
        <w:t xml:space="preserve">la </w:t>
      </w:r>
      <w:r w:rsidR="007A4232">
        <w:rPr>
          <w:rFonts w:ascii="Century Gothic" w:hAnsi="Century Gothic"/>
        </w:rPr>
        <w:t>programmazione di edilizia residenziale pubblica</w:t>
      </w:r>
      <w:r w:rsidR="00EC5E2F">
        <w:rPr>
          <w:rFonts w:ascii="Century Gothic" w:hAnsi="Century Gothic"/>
        </w:rPr>
        <w:t>,</w:t>
      </w:r>
      <w:r w:rsidR="007A4232">
        <w:rPr>
          <w:rFonts w:ascii="Century Gothic" w:hAnsi="Century Gothic"/>
        </w:rPr>
        <w:t xml:space="preserve"> per far fronte sia all’emergenza abitativa che ai bisogni della popolazione anziana. Seppur in pochi accordi, sono previsti anche progetti di co-housing, </w:t>
      </w:r>
      <w:r w:rsidR="00694DAD">
        <w:rPr>
          <w:rFonts w:ascii="Century Gothic" w:hAnsi="Century Gothic"/>
        </w:rPr>
        <w:t xml:space="preserve">rivolti a fasce sociali in emergenza abitativa con mancanza di mezzi economici. </w:t>
      </w:r>
    </w:p>
    <w:p w:rsidR="00A52897" w:rsidRDefault="00501C99" w:rsidP="00A52897">
      <w:pPr>
        <w:jc w:val="both"/>
        <w:rPr>
          <w:rFonts w:ascii="Century Gothic" w:hAnsi="Century Gothic"/>
        </w:rPr>
      </w:pPr>
      <w:r>
        <w:rPr>
          <w:rFonts w:ascii="Century Gothic" w:hAnsi="Century Gothic"/>
        </w:rPr>
        <w:t>Nel precedente rapporto</w:t>
      </w:r>
      <w:r w:rsidR="00EC5E2F">
        <w:rPr>
          <w:rFonts w:ascii="Century Gothic" w:hAnsi="Century Gothic"/>
        </w:rPr>
        <w:t>, relativo al</w:t>
      </w:r>
      <w:r>
        <w:rPr>
          <w:rFonts w:ascii="Century Gothic" w:hAnsi="Century Gothic"/>
        </w:rPr>
        <w:t xml:space="preserve"> </w:t>
      </w:r>
      <w:r w:rsidR="005D2FEE">
        <w:rPr>
          <w:rFonts w:ascii="Century Gothic" w:hAnsi="Century Gothic"/>
        </w:rPr>
        <w:t xml:space="preserve">2015, </w:t>
      </w:r>
      <w:r>
        <w:rPr>
          <w:rFonts w:ascii="Century Gothic" w:hAnsi="Century Gothic"/>
        </w:rPr>
        <w:t xml:space="preserve">era stato osservato come </w:t>
      </w:r>
      <w:r w:rsidR="00A52897">
        <w:rPr>
          <w:rFonts w:ascii="Century Gothic" w:hAnsi="Century Gothic"/>
        </w:rPr>
        <w:t>in alcuni comuni della</w:t>
      </w:r>
      <w:r>
        <w:rPr>
          <w:rFonts w:ascii="Century Gothic" w:hAnsi="Century Gothic"/>
        </w:rPr>
        <w:t xml:space="preserve"> provincia di Siena erano stati programmati degli investimenti con durata pluriennale concernenti la gestione del territorio. Tali opere pubbliche continuano nel 2016 e riguardano vari ambiti dalla manutenzione dei centri storici all’edilizia scolastica</w:t>
      </w:r>
      <w:r w:rsidR="00A52897">
        <w:rPr>
          <w:rFonts w:ascii="Century Gothic" w:hAnsi="Century Gothic"/>
        </w:rPr>
        <w:t>,</w:t>
      </w:r>
      <w:r>
        <w:rPr>
          <w:rFonts w:ascii="Century Gothic" w:hAnsi="Century Gothic"/>
        </w:rPr>
        <w:t xml:space="preserve"> </w:t>
      </w:r>
      <w:r w:rsidR="00A52897">
        <w:rPr>
          <w:rFonts w:ascii="Century Gothic" w:hAnsi="Century Gothic"/>
        </w:rPr>
        <w:t xml:space="preserve">comprendendo anche lavori che garantiscono una migliore viabilità. In alcuni casi gli investimenti sono volti anche alla tutela </w:t>
      </w:r>
      <w:r w:rsidR="00A844F6">
        <w:rPr>
          <w:rFonts w:ascii="Century Gothic" w:hAnsi="Century Gothic"/>
        </w:rPr>
        <w:t>dell’ambiente</w:t>
      </w:r>
      <w:r w:rsidR="00A52897">
        <w:rPr>
          <w:rFonts w:ascii="Century Gothic" w:hAnsi="Century Gothic"/>
        </w:rPr>
        <w:t xml:space="preserve"> riguardando stazioni ecologiche o bonifica di aree minerarie. </w:t>
      </w:r>
      <w:r w:rsidR="005946F6" w:rsidRPr="005946F6">
        <w:rPr>
          <w:rFonts w:ascii="Century Gothic" w:hAnsi="Century Gothic"/>
        </w:rPr>
        <w:t>Come sottolineato in uno degli accordi, l</w:t>
      </w:r>
      <w:r w:rsidR="005928F7" w:rsidRPr="005946F6">
        <w:rPr>
          <w:rFonts w:ascii="Century Gothic" w:hAnsi="Century Gothic"/>
        </w:rPr>
        <w:t xml:space="preserve">a realizzazione di opere pubbliche ha come effetto </w:t>
      </w:r>
      <w:r w:rsidR="005946F6" w:rsidRPr="005946F6">
        <w:rPr>
          <w:rFonts w:ascii="Century Gothic" w:hAnsi="Century Gothic"/>
        </w:rPr>
        <w:t xml:space="preserve">il </w:t>
      </w:r>
      <w:r w:rsidR="005946F6">
        <w:rPr>
          <w:rFonts w:ascii="Century Gothic" w:hAnsi="Century Gothic"/>
        </w:rPr>
        <w:t>mantenimento di posti di lavoro con ricadute anche sull’indotto.</w:t>
      </w:r>
      <w:r w:rsidR="00EC5E2F">
        <w:rPr>
          <w:rFonts w:ascii="Century Gothic" w:hAnsi="Century Gothic"/>
        </w:rPr>
        <w:t xml:space="preserve"> </w:t>
      </w:r>
    </w:p>
    <w:p w:rsidR="00A52897" w:rsidRDefault="00A844F6" w:rsidP="00281671">
      <w:pPr>
        <w:jc w:val="both"/>
        <w:rPr>
          <w:rFonts w:ascii="Century Gothic" w:hAnsi="Century Gothic"/>
        </w:rPr>
      </w:pPr>
      <w:r>
        <w:rPr>
          <w:rFonts w:ascii="Century Gothic" w:hAnsi="Century Gothic"/>
        </w:rPr>
        <w:t>Seppur in misura limitata, a</w:t>
      </w:r>
      <w:r w:rsidR="00A52897">
        <w:rPr>
          <w:rFonts w:ascii="Century Gothic" w:hAnsi="Century Gothic"/>
        </w:rPr>
        <w:t>nche in altri territori sono presenti interventi di manutenzione</w:t>
      </w:r>
      <w:r>
        <w:rPr>
          <w:rFonts w:ascii="Century Gothic" w:hAnsi="Century Gothic"/>
        </w:rPr>
        <w:t xml:space="preserve"> del territorio e di politica ambientale</w:t>
      </w:r>
      <w:r w:rsidR="005928F7">
        <w:rPr>
          <w:rFonts w:ascii="Century Gothic" w:hAnsi="Century Gothic"/>
        </w:rPr>
        <w:t xml:space="preserve"> nei suoi vari aspetti: smaltimento dei rifiuti, gestione idrica, efficienza energetica, preservazione delle risorse naturali che possono essere elemento di sviluppo di un territorio. </w:t>
      </w:r>
    </w:p>
    <w:p w:rsidR="00CF5E64" w:rsidRDefault="00CF5E64" w:rsidP="00CF5E64">
      <w:pPr>
        <w:jc w:val="both"/>
        <w:rPr>
          <w:rFonts w:ascii="Century Gothic" w:hAnsi="Century Gothic"/>
        </w:rPr>
      </w:pPr>
      <w:r w:rsidRPr="005946F6">
        <w:rPr>
          <w:rFonts w:ascii="Century Gothic" w:hAnsi="Century Gothic"/>
        </w:rPr>
        <w:t xml:space="preserve">Come in anni passati, in alcune intese, </w:t>
      </w:r>
      <w:r w:rsidR="005946F6" w:rsidRPr="005946F6">
        <w:rPr>
          <w:rFonts w:ascii="Century Gothic" w:hAnsi="Century Gothic"/>
        </w:rPr>
        <w:t>è affrontata</w:t>
      </w:r>
      <w:r w:rsidRPr="005946F6">
        <w:rPr>
          <w:rFonts w:ascii="Century Gothic" w:hAnsi="Century Gothic"/>
        </w:rPr>
        <w:t xml:space="preserve"> la tematica della mobilità urbana ed extra-urbana, prevalentemente </w:t>
      </w:r>
      <w:r w:rsidR="005946F6">
        <w:rPr>
          <w:rFonts w:ascii="Century Gothic" w:hAnsi="Century Gothic"/>
        </w:rPr>
        <w:t xml:space="preserve">nei termini di servizio verso i presidi sanitari, </w:t>
      </w:r>
      <w:r w:rsidR="000861FC" w:rsidRPr="005D2FEE">
        <w:rPr>
          <w:rFonts w:ascii="Century Gothic" w:hAnsi="Century Gothic"/>
        </w:rPr>
        <w:t>comprendenti la</w:t>
      </w:r>
      <w:r w:rsidR="005946F6" w:rsidRPr="005D2FEE">
        <w:rPr>
          <w:rFonts w:ascii="Century Gothic" w:hAnsi="Century Gothic"/>
        </w:rPr>
        <w:t xml:space="preserve"> realizzazione</w:t>
      </w:r>
      <w:r w:rsidR="005946F6">
        <w:rPr>
          <w:rFonts w:ascii="Century Gothic" w:hAnsi="Century Gothic"/>
        </w:rPr>
        <w:t xml:space="preserve"> di linee di trasporto verso frazioni non ancora coperte a beneficio soprattutto degli anziani.</w:t>
      </w:r>
    </w:p>
    <w:p w:rsidR="00E664BE" w:rsidRDefault="00E664BE">
      <w:pPr>
        <w:rPr>
          <w:rFonts w:ascii="Century Gothic" w:hAnsi="Century Gothic"/>
        </w:rPr>
      </w:pPr>
      <w:r>
        <w:rPr>
          <w:rFonts w:ascii="Century Gothic" w:hAnsi="Century Gothic"/>
        </w:rPr>
        <w:br w:type="page"/>
      </w:r>
    </w:p>
    <w:p w:rsidR="005A1382" w:rsidRDefault="005A1382" w:rsidP="005A1382">
      <w:pPr>
        <w:jc w:val="both"/>
        <w:rPr>
          <w:rFonts w:ascii="Century Gothic" w:hAnsi="Century Gothic"/>
          <w:b/>
        </w:rPr>
      </w:pPr>
      <w:r w:rsidRPr="005D2FEE">
        <w:rPr>
          <w:rFonts w:ascii="Century Gothic" w:hAnsi="Century Gothic"/>
          <w:b/>
        </w:rPr>
        <w:t>Politiche dell’infanzia, giovanili, educative e dell’istruzione</w:t>
      </w:r>
    </w:p>
    <w:p w:rsidR="005A1382" w:rsidRDefault="005A1382" w:rsidP="005A1382">
      <w:pPr>
        <w:jc w:val="both"/>
        <w:rPr>
          <w:rFonts w:ascii="Century Gothic" w:hAnsi="Century Gothic"/>
          <w:b/>
        </w:rPr>
      </w:pPr>
    </w:p>
    <w:p w:rsidR="005A1382" w:rsidRDefault="005A1382" w:rsidP="005A1382">
      <w:pPr>
        <w:jc w:val="both"/>
        <w:rPr>
          <w:rFonts w:ascii="Century Gothic" w:hAnsi="Century Gothic"/>
        </w:rPr>
      </w:pPr>
      <w:r w:rsidRPr="00121885">
        <w:rPr>
          <w:rFonts w:ascii="Century Gothic" w:hAnsi="Century Gothic"/>
        </w:rPr>
        <w:t xml:space="preserve">Le politiche educative </w:t>
      </w:r>
      <w:r>
        <w:rPr>
          <w:rFonts w:ascii="Century Gothic" w:hAnsi="Century Gothic"/>
        </w:rPr>
        <w:t>assumono una parte rilevante</w:t>
      </w:r>
      <w:r w:rsidRPr="00121885">
        <w:rPr>
          <w:rFonts w:ascii="Century Gothic" w:hAnsi="Century Gothic"/>
        </w:rPr>
        <w:t xml:space="preserve"> </w:t>
      </w:r>
      <w:r>
        <w:rPr>
          <w:rFonts w:ascii="Century Gothic" w:hAnsi="Century Gothic"/>
        </w:rPr>
        <w:t xml:space="preserve">nella negoziazione sociale, comparendo in quasi </w:t>
      </w:r>
      <w:r w:rsidRPr="008A16BD">
        <w:rPr>
          <w:rFonts w:ascii="Century Gothic" w:hAnsi="Century Gothic"/>
        </w:rPr>
        <w:t>tre quarti</w:t>
      </w:r>
      <w:r>
        <w:rPr>
          <w:rFonts w:ascii="Century Gothic" w:hAnsi="Century Gothic"/>
        </w:rPr>
        <w:t xml:space="preserve"> delle intese</w:t>
      </w:r>
      <w:r w:rsidRPr="00121885">
        <w:rPr>
          <w:rFonts w:ascii="Century Gothic" w:hAnsi="Century Gothic"/>
        </w:rPr>
        <w:t xml:space="preserve"> (7</w:t>
      </w:r>
      <w:r>
        <w:rPr>
          <w:rFonts w:ascii="Century Gothic" w:hAnsi="Century Gothic"/>
        </w:rPr>
        <w:t>3</w:t>
      </w:r>
      <w:r w:rsidRPr="00121885">
        <w:rPr>
          <w:rFonts w:ascii="Century Gothic" w:hAnsi="Century Gothic"/>
        </w:rPr>
        <w:t>%)</w:t>
      </w:r>
      <w:r>
        <w:rPr>
          <w:rFonts w:ascii="Century Gothic" w:hAnsi="Century Gothic"/>
        </w:rPr>
        <w:t xml:space="preserve">. Ai fini </w:t>
      </w:r>
      <w:r w:rsidRPr="007510F0">
        <w:rPr>
          <w:rFonts w:ascii="Century Gothic" w:hAnsi="Century Gothic"/>
        </w:rPr>
        <w:t>d</w:t>
      </w:r>
      <w:r>
        <w:rPr>
          <w:rFonts w:ascii="Century Gothic" w:hAnsi="Century Gothic"/>
        </w:rPr>
        <w:t>ella</w:t>
      </w:r>
      <w:r w:rsidRPr="007510F0">
        <w:rPr>
          <w:rFonts w:ascii="Century Gothic" w:hAnsi="Century Gothic"/>
        </w:rPr>
        <w:t xml:space="preserve"> </w:t>
      </w:r>
      <w:r>
        <w:rPr>
          <w:rFonts w:ascii="Century Gothic" w:hAnsi="Century Gothic"/>
        </w:rPr>
        <w:t xml:space="preserve">difesa del welfare locale, l’attenzione è rivolta principalmente agli aspetti tariffari e di compartecipazione, in particolare relativi alle rette degli asili nido e di servizi come mensa e trasporto scolastico, ambiti di competenza comunale. </w:t>
      </w:r>
    </w:p>
    <w:p w:rsidR="005A1382" w:rsidRDefault="005A1382" w:rsidP="005A1382">
      <w:pPr>
        <w:jc w:val="both"/>
        <w:rPr>
          <w:rFonts w:ascii="Century Gothic" w:hAnsi="Century Gothic"/>
        </w:rPr>
      </w:pPr>
      <w:r>
        <w:rPr>
          <w:rFonts w:ascii="Century Gothic" w:hAnsi="Century Gothic"/>
        </w:rPr>
        <w:t>Come rilevato per anni precedenti, in diversi accordi, oltre a un impegno generico da parte delle amministrazioni di mantenimento del livello dei servizi educativi in un’</w:t>
      </w:r>
      <w:r w:rsidRPr="00967FBD">
        <w:rPr>
          <w:rFonts w:ascii="Century Gothic" w:hAnsi="Century Gothic"/>
        </w:rPr>
        <w:t>ottica</w:t>
      </w:r>
      <w:r>
        <w:rPr>
          <w:rFonts w:ascii="Century Gothic" w:hAnsi="Century Gothic"/>
        </w:rPr>
        <w:t xml:space="preserve"> di equità, sono presenti tabelle di determinazione delle agevolazioni e delle esenzioni in base agli scaglioni ISEE</w:t>
      </w:r>
      <w:r w:rsidRPr="005D2FEE">
        <w:rPr>
          <w:rFonts w:ascii="Century Gothic" w:hAnsi="Century Gothic"/>
        </w:rPr>
        <w:t>, ai fini della tutela dei nuclei famigliari in difficoltà</w:t>
      </w:r>
      <w:r>
        <w:rPr>
          <w:rFonts w:ascii="Century Gothic" w:hAnsi="Century Gothic"/>
        </w:rPr>
        <w:t>.</w:t>
      </w:r>
    </w:p>
    <w:p w:rsidR="005A1382" w:rsidRDefault="005A1382" w:rsidP="005A1382">
      <w:pPr>
        <w:jc w:val="both"/>
        <w:rPr>
          <w:rFonts w:ascii="Century Gothic" w:hAnsi="Century Gothic"/>
        </w:rPr>
      </w:pPr>
      <w:r>
        <w:rPr>
          <w:rFonts w:ascii="Century Gothic" w:hAnsi="Century Gothic"/>
        </w:rPr>
        <w:t>Gli aspetti di organizzazione dei servizi rimangono secondari, anche se in alcuni accordi si rileva l’intenzione di migliorare l’offerta educativa. In alcuni casi gli interventi riguardano la ristrutturazione o l’ampliamento degli edifici scolastici; in altri casi le iniziative assumono una veste più qualitativa mirando all’inclusione di minori disabili, stranieri o in situazioni di disagio famigliare.</w:t>
      </w:r>
    </w:p>
    <w:p w:rsidR="005A1382" w:rsidRDefault="005A1382" w:rsidP="00CF5E64">
      <w:pPr>
        <w:jc w:val="both"/>
        <w:rPr>
          <w:rFonts w:ascii="Century Gothic" w:hAnsi="Century Gothic"/>
        </w:rPr>
      </w:pPr>
    </w:p>
    <w:p w:rsidR="005A1382" w:rsidRDefault="005A1382" w:rsidP="005A1382">
      <w:pPr>
        <w:rPr>
          <w:rFonts w:ascii="Century Gothic" w:hAnsi="Century Gothic"/>
          <w:b/>
        </w:rPr>
      </w:pPr>
      <w:r w:rsidRPr="005D2FEE">
        <w:rPr>
          <w:rFonts w:ascii="Century Gothic" w:hAnsi="Century Gothic"/>
          <w:b/>
        </w:rPr>
        <w:t>Pubblica amministrazione</w:t>
      </w:r>
    </w:p>
    <w:p w:rsidR="005A1382" w:rsidRDefault="005A1382" w:rsidP="005A1382">
      <w:pPr>
        <w:rPr>
          <w:rFonts w:ascii="Century Gothic" w:hAnsi="Century Gothic"/>
          <w:b/>
        </w:rPr>
      </w:pPr>
    </w:p>
    <w:p w:rsidR="005A1382" w:rsidRDefault="005A1382" w:rsidP="005A1382">
      <w:pPr>
        <w:jc w:val="both"/>
        <w:rPr>
          <w:rFonts w:ascii="Century Gothic" w:hAnsi="Century Gothic"/>
        </w:rPr>
      </w:pPr>
      <w:r>
        <w:rPr>
          <w:rFonts w:ascii="Century Gothic" w:hAnsi="Century Gothic"/>
        </w:rPr>
        <w:t xml:space="preserve">Come rilevato in precedenti rapporti, anche in quelli </w:t>
      </w:r>
      <w:r w:rsidRPr="00B12B83">
        <w:rPr>
          <w:rFonts w:ascii="Century Gothic" w:hAnsi="Century Gothic"/>
        </w:rPr>
        <w:t>a livello nazionale</w:t>
      </w:r>
      <w:r w:rsidRPr="002716CD">
        <w:rPr>
          <w:rStyle w:val="Rimandonotaapidipagina"/>
          <w:rFonts w:ascii="Century Gothic" w:hAnsi="Century Gothic"/>
        </w:rPr>
        <w:footnoteReference w:id="9"/>
      </w:r>
      <w:r w:rsidRPr="002716CD">
        <w:rPr>
          <w:rFonts w:ascii="Century Gothic" w:hAnsi="Century Gothic"/>
        </w:rPr>
        <w:t>,</w:t>
      </w:r>
      <w:r>
        <w:rPr>
          <w:rFonts w:ascii="Century Gothic" w:hAnsi="Century Gothic"/>
        </w:rPr>
        <w:t xml:space="preserve"> le politiche locali collegate alla Pubblica amministrazione assumono un ruolo di rilievo nell’attività di negoziazione sindacale per vari motivi: le esigenze di riforma conseguenti dal Testo unico degli enti locali, i provvedimenti di modifica delle province, la limitatezza di risorse degli enti territoriali, il riordino del sistema socio-sanitario locale. Pure</w:t>
      </w:r>
      <w:r w:rsidRPr="00121885">
        <w:rPr>
          <w:rFonts w:ascii="Century Gothic" w:hAnsi="Century Gothic"/>
        </w:rPr>
        <w:t xml:space="preserve"> in Toscana, questa area </w:t>
      </w:r>
      <w:r>
        <w:rPr>
          <w:rFonts w:ascii="Century Gothic" w:hAnsi="Century Gothic"/>
        </w:rPr>
        <w:t xml:space="preserve">continua a rivestire una certa importanza, essendo presente in </w:t>
      </w:r>
      <w:r w:rsidRPr="00121885">
        <w:rPr>
          <w:rFonts w:ascii="Century Gothic" w:hAnsi="Century Gothic"/>
        </w:rPr>
        <w:t>due terzi delle intese (</w:t>
      </w:r>
      <w:r>
        <w:rPr>
          <w:rFonts w:ascii="Century Gothic" w:hAnsi="Century Gothic"/>
        </w:rPr>
        <w:t>67</w:t>
      </w:r>
      <w:r w:rsidRPr="00121885">
        <w:rPr>
          <w:rFonts w:ascii="Century Gothic" w:hAnsi="Century Gothic"/>
        </w:rPr>
        <w:t>%).</w:t>
      </w:r>
    </w:p>
    <w:p w:rsidR="005A1382" w:rsidRDefault="005A1382" w:rsidP="005A1382">
      <w:pPr>
        <w:jc w:val="both"/>
        <w:rPr>
          <w:rFonts w:ascii="Century Gothic" w:hAnsi="Century Gothic"/>
        </w:rPr>
      </w:pPr>
      <w:r>
        <w:rPr>
          <w:rFonts w:ascii="Century Gothic" w:hAnsi="Century Gothic"/>
        </w:rPr>
        <w:t xml:space="preserve">Si osserva frequentemente il richiamo al tema delle gestioni associate tra comuni in vista sia di un’ottimizzazione delle risorse che di una standardizzazione dei servizi, in particolare dalle amministrazioni facenti parte di Unioni di comuni, come ad esempio la Versilia o la Valdichiana senese. Spesso la questione è affrontata in termini generici, raramente sono descritte nel dettaglio le funzioni svolte </w:t>
      </w:r>
      <w:r w:rsidRPr="002716CD">
        <w:rPr>
          <w:rFonts w:ascii="Century Gothic" w:hAnsi="Century Gothic"/>
        </w:rPr>
        <w:t>o da svolgere</w:t>
      </w:r>
      <w:r>
        <w:rPr>
          <w:rFonts w:ascii="Century Gothic" w:hAnsi="Century Gothic"/>
        </w:rPr>
        <w:t xml:space="preserve"> in maniera associata. In alcuni casi, viene sottolineato come la gestione aggregata possa portare a una riduzione della spesa corrente a vantaggio del settore sociale o degli investimenti. In altri casi il contenimento della spesa corrente è visto all’i</w:t>
      </w:r>
      <w:r w:rsidRPr="00673E57">
        <w:rPr>
          <w:rFonts w:ascii="Century Gothic" w:hAnsi="Century Gothic"/>
        </w:rPr>
        <w:t>nterno</w:t>
      </w:r>
      <w:r>
        <w:rPr>
          <w:rFonts w:ascii="Century Gothic" w:hAnsi="Century Gothic"/>
        </w:rPr>
        <w:t xml:space="preserve"> di una razionalizzazione della organizzazione comunale, con un miglior utilizzo delle strumentazioni e delle professionalità disponibili. </w:t>
      </w:r>
    </w:p>
    <w:p w:rsidR="005A1382" w:rsidRDefault="005A1382" w:rsidP="005A1382">
      <w:pPr>
        <w:jc w:val="both"/>
        <w:rPr>
          <w:rFonts w:ascii="Century Gothic" w:hAnsi="Century Gothic"/>
        </w:rPr>
      </w:pPr>
      <w:r>
        <w:rPr>
          <w:rFonts w:ascii="Century Gothic" w:hAnsi="Century Gothic"/>
        </w:rPr>
        <w:t xml:space="preserve">Al tema della gestione associata è legato quello della fusione dei comuni. Nel 2016 due accordi ne fanno menzione: Casciana Terme Lari dove l’unione è stata formalizzata all’inizio del 2014; San Giovanni d’Asso dove viene condivisa l’intenzione di realizzare un percorso con gli abitanti a fini di una fusione con il Comune di Montalcino. Dopo l’esito positivo del </w:t>
      </w:r>
      <w:r w:rsidRPr="00E01E32">
        <w:rPr>
          <w:rFonts w:ascii="Century Gothic" w:hAnsi="Century Gothic"/>
        </w:rPr>
        <w:t>referendum svoltosi nel mese di ottobre 2016, il comune congiunto è stato istituito a partire dal 1° gennaio 2017</w:t>
      </w:r>
      <w:r>
        <w:rPr>
          <w:rFonts w:ascii="Century Gothic" w:hAnsi="Century Gothic"/>
        </w:rPr>
        <w:t xml:space="preserve">. </w:t>
      </w:r>
    </w:p>
    <w:p w:rsidR="005A1382" w:rsidRPr="00673E57" w:rsidRDefault="005A1382" w:rsidP="005A1382">
      <w:pPr>
        <w:jc w:val="both"/>
        <w:rPr>
          <w:rFonts w:ascii="Century Gothic" w:hAnsi="Century Gothic"/>
          <w:highlight w:val="yellow"/>
        </w:rPr>
      </w:pPr>
      <w:r>
        <w:rPr>
          <w:rFonts w:ascii="Century Gothic" w:hAnsi="Century Gothic"/>
        </w:rPr>
        <w:t xml:space="preserve">Un’altra tematica ricorrente continua a essere la regolamentazione degli appalti, trattata </w:t>
      </w:r>
      <w:r w:rsidRPr="00236B75">
        <w:rPr>
          <w:rFonts w:ascii="Century Gothic" w:hAnsi="Century Gothic"/>
        </w:rPr>
        <w:t xml:space="preserve">in una cornice di trasparenza e concertazione, con misure volte alla stabilizzazione del lavoro e alla </w:t>
      </w:r>
      <w:r>
        <w:rPr>
          <w:rFonts w:ascii="Century Gothic" w:hAnsi="Century Gothic"/>
        </w:rPr>
        <w:t xml:space="preserve">tutela della </w:t>
      </w:r>
      <w:r w:rsidRPr="00236B75">
        <w:rPr>
          <w:rFonts w:ascii="Century Gothic" w:hAnsi="Century Gothic"/>
        </w:rPr>
        <w:t xml:space="preserve">salute e </w:t>
      </w:r>
      <w:r>
        <w:rPr>
          <w:rFonts w:ascii="Century Gothic" w:hAnsi="Century Gothic"/>
        </w:rPr>
        <w:t>della sicurezza, e con l’</w:t>
      </w:r>
      <w:r w:rsidRPr="00236B75">
        <w:rPr>
          <w:rFonts w:ascii="Century Gothic" w:hAnsi="Century Gothic"/>
        </w:rPr>
        <w:t xml:space="preserve">impegno da parte delle amministrazioni comunali a confronti preventivi con le organizzazioni sindacali. Pochi accordi </w:t>
      </w:r>
      <w:r>
        <w:rPr>
          <w:rFonts w:ascii="Century Gothic" w:hAnsi="Century Gothic"/>
        </w:rPr>
        <w:t xml:space="preserve">fanno anche menzione della necessità di successivi incontri alla luce della recente introduzione del nuovo Codice degli appalti (Dlgs 50/2016), ma probabilmente sarà un argomento di trattazione nel 2017 e negli anni successivi. </w:t>
      </w:r>
    </w:p>
    <w:p w:rsidR="008348D0" w:rsidRDefault="008348D0">
      <w:pPr>
        <w:rPr>
          <w:rFonts w:ascii="Century Gothic" w:hAnsi="Century Gothic"/>
        </w:rPr>
      </w:pPr>
    </w:p>
    <w:p w:rsidR="00E67C0D" w:rsidRPr="00CC7856" w:rsidRDefault="00CD24A1" w:rsidP="00CD24A1">
      <w:pPr>
        <w:jc w:val="both"/>
        <w:rPr>
          <w:rFonts w:ascii="Century Gothic" w:hAnsi="Century Gothic"/>
          <w:b/>
        </w:rPr>
      </w:pPr>
      <w:r w:rsidRPr="005D2FEE">
        <w:rPr>
          <w:rFonts w:ascii="Century Gothic" w:hAnsi="Century Gothic"/>
          <w:b/>
        </w:rPr>
        <w:t>Politiche del lavoro e dello sviluppo</w:t>
      </w:r>
    </w:p>
    <w:p w:rsidR="00764852" w:rsidRDefault="00764852" w:rsidP="00E67C0D">
      <w:pPr>
        <w:jc w:val="both"/>
        <w:rPr>
          <w:rFonts w:ascii="Century Gothic" w:hAnsi="Century Gothic"/>
        </w:rPr>
      </w:pPr>
    </w:p>
    <w:p w:rsidR="00E459C3" w:rsidRDefault="00E459C3" w:rsidP="00E67C0D">
      <w:pPr>
        <w:jc w:val="both"/>
        <w:rPr>
          <w:rFonts w:ascii="Century Gothic" w:hAnsi="Century Gothic"/>
        </w:rPr>
      </w:pPr>
      <w:r>
        <w:rPr>
          <w:rFonts w:ascii="Century Gothic" w:hAnsi="Century Gothic"/>
        </w:rPr>
        <w:t xml:space="preserve">L’area delle Politiche del lavoro e dello sviluppo è presente in </w:t>
      </w:r>
      <w:r w:rsidR="001E7A11">
        <w:rPr>
          <w:rFonts w:ascii="Century Gothic" w:hAnsi="Century Gothic"/>
        </w:rPr>
        <w:t xml:space="preserve">più di </w:t>
      </w:r>
      <w:r>
        <w:rPr>
          <w:rFonts w:ascii="Century Gothic" w:hAnsi="Century Gothic"/>
        </w:rPr>
        <w:t>due quinti (4</w:t>
      </w:r>
      <w:r w:rsidR="00673E57">
        <w:rPr>
          <w:rFonts w:ascii="Century Gothic" w:hAnsi="Century Gothic"/>
        </w:rPr>
        <w:t>5</w:t>
      </w:r>
      <w:r>
        <w:rPr>
          <w:rFonts w:ascii="Century Gothic" w:hAnsi="Century Gothic"/>
        </w:rPr>
        <w:t>%) degli accordi sottoscritti nel 2016.</w:t>
      </w:r>
    </w:p>
    <w:p w:rsidR="00BF2485" w:rsidRDefault="008F7DAD" w:rsidP="00BF2485">
      <w:pPr>
        <w:jc w:val="both"/>
        <w:rPr>
          <w:rFonts w:ascii="Century Gothic" w:hAnsi="Century Gothic"/>
        </w:rPr>
      </w:pPr>
      <w:r>
        <w:rPr>
          <w:rFonts w:ascii="Century Gothic" w:hAnsi="Century Gothic"/>
        </w:rPr>
        <w:t>Come osservato anche a livello nazionale, i principali enti territoriali coinvolti nella contrattazione sociale sono i comuni</w:t>
      </w:r>
      <w:r w:rsidR="000C3060">
        <w:rPr>
          <w:rFonts w:ascii="Century Gothic" w:hAnsi="Century Gothic"/>
        </w:rPr>
        <w:t>,</w:t>
      </w:r>
      <w:r>
        <w:rPr>
          <w:rFonts w:ascii="Century Gothic" w:hAnsi="Century Gothic"/>
        </w:rPr>
        <w:t xml:space="preserve"> che non dispongono di incisivi strumenti di </w:t>
      </w:r>
      <w:r w:rsidR="00865382">
        <w:rPr>
          <w:rFonts w:ascii="Century Gothic" w:hAnsi="Century Gothic"/>
        </w:rPr>
        <w:t>azione</w:t>
      </w:r>
      <w:r>
        <w:rPr>
          <w:rFonts w:ascii="Century Gothic" w:hAnsi="Century Gothic"/>
        </w:rPr>
        <w:t xml:space="preserve"> per </w:t>
      </w:r>
      <w:r w:rsidR="00865382">
        <w:rPr>
          <w:rFonts w:ascii="Century Gothic" w:hAnsi="Century Gothic"/>
        </w:rPr>
        <w:t xml:space="preserve">quanto riguarda </w:t>
      </w:r>
      <w:r w:rsidR="00E459C3">
        <w:rPr>
          <w:rFonts w:ascii="Century Gothic" w:hAnsi="Century Gothic"/>
        </w:rPr>
        <w:t>questo ambito</w:t>
      </w:r>
      <w:r>
        <w:rPr>
          <w:rFonts w:ascii="Century Gothic" w:hAnsi="Century Gothic"/>
        </w:rPr>
        <w:t xml:space="preserve">. </w:t>
      </w:r>
      <w:r w:rsidR="002716CD">
        <w:rPr>
          <w:rStyle w:val="Rimandonotaapidipagina"/>
          <w:rFonts w:ascii="Century Gothic" w:hAnsi="Century Gothic"/>
        </w:rPr>
        <w:footnoteReference w:id="10"/>
      </w:r>
      <w:r w:rsidR="007E7871">
        <w:rPr>
          <w:rFonts w:ascii="Century Gothic" w:hAnsi="Century Gothic"/>
        </w:rPr>
        <w:t xml:space="preserve"> </w:t>
      </w:r>
      <w:r w:rsidR="006D7FFD">
        <w:rPr>
          <w:rFonts w:ascii="Century Gothic" w:hAnsi="Century Gothic"/>
        </w:rPr>
        <w:t xml:space="preserve">Sono, quindi, limitati gli interventi di sviluppo </w:t>
      </w:r>
      <w:r w:rsidR="00E459C3">
        <w:rPr>
          <w:rFonts w:ascii="Century Gothic" w:hAnsi="Century Gothic"/>
        </w:rPr>
        <w:t xml:space="preserve">locale e di aiuto alle </w:t>
      </w:r>
      <w:r w:rsidR="00734F56">
        <w:rPr>
          <w:rFonts w:ascii="Century Gothic" w:hAnsi="Century Gothic"/>
        </w:rPr>
        <w:t>aziende</w:t>
      </w:r>
      <w:r w:rsidR="00E459C3">
        <w:rPr>
          <w:rFonts w:ascii="Century Gothic" w:hAnsi="Century Gothic"/>
        </w:rPr>
        <w:t>,</w:t>
      </w:r>
      <w:r w:rsidR="00734F56">
        <w:rPr>
          <w:rFonts w:ascii="Century Gothic" w:hAnsi="Century Gothic"/>
        </w:rPr>
        <w:t xml:space="preserve"> e, in alcuni casi, si prevede semplicemente la </w:t>
      </w:r>
      <w:r w:rsidR="00734F56" w:rsidRPr="00673E57">
        <w:rPr>
          <w:rFonts w:ascii="Century Gothic" w:hAnsi="Century Gothic"/>
        </w:rPr>
        <w:t xml:space="preserve">concessione di agevolazioni </w:t>
      </w:r>
      <w:r w:rsidR="00673E57" w:rsidRPr="00673E57">
        <w:rPr>
          <w:rFonts w:ascii="Century Gothic" w:hAnsi="Century Gothic"/>
        </w:rPr>
        <w:t xml:space="preserve">fiscali e tariffarie </w:t>
      </w:r>
      <w:r w:rsidR="00734F56" w:rsidRPr="00673E57">
        <w:rPr>
          <w:rFonts w:ascii="Century Gothic" w:hAnsi="Century Gothic"/>
        </w:rPr>
        <w:t>alle imprese che assumono a tempo indeterminato</w:t>
      </w:r>
      <w:r w:rsidR="00734F56" w:rsidRPr="007E7871">
        <w:rPr>
          <w:rFonts w:ascii="Century Gothic" w:hAnsi="Century Gothic"/>
        </w:rPr>
        <w:t>.</w:t>
      </w:r>
      <w:r w:rsidR="00734F56">
        <w:rPr>
          <w:rFonts w:ascii="Century Gothic" w:hAnsi="Century Gothic"/>
        </w:rPr>
        <w:t xml:space="preserve"> In altri</w:t>
      </w:r>
      <w:r w:rsidR="00F55C38">
        <w:rPr>
          <w:rFonts w:ascii="Century Gothic" w:hAnsi="Century Gothic"/>
        </w:rPr>
        <w:t xml:space="preserve"> casi</w:t>
      </w:r>
      <w:r w:rsidR="00734F56">
        <w:rPr>
          <w:rFonts w:ascii="Century Gothic" w:hAnsi="Century Gothic"/>
        </w:rPr>
        <w:t xml:space="preserve">, seppure pochi, </w:t>
      </w:r>
      <w:r w:rsidR="00E459C3">
        <w:rPr>
          <w:rFonts w:ascii="Century Gothic" w:hAnsi="Century Gothic"/>
        </w:rPr>
        <w:t xml:space="preserve">si cerca di valorizzare le risorse presenti nel territorio per fornire opportunità di creazione di impresa e di occupazione, anche tramite politiche di tutela ambientale. </w:t>
      </w:r>
      <w:r w:rsidR="00D72E21" w:rsidRPr="00D72E21">
        <w:rPr>
          <w:rFonts w:ascii="Century Gothic" w:hAnsi="Century Gothic"/>
        </w:rPr>
        <w:t>Inoltre, c</w:t>
      </w:r>
      <w:r w:rsidR="00BF2485" w:rsidRPr="00D72E21">
        <w:rPr>
          <w:rFonts w:ascii="Century Gothic" w:hAnsi="Century Gothic"/>
        </w:rPr>
        <w:t xml:space="preserve">ome </w:t>
      </w:r>
      <w:r w:rsidR="00D72E21" w:rsidRPr="00D72E21">
        <w:rPr>
          <w:rFonts w:ascii="Century Gothic" w:hAnsi="Century Gothic"/>
        </w:rPr>
        <w:t>rilevato</w:t>
      </w:r>
      <w:r w:rsidR="00BF2485" w:rsidRPr="00D72E21">
        <w:rPr>
          <w:rFonts w:ascii="Century Gothic" w:hAnsi="Century Gothic"/>
        </w:rPr>
        <w:t xml:space="preserve"> </w:t>
      </w:r>
      <w:r w:rsidR="00D72E21" w:rsidRPr="00D72E21">
        <w:rPr>
          <w:rFonts w:ascii="Century Gothic" w:hAnsi="Century Gothic"/>
        </w:rPr>
        <w:t>nel paragrafo</w:t>
      </w:r>
      <w:r w:rsidR="00BF2485" w:rsidRPr="00D72E21">
        <w:rPr>
          <w:rFonts w:ascii="Century Gothic" w:hAnsi="Century Gothic"/>
        </w:rPr>
        <w:t xml:space="preserve"> sulle politiche abitative e del territorio, </w:t>
      </w:r>
      <w:r w:rsidR="00D72E21" w:rsidRPr="00D72E21">
        <w:rPr>
          <w:rFonts w:ascii="Century Gothic" w:hAnsi="Century Gothic"/>
        </w:rPr>
        <w:t>le</w:t>
      </w:r>
      <w:r w:rsidR="00BF2485" w:rsidRPr="00D72E21">
        <w:rPr>
          <w:rFonts w:ascii="Century Gothic" w:hAnsi="Century Gothic"/>
        </w:rPr>
        <w:t xml:space="preserve"> opere pubbliche</w:t>
      </w:r>
      <w:r w:rsidR="00D72E21" w:rsidRPr="00D72E21">
        <w:rPr>
          <w:rFonts w:ascii="Century Gothic" w:hAnsi="Century Gothic"/>
        </w:rPr>
        <w:t xml:space="preserve"> programmate in alcune zone hanno un effetto positivo sul</w:t>
      </w:r>
      <w:r w:rsidR="00BF2485" w:rsidRPr="00D72E21">
        <w:rPr>
          <w:rFonts w:ascii="Century Gothic" w:hAnsi="Century Gothic"/>
        </w:rPr>
        <w:t xml:space="preserve">la tenuta </w:t>
      </w:r>
      <w:r w:rsidR="00D72E21">
        <w:rPr>
          <w:rFonts w:ascii="Century Gothic" w:hAnsi="Century Gothic"/>
        </w:rPr>
        <w:t>dell’occupazione.</w:t>
      </w:r>
    </w:p>
    <w:p w:rsidR="00871922" w:rsidRDefault="00865382" w:rsidP="006D7FFD">
      <w:pPr>
        <w:jc w:val="both"/>
        <w:rPr>
          <w:rFonts w:ascii="Century Gothic" w:hAnsi="Century Gothic"/>
        </w:rPr>
      </w:pPr>
      <w:r>
        <w:rPr>
          <w:rFonts w:ascii="Century Gothic" w:hAnsi="Century Gothic"/>
        </w:rPr>
        <w:t xml:space="preserve">Essendo l’iniziativa sindacale rivolta principalmente a tutelare le fasce svantaggiate, l’intervento maggiore continua a </w:t>
      </w:r>
      <w:r w:rsidR="00AF0F6C">
        <w:rPr>
          <w:rFonts w:ascii="Century Gothic" w:hAnsi="Century Gothic"/>
        </w:rPr>
        <w:t>configurarsi</w:t>
      </w:r>
      <w:r>
        <w:rPr>
          <w:rFonts w:ascii="Century Gothic" w:hAnsi="Century Gothic"/>
        </w:rPr>
        <w:t xml:space="preserve"> </w:t>
      </w:r>
      <w:r w:rsidR="00AF0F6C">
        <w:rPr>
          <w:rFonts w:ascii="Century Gothic" w:hAnsi="Century Gothic"/>
        </w:rPr>
        <w:t>nel</w:t>
      </w:r>
      <w:r>
        <w:rPr>
          <w:rFonts w:ascii="Century Gothic" w:hAnsi="Century Gothic"/>
        </w:rPr>
        <w:t xml:space="preserve"> sostegno al reddito dei soggetti interessati da crisi aziendali e occupazionali all’interno di fondi anticrisi. Tali fondi</w:t>
      </w:r>
      <w:r w:rsidR="00734F56">
        <w:rPr>
          <w:rFonts w:ascii="Century Gothic" w:hAnsi="Century Gothic"/>
        </w:rPr>
        <w:t>, in genere,</w:t>
      </w:r>
      <w:r>
        <w:rPr>
          <w:rFonts w:ascii="Century Gothic" w:hAnsi="Century Gothic"/>
        </w:rPr>
        <w:t xml:space="preserve"> sono stanziati annualmente e </w:t>
      </w:r>
      <w:r w:rsidR="00AF0F6C">
        <w:rPr>
          <w:rFonts w:ascii="Century Gothic" w:hAnsi="Century Gothic"/>
        </w:rPr>
        <w:t xml:space="preserve">comprendono misure </w:t>
      </w:r>
      <w:r w:rsidR="00AF0F6C" w:rsidRPr="00AF0F6C">
        <w:rPr>
          <w:rFonts w:ascii="Century Gothic" w:hAnsi="Century Gothic"/>
        </w:rPr>
        <w:t xml:space="preserve">per </w:t>
      </w:r>
      <w:r w:rsidR="00AF0F6C">
        <w:rPr>
          <w:rFonts w:ascii="Century Gothic" w:hAnsi="Century Gothic"/>
        </w:rPr>
        <w:t>la difesa del tenore di vita dei soggetti e dei nuclei famigliari colpiti dalla crisi economica: esenzioni e/o agevolazioni per il pagamento della tassa sui rifiuti e/o la compartecipazione alle rette dei servizi scolastici.</w:t>
      </w:r>
      <w:r w:rsidR="00734F56">
        <w:rPr>
          <w:rFonts w:ascii="Century Gothic" w:hAnsi="Century Gothic"/>
        </w:rPr>
        <w:t xml:space="preserve"> </w:t>
      </w:r>
      <w:r w:rsidR="00AF0F6C">
        <w:rPr>
          <w:rFonts w:ascii="Century Gothic" w:hAnsi="Century Gothic"/>
        </w:rPr>
        <w:t>In alcuni casi sono previste anche azioni per l’inserimento lavor</w:t>
      </w:r>
      <w:r w:rsidR="006D7FFD">
        <w:rPr>
          <w:rFonts w:ascii="Century Gothic" w:hAnsi="Century Gothic"/>
        </w:rPr>
        <w:t xml:space="preserve">ativo, che </w:t>
      </w:r>
      <w:r w:rsidR="00C43B9D">
        <w:rPr>
          <w:rFonts w:ascii="Century Gothic" w:hAnsi="Century Gothic"/>
        </w:rPr>
        <w:t xml:space="preserve">riguardano generalmente lavori di pubblica utilità e, quindi, </w:t>
      </w:r>
      <w:r w:rsidR="006D7FFD">
        <w:rPr>
          <w:rFonts w:ascii="Century Gothic" w:hAnsi="Century Gothic"/>
        </w:rPr>
        <w:t xml:space="preserve">non hanno una connotazione </w:t>
      </w:r>
      <w:r w:rsidR="006D7FFD" w:rsidRPr="007E7871">
        <w:rPr>
          <w:rFonts w:ascii="Century Gothic" w:hAnsi="Century Gothic"/>
        </w:rPr>
        <w:t>strutturale</w:t>
      </w:r>
      <w:r w:rsidR="006D7FFD">
        <w:rPr>
          <w:rFonts w:ascii="Century Gothic" w:hAnsi="Century Gothic"/>
        </w:rPr>
        <w:t xml:space="preserve"> con un raccordo con i centri con l’impiego</w:t>
      </w:r>
      <w:r w:rsidR="00AF0143">
        <w:rPr>
          <w:rFonts w:ascii="Century Gothic" w:hAnsi="Century Gothic"/>
        </w:rPr>
        <w:t>.</w:t>
      </w:r>
      <w:r w:rsidR="006D7FFD">
        <w:rPr>
          <w:rFonts w:ascii="Century Gothic" w:hAnsi="Century Gothic"/>
        </w:rPr>
        <w:t xml:space="preserve"> </w:t>
      </w:r>
    </w:p>
    <w:p w:rsidR="006D7FFD" w:rsidRDefault="006D7FFD" w:rsidP="006D7FFD">
      <w:pPr>
        <w:jc w:val="both"/>
        <w:rPr>
          <w:rFonts w:ascii="Century Gothic" w:hAnsi="Century Gothic"/>
        </w:rPr>
      </w:pPr>
      <w:r>
        <w:rPr>
          <w:rFonts w:ascii="Century Gothic" w:hAnsi="Century Gothic"/>
        </w:rPr>
        <w:t>Le altre azioni di inserimento lavorativo sono rivolte ai giovani e</w:t>
      </w:r>
      <w:r w:rsidR="00F2326A">
        <w:rPr>
          <w:rFonts w:ascii="Century Gothic" w:hAnsi="Century Gothic"/>
        </w:rPr>
        <w:t>, oltre a</w:t>
      </w:r>
      <w:r>
        <w:rPr>
          <w:rFonts w:ascii="Century Gothic" w:hAnsi="Century Gothic"/>
        </w:rPr>
        <w:t xml:space="preserve"> </w:t>
      </w:r>
      <w:r w:rsidR="00F2326A">
        <w:rPr>
          <w:rFonts w:ascii="Century Gothic" w:hAnsi="Century Gothic"/>
        </w:rPr>
        <w:t>riguardare</w:t>
      </w:r>
      <w:r>
        <w:rPr>
          <w:rFonts w:ascii="Century Gothic" w:hAnsi="Century Gothic"/>
        </w:rPr>
        <w:t xml:space="preserve"> tirocini, occasioni di formazione e primo impiego</w:t>
      </w:r>
      <w:r w:rsidR="00F2326A">
        <w:rPr>
          <w:rFonts w:ascii="Century Gothic" w:hAnsi="Century Gothic"/>
        </w:rPr>
        <w:t>, includono anche l’intenzione di destinare risorse all’imprenditoria giovanile.</w:t>
      </w:r>
      <w:r w:rsidR="000C3060">
        <w:rPr>
          <w:rFonts w:ascii="Century Gothic" w:hAnsi="Century Gothic"/>
        </w:rPr>
        <w:t xml:space="preserve"> Questa tipologia di provvedimenti si rileva in poche intese, ma segnala, comunque, l’intenzione da parte di alcune amministrazioni di considerare le politiche giovanili come una tematica non esclusivamente sociale, ma collegata al mondo del lavoro. </w:t>
      </w:r>
      <w:r w:rsidR="00F2326A">
        <w:rPr>
          <w:rFonts w:ascii="Century Gothic" w:hAnsi="Century Gothic"/>
        </w:rPr>
        <w:t xml:space="preserve">Il riferimento principale </w:t>
      </w:r>
      <w:r w:rsidR="000C3060">
        <w:rPr>
          <w:rFonts w:ascii="Century Gothic" w:hAnsi="Century Gothic"/>
        </w:rPr>
        <w:t xml:space="preserve">per il sostegno degli interventi </w:t>
      </w:r>
      <w:r w:rsidR="00F2326A">
        <w:rPr>
          <w:rFonts w:ascii="Century Gothic" w:hAnsi="Century Gothic"/>
        </w:rPr>
        <w:t xml:space="preserve">rimane il progetto </w:t>
      </w:r>
      <w:r w:rsidR="000C3060">
        <w:rPr>
          <w:rFonts w:ascii="Century Gothic" w:hAnsi="Century Gothic"/>
        </w:rPr>
        <w:t xml:space="preserve">della Regione Toscana </w:t>
      </w:r>
      <w:r w:rsidR="00F2326A" w:rsidRPr="00070A29">
        <w:rPr>
          <w:rFonts w:ascii="Century Gothic" w:hAnsi="Century Gothic"/>
        </w:rPr>
        <w:t>Giovani Si</w:t>
      </w:r>
      <w:r w:rsidR="00F2326A">
        <w:rPr>
          <w:rFonts w:ascii="Century Gothic" w:hAnsi="Century Gothic"/>
        </w:rPr>
        <w:t xml:space="preserve">. </w:t>
      </w:r>
    </w:p>
    <w:p w:rsidR="00BF2485" w:rsidRDefault="00673E57" w:rsidP="00BF2485">
      <w:pPr>
        <w:jc w:val="both"/>
        <w:rPr>
          <w:rFonts w:ascii="Century Gothic" w:hAnsi="Century Gothic"/>
        </w:rPr>
      </w:pPr>
      <w:r w:rsidRPr="00673E57">
        <w:rPr>
          <w:rFonts w:ascii="Century Gothic" w:hAnsi="Century Gothic"/>
        </w:rPr>
        <w:t xml:space="preserve">Come rilevato negli </w:t>
      </w:r>
      <w:r w:rsidR="00B8608C">
        <w:rPr>
          <w:rFonts w:ascii="Century Gothic" w:hAnsi="Century Gothic"/>
        </w:rPr>
        <w:t xml:space="preserve">anni </w:t>
      </w:r>
      <w:r w:rsidRPr="00673E57">
        <w:rPr>
          <w:rFonts w:ascii="Century Gothic" w:hAnsi="Century Gothic"/>
        </w:rPr>
        <w:t>passati, i</w:t>
      </w:r>
      <w:r w:rsidR="00BF2485" w:rsidRPr="00673E57">
        <w:rPr>
          <w:rFonts w:ascii="Century Gothic" w:hAnsi="Century Gothic"/>
        </w:rPr>
        <w:t xml:space="preserve"> </w:t>
      </w:r>
      <w:r w:rsidRPr="00673E57">
        <w:rPr>
          <w:rFonts w:ascii="Century Gothic" w:hAnsi="Century Gothic"/>
        </w:rPr>
        <w:t>provvedimenti miranti</w:t>
      </w:r>
      <w:r w:rsidR="00BF2485" w:rsidRPr="00673E57">
        <w:rPr>
          <w:rFonts w:ascii="Century Gothic" w:hAnsi="Century Gothic"/>
        </w:rPr>
        <w:t xml:space="preserve"> al contrasto della precarietà e al rispetto delle norme di salute e sicurezza, sono in genere </w:t>
      </w:r>
      <w:r w:rsidRPr="00673E57">
        <w:rPr>
          <w:rFonts w:ascii="Century Gothic" w:hAnsi="Century Gothic"/>
        </w:rPr>
        <w:t>in relazione</w:t>
      </w:r>
      <w:r w:rsidR="00BF2485" w:rsidRPr="00673E57">
        <w:rPr>
          <w:rFonts w:ascii="Century Gothic" w:hAnsi="Century Gothic"/>
        </w:rPr>
        <w:t xml:space="preserve"> </w:t>
      </w:r>
      <w:r w:rsidRPr="00673E57">
        <w:rPr>
          <w:rFonts w:ascii="Century Gothic" w:hAnsi="Century Gothic"/>
        </w:rPr>
        <w:t>con la</w:t>
      </w:r>
      <w:r w:rsidR="00BF2485" w:rsidRPr="00673E57">
        <w:rPr>
          <w:rFonts w:ascii="Century Gothic" w:hAnsi="Century Gothic"/>
        </w:rPr>
        <w:t xml:space="preserve"> regolamentazione degli appalti dei servizi della pubblica amministrazione. </w:t>
      </w:r>
      <w:r w:rsidR="00B8608C">
        <w:rPr>
          <w:rFonts w:ascii="Century Gothic" w:hAnsi="Century Gothic"/>
        </w:rPr>
        <w:t>I</w:t>
      </w:r>
      <w:r w:rsidR="00BF2485" w:rsidRPr="00673E57">
        <w:rPr>
          <w:rFonts w:ascii="Century Gothic" w:hAnsi="Century Gothic"/>
        </w:rPr>
        <w:t xml:space="preserve">n </w:t>
      </w:r>
      <w:r w:rsidR="003B686A" w:rsidRPr="00673E57">
        <w:rPr>
          <w:rFonts w:ascii="Century Gothic" w:hAnsi="Century Gothic"/>
        </w:rPr>
        <w:t>alcune intese</w:t>
      </w:r>
      <w:r w:rsidR="00BF2485" w:rsidRPr="00673E57">
        <w:rPr>
          <w:rFonts w:ascii="Century Gothic" w:hAnsi="Century Gothic"/>
        </w:rPr>
        <w:t xml:space="preserve">, la voce della stabilizzazione del lavoro è legata anche alla </w:t>
      </w:r>
      <w:r w:rsidR="003B686A" w:rsidRPr="00673E57">
        <w:rPr>
          <w:rFonts w:ascii="Century Gothic" w:hAnsi="Century Gothic"/>
        </w:rPr>
        <w:t>concessione di agevolazioni alle imprese che assumono a tempo indeterminato</w:t>
      </w:r>
      <w:r w:rsidR="00B8608C">
        <w:rPr>
          <w:rFonts w:ascii="Century Gothic" w:hAnsi="Century Gothic"/>
        </w:rPr>
        <w:t>, c</w:t>
      </w:r>
      <w:r w:rsidR="00B8608C" w:rsidRPr="00673E57">
        <w:rPr>
          <w:rFonts w:ascii="Century Gothic" w:hAnsi="Century Gothic"/>
        </w:rPr>
        <w:t>ome detto all’inizio del paragrafo</w:t>
      </w:r>
      <w:r w:rsidR="003B686A" w:rsidRPr="00673E57">
        <w:rPr>
          <w:rFonts w:ascii="Century Gothic" w:hAnsi="Century Gothic"/>
        </w:rPr>
        <w:t>.</w:t>
      </w:r>
    </w:p>
    <w:p w:rsidR="00E664BE" w:rsidRDefault="00E664BE">
      <w:pPr>
        <w:rPr>
          <w:rFonts w:ascii="Century Gothic" w:hAnsi="Century Gothic"/>
        </w:rPr>
      </w:pPr>
      <w:r>
        <w:rPr>
          <w:rFonts w:ascii="Century Gothic" w:hAnsi="Century Gothic"/>
        </w:rPr>
        <w:br w:type="page"/>
      </w:r>
    </w:p>
    <w:p w:rsidR="009564B1" w:rsidRDefault="009564B1" w:rsidP="009564B1">
      <w:pPr>
        <w:rPr>
          <w:rFonts w:ascii="Century Gothic" w:hAnsi="Century Gothic"/>
          <w:b/>
        </w:rPr>
      </w:pPr>
      <w:r w:rsidRPr="005D2FEE">
        <w:rPr>
          <w:rFonts w:ascii="Century Gothic" w:hAnsi="Century Gothic"/>
          <w:b/>
        </w:rPr>
        <w:t>Politiche e strumenti della partecipazione attiva</w:t>
      </w:r>
    </w:p>
    <w:p w:rsidR="008626C4" w:rsidRDefault="008626C4" w:rsidP="009564B1">
      <w:pPr>
        <w:rPr>
          <w:rFonts w:ascii="Century Gothic" w:hAnsi="Century Gothic"/>
          <w:b/>
        </w:rPr>
      </w:pPr>
    </w:p>
    <w:p w:rsidR="00990390" w:rsidRDefault="00990390" w:rsidP="009564B1">
      <w:pPr>
        <w:jc w:val="both"/>
        <w:rPr>
          <w:rFonts w:ascii="Century Gothic" w:hAnsi="Century Gothic"/>
        </w:rPr>
      </w:pPr>
      <w:r>
        <w:rPr>
          <w:rFonts w:ascii="Century Gothic" w:hAnsi="Century Gothic"/>
        </w:rPr>
        <w:t xml:space="preserve">In </w:t>
      </w:r>
      <w:r w:rsidR="00F47022" w:rsidRPr="008A16BD">
        <w:rPr>
          <w:rFonts w:ascii="Century Gothic" w:hAnsi="Century Gothic"/>
        </w:rPr>
        <w:t>più di</w:t>
      </w:r>
      <w:r w:rsidRPr="008A16BD">
        <w:rPr>
          <w:rFonts w:ascii="Century Gothic" w:hAnsi="Century Gothic"/>
        </w:rPr>
        <w:t xml:space="preserve"> un terzo degli accordi (3</w:t>
      </w:r>
      <w:r w:rsidR="00F47022" w:rsidRPr="008A16BD">
        <w:rPr>
          <w:rFonts w:ascii="Century Gothic" w:hAnsi="Century Gothic"/>
        </w:rPr>
        <w:t>5</w:t>
      </w:r>
      <w:r w:rsidRPr="008A16BD">
        <w:rPr>
          <w:rFonts w:ascii="Century Gothic" w:hAnsi="Century Gothic"/>
        </w:rPr>
        <w:t>%) è presente l’area delle politiche e degli strumenti della partecipazione, relativa all’insieme</w:t>
      </w:r>
      <w:r>
        <w:rPr>
          <w:rFonts w:ascii="Century Gothic" w:hAnsi="Century Gothic"/>
        </w:rPr>
        <w:t xml:space="preserve"> di misure </w:t>
      </w:r>
      <w:r w:rsidR="00E70CDC">
        <w:rPr>
          <w:rFonts w:ascii="Century Gothic" w:hAnsi="Century Gothic"/>
        </w:rPr>
        <w:t xml:space="preserve">di trasparenza amministrativa, di confronto, </w:t>
      </w:r>
      <w:r>
        <w:rPr>
          <w:rFonts w:ascii="Century Gothic" w:hAnsi="Century Gothic"/>
        </w:rPr>
        <w:t>di informazione e di coinvolgimento della popolazione</w:t>
      </w:r>
      <w:r w:rsidR="00E70CDC">
        <w:rPr>
          <w:rFonts w:ascii="Century Gothic" w:hAnsi="Century Gothic"/>
        </w:rPr>
        <w:t xml:space="preserve"> e del mondo associativo</w:t>
      </w:r>
      <w:r>
        <w:rPr>
          <w:rFonts w:ascii="Century Gothic" w:hAnsi="Century Gothic"/>
        </w:rPr>
        <w:t xml:space="preserve">, </w:t>
      </w:r>
      <w:r w:rsidR="00F03387">
        <w:rPr>
          <w:rFonts w:ascii="Century Gothic" w:hAnsi="Century Gothic"/>
        </w:rPr>
        <w:t>concetti</w:t>
      </w:r>
      <w:r>
        <w:rPr>
          <w:rFonts w:ascii="Century Gothic" w:hAnsi="Century Gothic"/>
        </w:rPr>
        <w:t xml:space="preserve"> </w:t>
      </w:r>
      <w:r w:rsidR="003B72CA" w:rsidRPr="00F47022">
        <w:rPr>
          <w:rFonts w:ascii="Century Gothic" w:hAnsi="Century Gothic"/>
        </w:rPr>
        <w:t>che dovrebbero propri dell’idea stessa di contrattazione sociale</w:t>
      </w:r>
      <w:r w:rsidRPr="00F47022">
        <w:rPr>
          <w:rFonts w:ascii="Century Gothic" w:hAnsi="Century Gothic"/>
        </w:rPr>
        <w:t>.</w:t>
      </w:r>
    </w:p>
    <w:p w:rsidR="003B72CA" w:rsidRDefault="003B72CA" w:rsidP="009564B1">
      <w:pPr>
        <w:jc w:val="both"/>
        <w:rPr>
          <w:rFonts w:ascii="Century Gothic" w:hAnsi="Century Gothic"/>
        </w:rPr>
      </w:pPr>
      <w:r>
        <w:rPr>
          <w:rFonts w:ascii="Century Gothic" w:hAnsi="Century Gothic"/>
        </w:rPr>
        <w:t>All’interno di questa area si continua a rilevare la prevalenza di due voci</w:t>
      </w:r>
      <w:r w:rsidR="004117B9">
        <w:rPr>
          <w:rFonts w:ascii="Century Gothic" w:hAnsi="Century Gothic"/>
        </w:rPr>
        <w:t xml:space="preserve"> </w:t>
      </w:r>
      <w:r w:rsidR="000568AF">
        <w:rPr>
          <w:rFonts w:ascii="Century Gothic" w:hAnsi="Century Gothic"/>
        </w:rPr>
        <w:t>(</w:t>
      </w:r>
      <w:r w:rsidR="004117B9">
        <w:rPr>
          <w:rFonts w:ascii="Century Gothic" w:hAnsi="Century Gothic"/>
        </w:rPr>
        <w:t>che compaiono in circa un quinto degli accordi</w:t>
      </w:r>
      <w:r w:rsidR="0060025C">
        <w:rPr>
          <w:rFonts w:ascii="Century Gothic" w:hAnsi="Century Gothic"/>
        </w:rPr>
        <w:t>, a volte abbinate</w:t>
      </w:r>
      <w:r w:rsidR="000568AF">
        <w:rPr>
          <w:rFonts w:ascii="Century Gothic" w:hAnsi="Century Gothic"/>
        </w:rPr>
        <w:t>)</w:t>
      </w:r>
      <w:r>
        <w:rPr>
          <w:rFonts w:ascii="Century Gothic" w:hAnsi="Century Gothic"/>
        </w:rPr>
        <w:t xml:space="preserve">: i percorsi di informazione, </w:t>
      </w:r>
      <w:r w:rsidRPr="002F17D3">
        <w:rPr>
          <w:rFonts w:ascii="Century Gothic" w:hAnsi="Century Gothic"/>
        </w:rPr>
        <w:t>consultazione e coinvolgimento dei lavoratori e dei cittadini</w:t>
      </w:r>
      <w:r w:rsidR="009A38BF">
        <w:rPr>
          <w:rFonts w:ascii="Century Gothic" w:hAnsi="Century Gothic"/>
        </w:rPr>
        <w:t>, che si concretizzano soprattutto in attività di divulgazione dei contenuti delle intese</w:t>
      </w:r>
      <w:r w:rsidR="00F47022">
        <w:rPr>
          <w:rFonts w:ascii="Century Gothic" w:hAnsi="Century Gothic"/>
        </w:rPr>
        <w:t>,</w:t>
      </w:r>
      <w:r w:rsidR="009A38BF">
        <w:rPr>
          <w:rFonts w:ascii="Century Gothic" w:hAnsi="Century Gothic"/>
        </w:rPr>
        <w:t xml:space="preserve"> in modo che i cittadini possano accedere ai risultati ottenuti con la contrattazione sociale (in particolare agevolazioni </w:t>
      </w:r>
      <w:r w:rsidR="008231A2">
        <w:rPr>
          <w:rFonts w:ascii="Century Gothic" w:hAnsi="Century Gothic"/>
        </w:rPr>
        <w:t>in varie forme</w:t>
      </w:r>
      <w:r w:rsidR="009A38BF">
        <w:rPr>
          <w:rFonts w:ascii="Century Gothic" w:hAnsi="Century Gothic"/>
        </w:rPr>
        <w:t>);</w:t>
      </w:r>
      <w:r>
        <w:rPr>
          <w:rFonts w:ascii="Century Gothic" w:hAnsi="Century Gothic"/>
        </w:rPr>
        <w:t xml:space="preserve"> la promozione del terzo settore</w:t>
      </w:r>
      <w:r w:rsidR="009A38BF">
        <w:rPr>
          <w:rFonts w:ascii="Century Gothic" w:hAnsi="Century Gothic"/>
        </w:rPr>
        <w:t xml:space="preserve">, che </w:t>
      </w:r>
      <w:r w:rsidR="00317C88">
        <w:rPr>
          <w:rFonts w:ascii="Century Gothic" w:hAnsi="Century Gothic"/>
        </w:rPr>
        <w:t>generalmente</w:t>
      </w:r>
      <w:r w:rsidR="009A38BF">
        <w:rPr>
          <w:rFonts w:ascii="Century Gothic" w:hAnsi="Century Gothic"/>
        </w:rPr>
        <w:t xml:space="preserve"> riguarda </w:t>
      </w:r>
      <w:r w:rsidR="00317C88">
        <w:rPr>
          <w:rFonts w:ascii="Century Gothic" w:hAnsi="Century Gothic"/>
        </w:rPr>
        <w:t>l’affidamento al settore non-profit di servizi sociali di competenza dell’ente locale, ad esempio il trasporto sociale</w:t>
      </w:r>
      <w:r w:rsidR="004117B9">
        <w:rPr>
          <w:rFonts w:ascii="Century Gothic" w:hAnsi="Century Gothic"/>
        </w:rPr>
        <w:t>.</w:t>
      </w:r>
    </w:p>
    <w:p w:rsidR="00A65D7B" w:rsidRDefault="00E70CDC" w:rsidP="009564B1">
      <w:pPr>
        <w:jc w:val="both"/>
        <w:rPr>
          <w:rFonts w:ascii="Century Gothic" w:hAnsi="Century Gothic"/>
        </w:rPr>
      </w:pPr>
      <w:r>
        <w:rPr>
          <w:rFonts w:ascii="Century Gothic" w:hAnsi="Century Gothic"/>
        </w:rPr>
        <w:t>Come</w:t>
      </w:r>
      <w:r w:rsidR="00A47FF6">
        <w:rPr>
          <w:rFonts w:ascii="Century Gothic" w:hAnsi="Century Gothic"/>
        </w:rPr>
        <w:t xml:space="preserve"> </w:t>
      </w:r>
      <w:r>
        <w:rPr>
          <w:rFonts w:ascii="Century Gothic" w:hAnsi="Century Gothic"/>
        </w:rPr>
        <w:t xml:space="preserve">nel 2015, </w:t>
      </w:r>
      <w:r w:rsidR="00A47FF6">
        <w:rPr>
          <w:rFonts w:ascii="Century Gothic" w:hAnsi="Century Gothic"/>
        </w:rPr>
        <w:t>in alcun</w:t>
      </w:r>
      <w:r>
        <w:rPr>
          <w:rFonts w:ascii="Century Gothic" w:hAnsi="Century Gothic"/>
        </w:rPr>
        <w:t>e</w:t>
      </w:r>
      <w:r w:rsidR="00A47FF6">
        <w:rPr>
          <w:rFonts w:ascii="Century Gothic" w:hAnsi="Century Gothic"/>
        </w:rPr>
        <w:t xml:space="preserve"> </w:t>
      </w:r>
      <w:r>
        <w:rPr>
          <w:rFonts w:ascii="Century Gothic" w:hAnsi="Century Gothic"/>
        </w:rPr>
        <w:t>intese</w:t>
      </w:r>
      <w:r w:rsidR="00A47FF6">
        <w:rPr>
          <w:rFonts w:ascii="Century Gothic" w:hAnsi="Century Gothic"/>
        </w:rPr>
        <w:t>,</w:t>
      </w:r>
      <w:r w:rsidR="00A65D7B">
        <w:rPr>
          <w:rFonts w:ascii="Century Gothic" w:hAnsi="Century Gothic"/>
        </w:rPr>
        <w:t xml:space="preserve"> </w:t>
      </w:r>
      <w:r>
        <w:rPr>
          <w:rFonts w:ascii="Century Gothic" w:hAnsi="Century Gothic"/>
        </w:rPr>
        <w:t xml:space="preserve">si fa </w:t>
      </w:r>
      <w:r w:rsidR="00F03387">
        <w:rPr>
          <w:rFonts w:ascii="Century Gothic" w:hAnsi="Century Gothic"/>
        </w:rPr>
        <w:t>riferimento</w:t>
      </w:r>
      <w:r w:rsidR="00A47FF6">
        <w:rPr>
          <w:rFonts w:ascii="Century Gothic" w:hAnsi="Century Gothic"/>
        </w:rPr>
        <w:t xml:space="preserve"> </w:t>
      </w:r>
      <w:r w:rsidR="00F03387">
        <w:rPr>
          <w:rFonts w:ascii="Century Gothic" w:hAnsi="Century Gothic"/>
        </w:rPr>
        <w:t>al</w:t>
      </w:r>
      <w:r w:rsidR="00A47FF6">
        <w:rPr>
          <w:rFonts w:ascii="Century Gothic" w:hAnsi="Century Gothic"/>
        </w:rPr>
        <w:t xml:space="preserve"> bilancio </w:t>
      </w:r>
      <w:r w:rsidR="00A65D7B">
        <w:rPr>
          <w:rFonts w:ascii="Century Gothic" w:hAnsi="Century Gothic"/>
        </w:rPr>
        <w:t>sociale</w:t>
      </w:r>
      <w:r w:rsidR="00A47FF6">
        <w:rPr>
          <w:rFonts w:ascii="Century Gothic" w:hAnsi="Century Gothic"/>
        </w:rPr>
        <w:t xml:space="preserve">, </w:t>
      </w:r>
      <w:r w:rsidR="008231A2">
        <w:rPr>
          <w:rFonts w:ascii="Century Gothic" w:hAnsi="Century Gothic"/>
        </w:rPr>
        <w:t>considerato nell’ambito</w:t>
      </w:r>
      <w:r w:rsidR="00A65D7B">
        <w:rPr>
          <w:rFonts w:ascii="Century Gothic" w:hAnsi="Century Gothic"/>
        </w:rPr>
        <w:t xml:space="preserve"> di un rafforzamento dei percorsi di partecipazione delle parti sociali alla </w:t>
      </w:r>
      <w:r w:rsidR="008231A2">
        <w:rPr>
          <w:rFonts w:ascii="Century Gothic" w:hAnsi="Century Gothic"/>
        </w:rPr>
        <w:t>costruzione</w:t>
      </w:r>
      <w:r w:rsidR="00A65D7B">
        <w:rPr>
          <w:rFonts w:ascii="Century Gothic" w:hAnsi="Century Gothic"/>
        </w:rPr>
        <w:t xml:space="preserve"> dei bilanci. Si tratta di </w:t>
      </w:r>
      <w:r w:rsidR="00F03387">
        <w:rPr>
          <w:rFonts w:ascii="Century Gothic" w:hAnsi="Century Gothic"/>
        </w:rPr>
        <w:t>una parte minima degli accordi</w:t>
      </w:r>
      <w:r w:rsidR="00A65D7B">
        <w:rPr>
          <w:rFonts w:ascii="Century Gothic" w:hAnsi="Century Gothic"/>
        </w:rPr>
        <w:t xml:space="preserve">, ma </w:t>
      </w:r>
      <w:r w:rsidR="00F03387">
        <w:rPr>
          <w:rFonts w:ascii="Century Gothic" w:hAnsi="Century Gothic"/>
        </w:rPr>
        <w:t>si ricorda che nel 2014</w:t>
      </w:r>
      <w:r w:rsidR="00A65D7B">
        <w:rPr>
          <w:rFonts w:ascii="Century Gothic" w:hAnsi="Century Gothic"/>
        </w:rPr>
        <w:t xml:space="preserve"> </w:t>
      </w:r>
      <w:r w:rsidR="00F03387">
        <w:rPr>
          <w:rFonts w:ascii="Century Gothic" w:hAnsi="Century Gothic"/>
        </w:rPr>
        <w:t xml:space="preserve">tale </w:t>
      </w:r>
      <w:r w:rsidR="00A65D7B">
        <w:rPr>
          <w:rFonts w:ascii="Century Gothic" w:hAnsi="Century Gothic"/>
        </w:rPr>
        <w:t xml:space="preserve">voce </w:t>
      </w:r>
      <w:r w:rsidR="00F03387">
        <w:rPr>
          <w:rFonts w:ascii="Century Gothic" w:hAnsi="Century Gothic"/>
        </w:rPr>
        <w:t>non era mai menzionata</w:t>
      </w:r>
      <w:r w:rsidR="00A65D7B">
        <w:rPr>
          <w:rFonts w:ascii="Century Gothic" w:hAnsi="Century Gothic"/>
        </w:rPr>
        <w:t xml:space="preserve">. </w:t>
      </w:r>
    </w:p>
    <w:p w:rsidR="00E04049" w:rsidRDefault="00E04049" w:rsidP="009564B1">
      <w:pPr>
        <w:jc w:val="both"/>
        <w:rPr>
          <w:rFonts w:ascii="Century Gothic" w:hAnsi="Century Gothic"/>
        </w:rPr>
      </w:pPr>
    </w:p>
    <w:p w:rsidR="00F31026" w:rsidRPr="00BC5743" w:rsidRDefault="00F31026" w:rsidP="00F31026">
      <w:pPr>
        <w:jc w:val="both"/>
        <w:rPr>
          <w:rFonts w:ascii="Century Gothic" w:hAnsi="Century Gothic"/>
          <w:caps/>
        </w:rPr>
      </w:pPr>
      <w:r w:rsidRPr="007D752F">
        <w:rPr>
          <w:rFonts w:ascii="Century Gothic" w:hAnsi="Century Gothic" w:cs="Arial"/>
          <w:b/>
          <w:bCs/>
          <w:color w:val="000000"/>
          <w:lang w:eastAsia="it-IT"/>
        </w:rPr>
        <w:t>Politiche culturali, di socializzazione e sicurezza</w:t>
      </w:r>
    </w:p>
    <w:p w:rsidR="00F31026" w:rsidRPr="00BC5743" w:rsidRDefault="00F31026" w:rsidP="00F31026">
      <w:pPr>
        <w:tabs>
          <w:tab w:val="left" w:pos="2400"/>
        </w:tabs>
        <w:jc w:val="both"/>
        <w:rPr>
          <w:rFonts w:ascii="Century Gothic" w:hAnsi="Century Gothic"/>
          <w:caps/>
        </w:rPr>
      </w:pPr>
    </w:p>
    <w:p w:rsidR="00334045" w:rsidRDefault="00F31026" w:rsidP="00F31026">
      <w:pPr>
        <w:jc w:val="both"/>
        <w:rPr>
          <w:rFonts w:ascii="Century Gothic" w:hAnsi="Century Gothic" w:cs="Arial"/>
          <w:bCs/>
          <w:color w:val="000000"/>
          <w:lang w:eastAsia="it-IT"/>
        </w:rPr>
      </w:pPr>
      <w:r>
        <w:rPr>
          <w:rFonts w:ascii="Century Gothic" w:hAnsi="Century Gothic" w:cs="Arial"/>
          <w:bCs/>
          <w:color w:val="000000"/>
          <w:lang w:eastAsia="it-IT"/>
        </w:rPr>
        <w:t>L</w:t>
      </w:r>
      <w:r w:rsidRPr="00BC5743">
        <w:rPr>
          <w:rFonts w:ascii="Century Gothic" w:hAnsi="Century Gothic" w:cs="Arial"/>
          <w:bCs/>
          <w:color w:val="000000"/>
          <w:lang w:eastAsia="it-IT"/>
        </w:rPr>
        <w:t xml:space="preserve">e politiche culturali, di socializzazione e sicurezza </w:t>
      </w:r>
      <w:r>
        <w:rPr>
          <w:rFonts w:ascii="Century Gothic" w:hAnsi="Century Gothic" w:cs="Arial"/>
          <w:bCs/>
          <w:color w:val="000000"/>
          <w:lang w:eastAsia="it-IT"/>
        </w:rPr>
        <w:t xml:space="preserve">sono </w:t>
      </w:r>
      <w:r w:rsidR="004A0025">
        <w:rPr>
          <w:rFonts w:ascii="Century Gothic" w:hAnsi="Century Gothic" w:cs="Arial"/>
          <w:bCs/>
          <w:color w:val="000000"/>
          <w:lang w:eastAsia="it-IT"/>
        </w:rPr>
        <w:t>affrontate</w:t>
      </w:r>
      <w:r>
        <w:rPr>
          <w:rFonts w:ascii="Century Gothic" w:hAnsi="Century Gothic" w:cs="Arial"/>
          <w:bCs/>
          <w:color w:val="000000"/>
          <w:lang w:eastAsia="it-IT"/>
        </w:rPr>
        <w:t xml:space="preserve"> in quas</w:t>
      </w:r>
      <w:r w:rsidR="005634B9">
        <w:rPr>
          <w:rFonts w:ascii="Century Gothic" w:hAnsi="Century Gothic" w:cs="Arial"/>
          <w:bCs/>
          <w:color w:val="000000"/>
          <w:lang w:eastAsia="it-IT"/>
        </w:rPr>
        <w:t xml:space="preserve">i due terzi degli accordi </w:t>
      </w:r>
      <w:r w:rsidR="005634B9" w:rsidRPr="005B51FE">
        <w:rPr>
          <w:rFonts w:ascii="Century Gothic" w:hAnsi="Century Gothic" w:cs="Arial"/>
          <w:bCs/>
          <w:color w:val="000000"/>
          <w:lang w:eastAsia="it-IT"/>
        </w:rPr>
        <w:t>(3</w:t>
      </w:r>
      <w:r w:rsidR="00DB1BAE" w:rsidRPr="005B51FE">
        <w:rPr>
          <w:rFonts w:ascii="Century Gothic" w:hAnsi="Century Gothic" w:cs="Arial"/>
          <w:bCs/>
          <w:color w:val="000000"/>
          <w:lang w:eastAsia="it-IT"/>
        </w:rPr>
        <w:t>1</w:t>
      </w:r>
      <w:r w:rsidR="00334045">
        <w:rPr>
          <w:rFonts w:ascii="Century Gothic" w:hAnsi="Century Gothic" w:cs="Arial"/>
          <w:bCs/>
          <w:color w:val="000000"/>
          <w:lang w:eastAsia="it-IT"/>
        </w:rPr>
        <w:t>%)</w:t>
      </w:r>
      <w:r w:rsidR="00F47022">
        <w:rPr>
          <w:rFonts w:ascii="Century Gothic" w:hAnsi="Century Gothic" w:cs="Arial"/>
          <w:bCs/>
          <w:color w:val="000000"/>
          <w:lang w:eastAsia="it-IT"/>
        </w:rPr>
        <w:t>,</w:t>
      </w:r>
      <w:r w:rsidR="00334045">
        <w:rPr>
          <w:rFonts w:ascii="Century Gothic" w:hAnsi="Century Gothic" w:cs="Arial"/>
          <w:bCs/>
          <w:color w:val="000000"/>
          <w:lang w:eastAsia="it-IT"/>
        </w:rPr>
        <w:t xml:space="preserve"> e si concretizzano prevalentemente in iniziative di socializzazione rivolte agli anziani (vacanze estive, attività fisica, etc.)</w:t>
      </w:r>
      <w:r w:rsidR="00BB4878">
        <w:rPr>
          <w:rFonts w:ascii="Century Gothic" w:hAnsi="Century Gothic" w:cs="Arial"/>
          <w:bCs/>
          <w:color w:val="000000"/>
          <w:lang w:eastAsia="it-IT"/>
        </w:rPr>
        <w:t>, anche se sono presenti interventi a favore di giovani</w:t>
      </w:r>
      <w:r w:rsidR="00334045">
        <w:rPr>
          <w:rFonts w:ascii="Century Gothic" w:hAnsi="Century Gothic" w:cs="Arial"/>
          <w:bCs/>
          <w:color w:val="000000"/>
          <w:lang w:eastAsia="it-IT"/>
        </w:rPr>
        <w:t xml:space="preserve">. </w:t>
      </w:r>
    </w:p>
    <w:p w:rsidR="00334045" w:rsidRDefault="00334045" w:rsidP="00F31026">
      <w:pPr>
        <w:jc w:val="both"/>
        <w:rPr>
          <w:rFonts w:ascii="Century Gothic" w:hAnsi="Century Gothic" w:cs="Arial"/>
          <w:bCs/>
          <w:color w:val="000000"/>
          <w:lang w:eastAsia="it-IT"/>
        </w:rPr>
      </w:pPr>
      <w:r>
        <w:rPr>
          <w:rFonts w:ascii="Century Gothic" w:hAnsi="Century Gothic" w:cs="Arial"/>
          <w:bCs/>
          <w:color w:val="000000"/>
          <w:lang w:eastAsia="it-IT"/>
        </w:rPr>
        <w:t xml:space="preserve">E’ interessante notare, pur in un numero limitato di accordi (10%), la </w:t>
      </w:r>
      <w:r w:rsidR="00BB4878">
        <w:rPr>
          <w:rFonts w:ascii="Century Gothic" w:hAnsi="Century Gothic" w:cs="Arial"/>
          <w:bCs/>
          <w:color w:val="000000"/>
          <w:lang w:eastAsia="it-IT"/>
        </w:rPr>
        <w:t>previsione</w:t>
      </w:r>
      <w:r>
        <w:rPr>
          <w:rFonts w:ascii="Century Gothic" w:hAnsi="Century Gothic" w:cs="Arial"/>
          <w:bCs/>
          <w:color w:val="000000"/>
          <w:lang w:eastAsia="it-IT"/>
        </w:rPr>
        <w:t xml:space="preserve"> di attività culturali che</w:t>
      </w:r>
      <w:r w:rsidR="00BB4878">
        <w:rPr>
          <w:rFonts w:ascii="Century Gothic" w:hAnsi="Century Gothic" w:cs="Arial"/>
          <w:bCs/>
          <w:color w:val="000000"/>
          <w:lang w:eastAsia="it-IT"/>
        </w:rPr>
        <w:t>,</w:t>
      </w:r>
      <w:r>
        <w:rPr>
          <w:rFonts w:ascii="Century Gothic" w:hAnsi="Century Gothic" w:cs="Arial"/>
          <w:bCs/>
          <w:color w:val="000000"/>
          <w:lang w:eastAsia="it-IT"/>
        </w:rPr>
        <w:t xml:space="preserve"> </w:t>
      </w:r>
      <w:r w:rsidR="00F47022">
        <w:rPr>
          <w:rFonts w:ascii="Century Gothic" w:hAnsi="Century Gothic" w:cs="Arial"/>
          <w:bCs/>
          <w:color w:val="000000"/>
          <w:lang w:eastAsia="it-IT"/>
        </w:rPr>
        <w:t xml:space="preserve">nel caso dei </w:t>
      </w:r>
      <w:r w:rsidR="00BB4878">
        <w:rPr>
          <w:rFonts w:ascii="Century Gothic" w:hAnsi="Century Gothic" w:cs="Arial"/>
          <w:bCs/>
          <w:color w:val="000000"/>
          <w:lang w:eastAsia="it-IT"/>
        </w:rPr>
        <w:t xml:space="preserve">comuni della provincia di Livorno, </w:t>
      </w:r>
      <w:r>
        <w:rPr>
          <w:rFonts w:ascii="Century Gothic" w:hAnsi="Century Gothic" w:cs="Arial"/>
          <w:bCs/>
          <w:color w:val="000000"/>
          <w:lang w:eastAsia="it-IT"/>
        </w:rPr>
        <w:t>riguardano le relazioni intergenerazionali</w:t>
      </w:r>
      <w:r w:rsidR="00BB4878">
        <w:rPr>
          <w:rFonts w:ascii="Century Gothic" w:hAnsi="Century Gothic" w:cs="Arial"/>
          <w:bCs/>
          <w:color w:val="000000"/>
          <w:lang w:eastAsia="it-IT"/>
        </w:rPr>
        <w:t xml:space="preserve"> viste come aspetto di coesione della comunità</w:t>
      </w:r>
      <w:r>
        <w:rPr>
          <w:rFonts w:ascii="Century Gothic" w:hAnsi="Century Gothic" w:cs="Arial"/>
          <w:bCs/>
          <w:color w:val="000000"/>
          <w:lang w:eastAsia="it-IT"/>
        </w:rPr>
        <w:t xml:space="preserve">. </w:t>
      </w:r>
      <w:r w:rsidR="0098138E">
        <w:rPr>
          <w:rFonts w:ascii="Century Gothic" w:hAnsi="Century Gothic" w:cs="Arial"/>
          <w:bCs/>
          <w:color w:val="000000"/>
          <w:lang w:eastAsia="it-IT"/>
        </w:rPr>
        <w:t xml:space="preserve">Sono trascurabili gli interventi rivolti alla sicurezza (3% delle intese). </w:t>
      </w:r>
    </w:p>
    <w:p w:rsidR="00BB4878" w:rsidRPr="00BB4878" w:rsidRDefault="00BB4878" w:rsidP="00F31026">
      <w:pPr>
        <w:jc w:val="both"/>
        <w:rPr>
          <w:rFonts w:ascii="Century Gothic" w:hAnsi="Century Gothic" w:cs="Arial"/>
          <w:b/>
          <w:bCs/>
          <w:color w:val="000000"/>
          <w:lang w:eastAsia="it-IT"/>
        </w:rPr>
      </w:pPr>
    </w:p>
    <w:p w:rsidR="00E04049" w:rsidRDefault="00E04049" w:rsidP="00E04049">
      <w:pPr>
        <w:rPr>
          <w:rFonts w:ascii="Century Gothic" w:hAnsi="Century Gothic"/>
          <w:b/>
        </w:rPr>
      </w:pPr>
      <w:r w:rsidRPr="007D752F">
        <w:rPr>
          <w:rFonts w:ascii="Century Gothic" w:hAnsi="Century Gothic"/>
          <w:b/>
        </w:rPr>
        <w:t>Azioni di contrasto delle discriminazioni e pari opportunità</w:t>
      </w:r>
      <w:r w:rsidR="004B04AE" w:rsidRPr="007D752F">
        <w:rPr>
          <w:rFonts w:ascii="Century Gothic" w:hAnsi="Century Gothic"/>
          <w:b/>
        </w:rPr>
        <w:t>+</w:t>
      </w:r>
    </w:p>
    <w:p w:rsidR="00F31026" w:rsidRDefault="00F31026" w:rsidP="00E04049">
      <w:pPr>
        <w:jc w:val="both"/>
        <w:rPr>
          <w:rFonts w:ascii="Century Gothic" w:hAnsi="Century Gothic"/>
        </w:rPr>
      </w:pPr>
    </w:p>
    <w:p w:rsidR="00550555" w:rsidRDefault="00550555" w:rsidP="00E04049">
      <w:pPr>
        <w:jc w:val="both"/>
        <w:rPr>
          <w:rFonts w:ascii="Century Gothic" w:hAnsi="Century Gothic"/>
        </w:rPr>
      </w:pPr>
      <w:r>
        <w:rPr>
          <w:rFonts w:ascii="Century Gothic" w:hAnsi="Century Gothic"/>
        </w:rPr>
        <w:t xml:space="preserve">L’area concernente il contrasto delle discriminazioni e </w:t>
      </w:r>
      <w:r w:rsidR="00F47022">
        <w:rPr>
          <w:rFonts w:ascii="Century Gothic" w:hAnsi="Century Gothic"/>
        </w:rPr>
        <w:t>l</w:t>
      </w:r>
      <w:r>
        <w:rPr>
          <w:rFonts w:ascii="Century Gothic" w:hAnsi="Century Gothic"/>
        </w:rPr>
        <w:t>a promozione delle pari opportunità</w:t>
      </w:r>
      <w:r w:rsidR="003261DB">
        <w:rPr>
          <w:rFonts w:ascii="Century Gothic" w:hAnsi="Century Gothic"/>
        </w:rPr>
        <w:t xml:space="preserve"> è presente in quasi un quarto degli accordi (24%)</w:t>
      </w:r>
      <w:r>
        <w:rPr>
          <w:rFonts w:ascii="Century Gothic" w:hAnsi="Century Gothic"/>
        </w:rPr>
        <w:t xml:space="preserve">. Come rilevato negli anni precedenti, la voce prevalente è quella rivolta alle pari opportunità e l’integrazione, mentre sono assenti iniziative specifiche contro </w:t>
      </w:r>
      <w:r w:rsidR="003261DB">
        <w:rPr>
          <w:rFonts w:ascii="Century Gothic" w:hAnsi="Century Gothic"/>
        </w:rPr>
        <w:t>i vari tipi di</w:t>
      </w:r>
      <w:r>
        <w:rPr>
          <w:rFonts w:ascii="Century Gothic" w:hAnsi="Century Gothic"/>
        </w:rPr>
        <w:t xml:space="preserve"> discriminazion</w:t>
      </w:r>
      <w:r w:rsidR="003261DB">
        <w:rPr>
          <w:rFonts w:ascii="Century Gothic" w:hAnsi="Century Gothic"/>
        </w:rPr>
        <w:t xml:space="preserve">e (età, genere, orientamento di genere, razza, etc.). </w:t>
      </w:r>
    </w:p>
    <w:p w:rsidR="00550555" w:rsidRDefault="003261DB" w:rsidP="00E04049">
      <w:pPr>
        <w:jc w:val="both"/>
        <w:rPr>
          <w:rFonts w:ascii="Century Gothic" w:hAnsi="Century Gothic"/>
        </w:rPr>
      </w:pPr>
      <w:r>
        <w:rPr>
          <w:rFonts w:ascii="Century Gothic" w:hAnsi="Century Gothic"/>
        </w:rPr>
        <w:t xml:space="preserve">In alcuni casi gli interventi si collegano con le politiche educative, nella cornice del diritto allo studio, e mirano a un corretto </w:t>
      </w:r>
      <w:r w:rsidR="00A52AF8">
        <w:rPr>
          <w:rFonts w:ascii="Century Gothic" w:hAnsi="Century Gothic"/>
        </w:rPr>
        <w:t xml:space="preserve">inserimento scolastico di alunni con disabilità o stranieri, in altri casi le iniziative sono rivolte all’accoglienza dei migranti, </w:t>
      </w:r>
      <w:r w:rsidR="00F47022">
        <w:rPr>
          <w:rFonts w:ascii="Century Gothic" w:hAnsi="Century Gothic"/>
        </w:rPr>
        <w:t>per mezzo di</w:t>
      </w:r>
      <w:r w:rsidR="00A52AF8">
        <w:rPr>
          <w:rFonts w:ascii="Century Gothic" w:hAnsi="Century Gothic"/>
        </w:rPr>
        <w:t xml:space="preserve"> </w:t>
      </w:r>
      <w:r w:rsidR="00E8799F">
        <w:rPr>
          <w:rFonts w:ascii="Century Gothic" w:hAnsi="Century Gothic"/>
        </w:rPr>
        <w:t xml:space="preserve">sportelli informativi, mediazione culturale, </w:t>
      </w:r>
      <w:r w:rsidR="00B9793D">
        <w:rPr>
          <w:rFonts w:ascii="Century Gothic" w:hAnsi="Century Gothic"/>
        </w:rPr>
        <w:t xml:space="preserve">o anche l’offerta di spazi abitativi. </w:t>
      </w:r>
    </w:p>
    <w:p w:rsidR="00B9793D" w:rsidRDefault="00B9793D" w:rsidP="00E04049">
      <w:pPr>
        <w:jc w:val="both"/>
        <w:rPr>
          <w:rFonts w:ascii="Century Gothic" w:hAnsi="Century Gothic"/>
        </w:rPr>
      </w:pPr>
      <w:r>
        <w:rPr>
          <w:rFonts w:ascii="Century Gothic" w:hAnsi="Century Gothic"/>
        </w:rPr>
        <w:t>Come segnalato nel precedente</w:t>
      </w:r>
      <w:r w:rsidR="00054170">
        <w:rPr>
          <w:rFonts w:ascii="Century Gothic" w:hAnsi="Century Gothic"/>
        </w:rPr>
        <w:t xml:space="preserve"> rapporto</w:t>
      </w:r>
      <w:r>
        <w:rPr>
          <w:rFonts w:ascii="Century Gothic" w:hAnsi="Century Gothic"/>
        </w:rPr>
        <w:t xml:space="preserve">, </w:t>
      </w:r>
      <w:r w:rsidR="00DA6F0F">
        <w:rPr>
          <w:rFonts w:ascii="Century Gothic" w:hAnsi="Century Gothic"/>
        </w:rPr>
        <w:t xml:space="preserve">negli accordi siglati nella provincia di Livorno, </w:t>
      </w:r>
      <w:r>
        <w:rPr>
          <w:rFonts w:ascii="Century Gothic" w:hAnsi="Century Gothic"/>
        </w:rPr>
        <w:t>continuano</w:t>
      </w:r>
      <w:r w:rsidR="00DA6F0F">
        <w:rPr>
          <w:rFonts w:ascii="Century Gothic" w:hAnsi="Century Gothic"/>
        </w:rPr>
        <w:t xml:space="preserve"> e si consolidano le azioni di contrasto </w:t>
      </w:r>
      <w:r w:rsidR="00F47022">
        <w:rPr>
          <w:rFonts w:ascii="Century Gothic" w:hAnsi="Century Gothic"/>
        </w:rPr>
        <w:t>a</w:t>
      </w:r>
      <w:r w:rsidR="00DA6F0F">
        <w:rPr>
          <w:rFonts w:ascii="Century Gothic" w:hAnsi="Century Gothic"/>
        </w:rPr>
        <w:t xml:space="preserve">lla violenza sulle donne, </w:t>
      </w:r>
      <w:r w:rsidR="00DA6F0F" w:rsidRPr="00F47022">
        <w:rPr>
          <w:rFonts w:ascii="Century Gothic" w:hAnsi="Century Gothic"/>
        </w:rPr>
        <w:t>tramite</w:t>
      </w:r>
      <w:r w:rsidR="00DA6F0F">
        <w:rPr>
          <w:rFonts w:ascii="Century Gothic" w:hAnsi="Century Gothic"/>
        </w:rPr>
        <w:t xml:space="preserve"> </w:t>
      </w:r>
      <w:r w:rsidR="006C538B">
        <w:rPr>
          <w:rFonts w:ascii="Century Gothic" w:hAnsi="Century Gothic"/>
        </w:rPr>
        <w:t>la realizzazione di apposite strutture di support</w:t>
      </w:r>
      <w:r w:rsidR="00F47022">
        <w:rPr>
          <w:rFonts w:ascii="Century Gothic" w:hAnsi="Century Gothic"/>
        </w:rPr>
        <w:t xml:space="preserve">o alle donne vittime di abusi. </w:t>
      </w:r>
    </w:p>
    <w:p w:rsidR="002C5F37" w:rsidRDefault="002C5F37" w:rsidP="00E04049">
      <w:pPr>
        <w:jc w:val="both"/>
        <w:rPr>
          <w:rFonts w:ascii="Century Gothic" w:hAnsi="Century Gothic"/>
        </w:rPr>
      </w:pPr>
    </w:p>
    <w:p w:rsidR="00D417DB" w:rsidRDefault="00D417DB" w:rsidP="00D417DB">
      <w:pPr>
        <w:autoSpaceDE w:val="0"/>
        <w:autoSpaceDN w:val="0"/>
        <w:adjustRightInd w:val="0"/>
        <w:spacing w:line="240" w:lineRule="auto"/>
        <w:rPr>
          <w:rFonts w:ascii="Century Gothic" w:hAnsi="Century Gothic"/>
          <w:b/>
          <w:sz w:val="28"/>
          <w:szCs w:val="28"/>
        </w:rPr>
      </w:pPr>
      <w:r w:rsidRPr="00E664BE">
        <w:rPr>
          <w:rFonts w:ascii="Century Gothic" w:hAnsi="Century Gothic"/>
          <w:b/>
          <w:sz w:val="28"/>
          <w:szCs w:val="28"/>
        </w:rPr>
        <w:t>CONCLUSIONI</w:t>
      </w:r>
    </w:p>
    <w:p w:rsidR="009F6D9A" w:rsidRDefault="009F6D9A">
      <w:pPr>
        <w:rPr>
          <w:rFonts w:ascii="Century Gothic" w:hAnsi="Century Gothic"/>
        </w:rPr>
      </w:pPr>
      <w:r>
        <w:rPr>
          <w:rFonts w:ascii="Century Gothic" w:hAnsi="Century Gothic"/>
        </w:rPr>
        <w:br w:type="page"/>
      </w:r>
    </w:p>
    <w:p w:rsidR="008B3815" w:rsidRPr="00E221AE" w:rsidRDefault="008B3815" w:rsidP="008B3815">
      <w:pPr>
        <w:autoSpaceDE w:val="0"/>
        <w:autoSpaceDN w:val="0"/>
        <w:adjustRightInd w:val="0"/>
        <w:spacing w:line="240" w:lineRule="auto"/>
        <w:rPr>
          <w:rFonts w:ascii="Century Gothic" w:hAnsi="Century Gothic"/>
          <w:b/>
          <w:sz w:val="28"/>
          <w:szCs w:val="28"/>
        </w:rPr>
      </w:pPr>
      <w:r>
        <w:rPr>
          <w:rFonts w:ascii="Century Gothic" w:hAnsi="Century Gothic"/>
          <w:b/>
          <w:sz w:val="28"/>
          <w:szCs w:val="28"/>
        </w:rPr>
        <w:t>Bibliografia essenziale</w:t>
      </w:r>
    </w:p>
    <w:p w:rsidR="00790CB9" w:rsidRDefault="00790CB9" w:rsidP="009F519A">
      <w:pPr>
        <w:jc w:val="both"/>
        <w:rPr>
          <w:rFonts w:ascii="Century Gothic" w:hAnsi="Century Gothic"/>
        </w:rPr>
      </w:pPr>
    </w:p>
    <w:p w:rsidR="003978CC" w:rsidRPr="00DD20FF" w:rsidRDefault="003978CC" w:rsidP="003978CC">
      <w:pPr>
        <w:jc w:val="both"/>
        <w:rPr>
          <w:rFonts w:ascii="Century Gothic" w:hAnsi="Century Gothic"/>
        </w:rPr>
      </w:pPr>
      <w:r w:rsidRPr="00DD20FF">
        <w:rPr>
          <w:rFonts w:ascii="Century Gothic" w:hAnsi="Century Gothic"/>
        </w:rPr>
        <w:t xml:space="preserve">IRES - SPI CGIL – CGIL (2010), </w:t>
      </w:r>
      <w:r w:rsidRPr="00DD20FF">
        <w:rPr>
          <w:rFonts w:ascii="Century Gothic" w:hAnsi="Century Gothic"/>
          <w:i/>
        </w:rPr>
        <w:t>Primo rapporto sulla contrattazione sociale territoriale</w:t>
      </w:r>
      <w:r w:rsidRPr="00DD20FF">
        <w:rPr>
          <w:rFonts w:ascii="Century Gothic" w:hAnsi="Century Gothic"/>
        </w:rPr>
        <w:t>, Roma.</w:t>
      </w:r>
    </w:p>
    <w:p w:rsidR="003978CC" w:rsidRPr="00DD20FF" w:rsidRDefault="003978CC" w:rsidP="003978CC">
      <w:pPr>
        <w:jc w:val="both"/>
        <w:rPr>
          <w:rFonts w:ascii="Century Gothic" w:hAnsi="Century Gothic"/>
        </w:rPr>
      </w:pPr>
      <w:r w:rsidRPr="00DD20FF">
        <w:rPr>
          <w:rFonts w:ascii="Century Gothic" w:hAnsi="Century Gothic"/>
        </w:rPr>
        <w:t xml:space="preserve">IRES - SPI CGIL – CGIL (2011), </w:t>
      </w:r>
      <w:r w:rsidRPr="00DD20FF">
        <w:rPr>
          <w:rFonts w:ascii="Century Gothic" w:hAnsi="Century Gothic"/>
          <w:i/>
        </w:rPr>
        <w:t>Secondo rapporto sulla contrattazione sociale territoriale</w:t>
      </w:r>
      <w:r w:rsidRPr="00DD20FF">
        <w:rPr>
          <w:rFonts w:ascii="Century Gothic" w:hAnsi="Century Gothic"/>
        </w:rPr>
        <w:t>, Roma.</w:t>
      </w:r>
    </w:p>
    <w:p w:rsidR="003978CC" w:rsidRPr="00DD20FF" w:rsidRDefault="003978CC" w:rsidP="003978CC">
      <w:pPr>
        <w:jc w:val="both"/>
        <w:rPr>
          <w:rFonts w:ascii="Century Gothic" w:hAnsi="Century Gothic"/>
        </w:rPr>
      </w:pPr>
      <w:r w:rsidRPr="00DD20FF">
        <w:rPr>
          <w:rFonts w:ascii="Century Gothic" w:hAnsi="Century Gothic"/>
        </w:rPr>
        <w:t xml:space="preserve">IRES - SPI CGIL – CGIL (2012), </w:t>
      </w:r>
      <w:r w:rsidRPr="00DD20FF">
        <w:rPr>
          <w:rFonts w:ascii="Century Gothic" w:hAnsi="Century Gothic"/>
          <w:i/>
        </w:rPr>
        <w:t>Terzo rapporto sulla contrattazione sociale territoriale</w:t>
      </w:r>
      <w:r w:rsidRPr="00DD20FF">
        <w:rPr>
          <w:rFonts w:ascii="Century Gothic" w:hAnsi="Century Gothic"/>
        </w:rPr>
        <w:t>, Roma.</w:t>
      </w:r>
    </w:p>
    <w:p w:rsidR="003978CC" w:rsidRPr="00DD20FF" w:rsidRDefault="003978CC" w:rsidP="003978CC">
      <w:pPr>
        <w:jc w:val="both"/>
        <w:rPr>
          <w:rFonts w:ascii="Century Gothic" w:hAnsi="Century Gothic"/>
        </w:rPr>
      </w:pPr>
      <w:r>
        <w:rPr>
          <w:rFonts w:ascii="Century Gothic" w:hAnsi="Century Gothic"/>
        </w:rPr>
        <w:t>Associazione Bruno Trentin</w:t>
      </w:r>
      <w:r w:rsidRPr="00DD20FF">
        <w:rPr>
          <w:rFonts w:ascii="Century Gothic" w:hAnsi="Century Gothic"/>
        </w:rPr>
        <w:t xml:space="preserve"> </w:t>
      </w:r>
      <w:r>
        <w:rPr>
          <w:rFonts w:ascii="Century Gothic" w:hAnsi="Century Gothic"/>
        </w:rPr>
        <w:t xml:space="preserve">Isf </w:t>
      </w:r>
      <w:r w:rsidRPr="00DD20FF">
        <w:rPr>
          <w:rFonts w:ascii="Century Gothic" w:hAnsi="Century Gothic"/>
        </w:rPr>
        <w:t xml:space="preserve">IRES - SPI CGIL – CGIL (2013), </w:t>
      </w:r>
      <w:r w:rsidRPr="00DD20FF">
        <w:rPr>
          <w:rFonts w:ascii="Century Gothic" w:hAnsi="Century Gothic"/>
          <w:i/>
        </w:rPr>
        <w:t>Quarto rapporto sulla contrattazione sociale territoriale</w:t>
      </w:r>
      <w:r w:rsidRPr="00DD20FF">
        <w:rPr>
          <w:rFonts w:ascii="Century Gothic" w:hAnsi="Century Gothic"/>
        </w:rPr>
        <w:t>, Roma.</w:t>
      </w:r>
    </w:p>
    <w:p w:rsidR="003978CC" w:rsidRDefault="003978CC" w:rsidP="003978CC">
      <w:pPr>
        <w:jc w:val="both"/>
        <w:rPr>
          <w:rFonts w:ascii="Century Gothic" w:hAnsi="Century Gothic"/>
        </w:rPr>
      </w:pPr>
      <w:r>
        <w:rPr>
          <w:rFonts w:ascii="Century Gothic" w:hAnsi="Century Gothic"/>
        </w:rPr>
        <w:t>Associazione Bruno Trentin</w:t>
      </w:r>
      <w:r w:rsidRPr="00DD20FF">
        <w:rPr>
          <w:rFonts w:ascii="Century Gothic" w:hAnsi="Century Gothic"/>
        </w:rPr>
        <w:t xml:space="preserve"> - SPI CGIL – CGIL (2014), </w:t>
      </w:r>
      <w:r w:rsidRPr="00DD20FF">
        <w:rPr>
          <w:rFonts w:ascii="Century Gothic" w:hAnsi="Century Gothic"/>
          <w:i/>
        </w:rPr>
        <w:t>Quinto rapporto sulla contrattazione sociale territoriale</w:t>
      </w:r>
      <w:r w:rsidRPr="00DD20FF">
        <w:rPr>
          <w:rFonts w:ascii="Century Gothic" w:hAnsi="Century Gothic"/>
        </w:rPr>
        <w:t>, Roma.</w:t>
      </w:r>
    </w:p>
    <w:p w:rsidR="003978CC" w:rsidRDefault="003978CC" w:rsidP="003978CC">
      <w:pPr>
        <w:jc w:val="both"/>
        <w:rPr>
          <w:rFonts w:ascii="Century Gothic" w:hAnsi="Century Gothic"/>
        </w:rPr>
      </w:pPr>
      <w:r>
        <w:rPr>
          <w:rFonts w:ascii="Century Gothic" w:hAnsi="Century Gothic"/>
        </w:rPr>
        <w:t>Fondazione Di Vittorio</w:t>
      </w:r>
      <w:r w:rsidRPr="00DD20FF">
        <w:rPr>
          <w:rFonts w:ascii="Century Gothic" w:hAnsi="Century Gothic"/>
        </w:rPr>
        <w:t xml:space="preserve"> - SPI CGIL – CGIL (201</w:t>
      </w:r>
      <w:r>
        <w:rPr>
          <w:rFonts w:ascii="Century Gothic" w:hAnsi="Century Gothic"/>
        </w:rPr>
        <w:t>5</w:t>
      </w:r>
      <w:r w:rsidRPr="00DD20FF">
        <w:rPr>
          <w:rFonts w:ascii="Century Gothic" w:hAnsi="Century Gothic"/>
        </w:rPr>
        <w:t xml:space="preserve">), </w:t>
      </w:r>
      <w:r>
        <w:rPr>
          <w:rFonts w:ascii="Century Gothic" w:hAnsi="Century Gothic"/>
          <w:i/>
        </w:rPr>
        <w:t>Sesto</w:t>
      </w:r>
      <w:r w:rsidRPr="00DD20FF">
        <w:rPr>
          <w:rFonts w:ascii="Century Gothic" w:hAnsi="Century Gothic"/>
          <w:i/>
        </w:rPr>
        <w:t xml:space="preserve"> rapporto sulla contrattazione sociale territoriale</w:t>
      </w:r>
      <w:r w:rsidRPr="00DD20FF">
        <w:rPr>
          <w:rFonts w:ascii="Century Gothic" w:hAnsi="Century Gothic"/>
        </w:rPr>
        <w:t>, Roma.</w:t>
      </w:r>
    </w:p>
    <w:p w:rsidR="003978CC" w:rsidRDefault="003978CC" w:rsidP="003978CC">
      <w:pPr>
        <w:jc w:val="both"/>
        <w:rPr>
          <w:rFonts w:ascii="Century Gothic" w:hAnsi="Century Gothic"/>
        </w:rPr>
      </w:pPr>
      <w:r>
        <w:rPr>
          <w:rFonts w:ascii="Century Gothic" w:hAnsi="Century Gothic"/>
        </w:rPr>
        <w:t>Fondazione Di Vittorio</w:t>
      </w:r>
      <w:r w:rsidRPr="00DD20FF">
        <w:rPr>
          <w:rFonts w:ascii="Century Gothic" w:hAnsi="Century Gothic"/>
        </w:rPr>
        <w:t xml:space="preserve"> - SPI CGIL – CGIL (201</w:t>
      </w:r>
      <w:r>
        <w:rPr>
          <w:rFonts w:ascii="Century Gothic" w:hAnsi="Century Gothic"/>
        </w:rPr>
        <w:t>6</w:t>
      </w:r>
      <w:r w:rsidRPr="00DD20FF">
        <w:rPr>
          <w:rFonts w:ascii="Century Gothic" w:hAnsi="Century Gothic"/>
        </w:rPr>
        <w:t xml:space="preserve">), </w:t>
      </w:r>
      <w:r>
        <w:rPr>
          <w:rFonts w:ascii="Century Gothic" w:hAnsi="Century Gothic"/>
          <w:i/>
        </w:rPr>
        <w:t>Settimo</w:t>
      </w:r>
      <w:r w:rsidRPr="00DD20FF">
        <w:rPr>
          <w:rFonts w:ascii="Century Gothic" w:hAnsi="Century Gothic"/>
          <w:i/>
        </w:rPr>
        <w:t xml:space="preserve"> rapporto sulla contrattazione sociale territoriale</w:t>
      </w:r>
      <w:r w:rsidRPr="00DD20FF">
        <w:rPr>
          <w:rFonts w:ascii="Century Gothic" w:hAnsi="Century Gothic"/>
        </w:rPr>
        <w:t>, Roma.</w:t>
      </w:r>
    </w:p>
    <w:p w:rsidR="003978CC" w:rsidRPr="00DD20FF" w:rsidRDefault="003978CC" w:rsidP="003978CC">
      <w:pPr>
        <w:jc w:val="both"/>
        <w:rPr>
          <w:rFonts w:ascii="Century Gothic" w:hAnsi="Century Gothic"/>
        </w:rPr>
      </w:pPr>
      <w:r w:rsidRPr="00DD20FF">
        <w:rPr>
          <w:rFonts w:ascii="Century Gothic" w:hAnsi="Century Gothic"/>
        </w:rPr>
        <w:t xml:space="preserve">IRES Toscana - SPI CGIL Toscana - CGIL Toscana - Funzione Pubblica CGIL Toscana (2012), </w:t>
      </w:r>
      <w:r w:rsidRPr="00DD20FF">
        <w:rPr>
          <w:rFonts w:ascii="Century Gothic" w:hAnsi="Century Gothic"/>
          <w:i/>
        </w:rPr>
        <w:t xml:space="preserve">Benessere in Toscana - La sfida della contrattazione sociale, </w:t>
      </w:r>
      <w:r w:rsidRPr="00DD20FF">
        <w:rPr>
          <w:rFonts w:ascii="Century Gothic" w:hAnsi="Century Gothic"/>
        </w:rPr>
        <w:t>Primo rapporto sulla contrattazione sociale in Toscana triennio 2009-2011.</w:t>
      </w:r>
    </w:p>
    <w:p w:rsidR="003978CC" w:rsidRPr="00DD20FF" w:rsidRDefault="003978CC" w:rsidP="003978CC">
      <w:pPr>
        <w:jc w:val="both"/>
        <w:rPr>
          <w:rFonts w:ascii="Century Gothic" w:hAnsi="Century Gothic"/>
        </w:rPr>
      </w:pPr>
      <w:r w:rsidRPr="00DD20FF">
        <w:rPr>
          <w:rFonts w:ascii="Century Gothic" w:hAnsi="Century Gothic"/>
        </w:rPr>
        <w:t xml:space="preserve">IRES Toscana - SPI CGIL Toscana - CGIL Toscana - Funzione Pubblica CGIL Toscana (2013), </w:t>
      </w:r>
      <w:r w:rsidRPr="00DD20FF">
        <w:rPr>
          <w:rFonts w:ascii="Century Gothic" w:hAnsi="Century Gothic"/>
          <w:i/>
        </w:rPr>
        <w:t xml:space="preserve">Recuperare equità - La contrattazione sociale nella crisi, </w:t>
      </w:r>
      <w:r w:rsidRPr="00DD20FF">
        <w:rPr>
          <w:rFonts w:ascii="Century Gothic" w:hAnsi="Century Gothic"/>
        </w:rPr>
        <w:t>Secondo rapporto sulla contrattazione sociale in Toscana anno 2012.</w:t>
      </w:r>
    </w:p>
    <w:p w:rsidR="003978CC" w:rsidRDefault="003978CC" w:rsidP="003978CC">
      <w:pPr>
        <w:jc w:val="both"/>
        <w:rPr>
          <w:rFonts w:ascii="Century Gothic" w:hAnsi="Century Gothic"/>
        </w:rPr>
      </w:pPr>
      <w:r w:rsidRPr="00DD20FF">
        <w:rPr>
          <w:rFonts w:ascii="Century Gothic" w:hAnsi="Century Gothic"/>
        </w:rPr>
        <w:t xml:space="preserve">IRES Toscana - SPI CGIL Toscana - CGIL Toscana - Funzione Pubblica CGIL Toscana (2014), </w:t>
      </w:r>
      <w:r w:rsidRPr="00DD20FF">
        <w:rPr>
          <w:rFonts w:ascii="Century Gothic" w:hAnsi="Century Gothic"/>
          <w:i/>
        </w:rPr>
        <w:t xml:space="preserve">Contrattazione sociale - Una pratica da valorizzare, </w:t>
      </w:r>
      <w:r w:rsidRPr="00DD20FF">
        <w:rPr>
          <w:rFonts w:ascii="Century Gothic" w:hAnsi="Century Gothic"/>
        </w:rPr>
        <w:t>Terzo rapporto sulla contrattazione sociale in Toscana anno 2013.</w:t>
      </w:r>
    </w:p>
    <w:p w:rsidR="003978CC" w:rsidRDefault="003978CC" w:rsidP="003978CC">
      <w:pPr>
        <w:jc w:val="both"/>
        <w:rPr>
          <w:rFonts w:ascii="Century Gothic" w:hAnsi="Century Gothic"/>
        </w:rPr>
      </w:pPr>
      <w:r w:rsidRPr="00DD20FF">
        <w:rPr>
          <w:rFonts w:ascii="Century Gothic" w:hAnsi="Century Gothic"/>
        </w:rPr>
        <w:t>IRES Toscana - SPI CGIL Toscana - CGIL Toscana - Funzione Pubblica CGIL Toscana (201</w:t>
      </w:r>
      <w:r>
        <w:rPr>
          <w:rFonts w:ascii="Century Gothic" w:hAnsi="Century Gothic"/>
        </w:rPr>
        <w:t>5</w:t>
      </w:r>
      <w:r w:rsidRPr="00DD20FF">
        <w:rPr>
          <w:rFonts w:ascii="Century Gothic" w:hAnsi="Century Gothic"/>
        </w:rPr>
        <w:t xml:space="preserve">), </w:t>
      </w:r>
      <w:r>
        <w:rPr>
          <w:rFonts w:ascii="Century Gothic" w:hAnsi="Century Gothic"/>
        </w:rPr>
        <w:t>Quarto</w:t>
      </w:r>
      <w:r w:rsidRPr="00DD20FF">
        <w:rPr>
          <w:rFonts w:ascii="Century Gothic" w:hAnsi="Century Gothic"/>
        </w:rPr>
        <w:t xml:space="preserve"> rapporto sulla contrattazione sociale in Toscana anno 201</w:t>
      </w:r>
      <w:r>
        <w:rPr>
          <w:rFonts w:ascii="Century Gothic" w:hAnsi="Century Gothic"/>
        </w:rPr>
        <w:t>4.</w:t>
      </w:r>
    </w:p>
    <w:p w:rsidR="003978CC" w:rsidRPr="00DD20FF" w:rsidRDefault="003978CC" w:rsidP="003978CC">
      <w:pPr>
        <w:jc w:val="both"/>
        <w:rPr>
          <w:rFonts w:ascii="Century Gothic" w:hAnsi="Century Gothic"/>
        </w:rPr>
      </w:pPr>
      <w:r w:rsidRPr="00DD20FF">
        <w:rPr>
          <w:rFonts w:ascii="Century Gothic" w:hAnsi="Century Gothic"/>
        </w:rPr>
        <w:t>IRES Toscana - SPI CGIL Toscana - CGIL Toscana - Funzione Pubblica CGIL Toscana (201</w:t>
      </w:r>
      <w:r>
        <w:rPr>
          <w:rFonts w:ascii="Century Gothic" w:hAnsi="Century Gothic"/>
        </w:rPr>
        <w:t>6</w:t>
      </w:r>
      <w:r w:rsidRPr="00DD20FF">
        <w:rPr>
          <w:rFonts w:ascii="Century Gothic" w:hAnsi="Century Gothic"/>
        </w:rPr>
        <w:t xml:space="preserve">), </w:t>
      </w:r>
      <w:r>
        <w:rPr>
          <w:rFonts w:ascii="Century Gothic" w:hAnsi="Century Gothic"/>
        </w:rPr>
        <w:t>Quinto</w:t>
      </w:r>
      <w:r w:rsidRPr="00DD20FF">
        <w:rPr>
          <w:rFonts w:ascii="Century Gothic" w:hAnsi="Century Gothic"/>
        </w:rPr>
        <w:t xml:space="preserve"> rapporto sulla contrattazione sociale in Toscana anno 201</w:t>
      </w:r>
      <w:r>
        <w:rPr>
          <w:rFonts w:ascii="Century Gothic" w:hAnsi="Century Gothic"/>
        </w:rPr>
        <w:t>5.</w:t>
      </w:r>
    </w:p>
    <w:p w:rsidR="003978CC" w:rsidRPr="00DD20FF" w:rsidRDefault="003978CC" w:rsidP="003978CC">
      <w:pPr>
        <w:jc w:val="both"/>
        <w:rPr>
          <w:rFonts w:ascii="Century Gothic" w:hAnsi="Century Gothic"/>
        </w:rPr>
      </w:pPr>
      <w:r w:rsidRPr="00DD20FF">
        <w:rPr>
          <w:rFonts w:ascii="Century Gothic" w:hAnsi="Century Gothic"/>
        </w:rPr>
        <w:t xml:space="preserve">Minghini C., Rinaldini F., Poggiali F. (2006), </w:t>
      </w:r>
      <w:r w:rsidRPr="00DD20FF">
        <w:rPr>
          <w:rFonts w:ascii="Century Gothic" w:hAnsi="Century Gothic"/>
          <w:i/>
        </w:rPr>
        <w:t xml:space="preserve">La contrattazione territoriale confederale in Emilia Romagna 2002-2005, </w:t>
      </w:r>
      <w:r w:rsidRPr="00DD20FF">
        <w:rPr>
          <w:rFonts w:ascii="Century Gothic" w:hAnsi="Century Gothic"/>
        </w:rPr>
        <w:t>Primo Rapporto a cura di IRES Emilia-Romagna, Bologna.</w:t>
      </w:r>
    </w:p>
    <w:p w:rsidR="003978CC" w:rsidRDefault="003978CC" w:rsidP="003978CC">
      <w:pPr>
        <w:jc w:val="both"/>
        <w:rPr>
          <w:rFonts w:ascii="Century Gothic" w:hAnsi="Century Gothic"/>
        </w:rPr>
      </w:pPr>
      <w:r w:rsidRPr="00DD20FF">
        <w:rPr>
          <w:rFonts w:ascii="Century Gothic" w:hAnsi="Century Gothic"/>
        </w:rPr>
        <w:t xml:space="preserve">Minghini C., Rinaldini. F. (2009), </w:t>
      </w:r>
      <w:r w:rsidRPr="00DD20FF">
        <w:rPr>
          <w:rFonts w:ascii="Century Gothic" w:hAnsi="Century Gothic"/>
          <w:i/>
        </w:rPr>
        <w:t>La contrattazione territoriale confederale in Emilia-Romagna 2006-2008</w:t>
      </w:r>
      <w:r w:rsidRPr="00DD20FF">
        <w:rPr>
          <w:rFonts w:ascii="Century Gothic" w:hAnsi="Century Gothic"/>
        </w:rPr>
        <w:t>, Secondo Rapporto a cura di IRES Emilia-Romagna, Bologna.</w:t>
      </w:r>
    </w:p>
    <w:p w:rsidR="00997406" w:rsidRDefault="003457E5" w:rsidP="00997406">
      <w:pPr>
        <w:jc w:val="center"/>
        <w:rPr>
          <w:b/>
          <w:sz w:val="56"/>
          <w:szCs w:val="56"/>
        </w:rPr>
      </w:pPr>
      <w:r>
        <w:rPr>
          <w:rFonts w:ascii="Century Gothic" w:hAnsi="Century Gothic"/>
        </w:rPr>
        <w:br w:type="page"/>
      </w: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r w:rsidRPr="006F02F4">
        <w:rPr>
          <w:b/>
          <w:sz w:val="56"/>
          <w:szCs w:val="56"/>
        </w:rPr>
        <w:t>APPENDICE QUANTITATIVA</w:t>
      </w: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Default="00997406" w:rsidP="00997406">
      <w:pPr>
        <w:jc w:val="center"/>
        <w:rPr>
          <w:b/>
          <w:sz w:val="56"/>
          <w:szCs w:val="56"/>
        </w:rPr>
      </w:pPr>
    </w:p>
    <w:p w:rsidR="00997406" w:rsidRPr="00E639A5" w:rsidRDefault="00997406" w:rsidP="00997406">
      <w:pPr>
        <w:rPr>
          <w:b/>
          <w:sz w:val="16"/>
          <w:szCs w:val="16"/>
        </w:rPr>
      </w:pPr>
      <w:r>
        <w:rPr>
          <w:b/>
          <w:sz w:val="56"/>
          <w:szCs w:val="56"/>
        </w:rPr>
        <w:br w:type="page"/>
      </w:r>
    </w:p>
    <w:tbl>
      <w:tblPr>
        <w:tblW w:w="10603" w:type="dxa"/>
        <w:tblInd w:w="-519" w:type="dxa"/>
        <w:tblCellMar>
          <w:left w:w="70" w:type="dxa"/>
          <w:right w:w="70" w:type="dxa"/>
        </w:tblCellMar>
        <w:tblLook w:val="04A0" w:firstRow="1" w:lastRow="0" w:firstColumn="1" w:lastColumn="0" w:noHBand="0" w:noVBand="1"/>
      </w:tblPr>
      <w:tblGrid>
        <w:gridCol w:w="630"/>
        <w:gridCol w:w="10"/>
        <w:gridCol w:w="890"/>
        <w:gridCol w:w="10"/>
        <w:gridCol w:w="1252"/>
        <w:gridCol w:w="189"/>
        <w:gridCol w:w="545"/>
        <w:gridCol w:w="174"/>
        <w:gridCol w:w="650"/>
        <w:gridCol w:w="170"/>
        <w:gridCol w:w="746"/>
        <w:gridCol w:w="195"/>
        <w:gridCol w:w="650"/>
        <w:gridCol w:w="170"/>
        <w:gridCol w:w="682"/>
        <w:gridCol w:w="138"/>
        <w:gridCol w:w="921"/>
        <w:gridCol w:w="20"/>
        <w:gridCol w:w="834"/>
        <w:gridCol w:w="18"/>
        <w:gridCol w:w="803"/>
        <w:gridCol w:w="17"/>
        <w:gridCol w:w="889"/>
      </w:tblGrid>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AREZZO</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3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2016</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Anghiari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5.638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99.543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24.03.11 e </w:t>
            </w:r>
            <w:r w:rsidRPr="00827ED7">
              <w:rPr>
                <w:rFonts w:ascii="Arial" w:hAnsi="Arial" w:cs="Arial"/>
                <w:color w:val="FF0000"/>
                <w:sz w:val="16"/>
                <w:szCs w:val="16"/>
                <w:lang w:eastAsia="it-IT"/>
              </w:rPr>
              <w:t>16.12.10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18.7.12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05.12.14</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Badia Tedalda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1.087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Bibbiena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12.241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12.7.12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Bucine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10.164</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21.02.11</w:t>
            </w:r>
            <w:r w:rsidRPr="00827ED7">
              <w:rPr>
                <w:rFonts w:ascii="Arial" w:hAnsi="Arial" w:cs="Arial"/>
                <w:color w:val="FF0000"/>
                <w:sz w:val="16"/>
                <w:szCs w:val="16"/>
                <w:lang w:eastAsia="it-IT"/>
              </w:rPr>
              <w:t xml:space="preserve"> 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15.6.12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 e 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Capolona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5.438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12</w:t>
            </w:r>
            <w:r>
              <w:rPr>
                <w:rFonts w:ascii="Arial" w:hAnsi="Arial" w:cs="Arial"/>
                <w:color w:val="FF0000"/>
                <w:sz w:val="16"/>
                <w:szCs w:val="16"/>
                <w:lang w:eastAsia="it-IT"/>
              </w:rPr>
              <w:t>.</w:t>
            </w:r>
            <w:r w:rsidRPr="00827ED7">
              <w:rPr>
                <w:rFonts w:ascii="Arial" w:hAnsi="Arial" w:cs="Arial"/>
                <w:color w:val="FF0000"/>
                <w:sz w:val="16"/>
                <w:szCs w:val="16"/>
                <w:lang w:eastAsia="it-IT"/>
              </w:rPr>
              <w:t>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27.9.12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Caprese Michelangelo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1.426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 Focognano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3.149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9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Castelfranco di Sopra Pian di Sco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9.632</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26.10.10, 20.01.11</w:t>
            </w:r>
            <w:r w:rsidRPr="00827ED7">
              <w:rPr>
                <w:rFonts w:ascii="Arial" w:hAnsi="Arial" w:cs="Arial"/>
                <w:color w:val="FF0000"/>
                <w:sz w:val="16"/>
                <w:szCs w:val="16"/>
                <w:lang w:eastAsia="it-IT"/>
              </w:rPr>
              <w:t xml:space="preserve"> e 18.01.11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31.5.12 e 14.6.12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11</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 e 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 San Niccolò</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2.707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Castiglion Fibocchi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2.167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12</w:t>
            </w:r>
            <w:r>
              <w:rPr>
                <w:rFonts w:ascii="Arial" w:hAnsi="Arial" w:cs="Arial"/>
                <w:color w:val="FF0000"/>
                <w:sz w:val="16"/>
                <w:szCs w:val="16"/>
                <w:lang w:eastAsia="it-IT"/>
              </w:rPr>
              <w:t>.</w:t>
            </w:r>
            <w:r w:rsidRPr="00827ED7">
              <w:rPr>
                <w:rFonts w:ascii="Arial" w:hAnsi="Arial" w:cs="Arial"/>
                <w:color w:val="FF0000"/>
                <w:sz w:val="16"/>
                <w:szCs w:val="16"/>
                <w:lang w:eastAsia="it-IT"/>
              </w:rPr>
              <w:t>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Castiglion Fiorentino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13.244</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31</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30.4.12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28.10.14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Cavriglia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9.614</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20.11.10 </w:t>
            </w:r>
            <w:r w:rsidRPr="00827ED7">
              <w:rPr>
                <w:rFonts w:ascii="Arial" w:hAnsi="Arial" w:cs="Arial"/>
                <w:color w:val="FF0000"/>
                <w:sz w:val="16"/>
                <w:szCs w:val="16"/>
                <w:lang w:eastAsia="it-IT"/>
              </w:rPr>
              <w:t>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16.4.12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2013 e 14</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Chitignano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899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Chiusi della Verna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2.023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Civitella in Val di Chiana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9.121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12.1.11 e</w:t>
            </w:r>
            <w:r w:rsidRPr="00827ED7">
              <w:rPr>
                <w:rFonts w:ascii="Arial" w:hAnsi="Arial" w:cs="Arial"/>
                <w:color w:val="FF0000"/>
                <w:sz w:val="16"/>
                <w:szCs w:val="16"/>
                <w:lang w:eastAsia="it-IT"/>
              </w:rPr>
              <w:t xml:space="preserve"> 16.12.10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Cortona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22.450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31</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2.8.12 e </w:t>
            </w:r>
            <w:r w:rsidRPr="00827ED7">
              <w:rPr>
                <w:rFonts w:ascii="Arial" w:hAnsi="Arial" w:cs="Arial"/>
                <w:color w:val="FF0000"/>
                <w:sz w:val="16"/>
                <w:szCs w:val="16"/>
                <w:lang w:eastAsia="it-IT"/>
              </w:rPr>
              <w:t>30.4.12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28.10.14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Foiano della Chiana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9.516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31</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30.4.12 </w:t>
            </w:r>
            <w:r w:rsidRPr="00827ED7">
              <w:rPr>
                <w:rFonts w:ascii="Arial" w:hAnsi="Arial" w:cs="Arial"/>
                <w:sz w:val="16"/>
                <w:szCs w:val="16"/>
                <w:lang w:eastAsia="it-IT"/>
              </w:rPr>
              <w:t>e 9.8.12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28.10.14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25.03.15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Laterina </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3.517</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14.12.10</w:t>
            </w:r>
            <w:r w:rsidRPr="00827ED7">
              <w:rPr>
                <w:rFonts w:ascii="Arial" w:hAnsi="Arial" w:cs="Arial"/>
                <w:color w:val="FF0000"/>
                <w:sz w:val="16"/>
                <w:szCs w:val="16"/>
                <w:lang w:eastAsia="it-IT"/>
              </w:rPr>
              <w:t xml:space="preserve"> 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Loro Ciuffenna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5.819</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5.6.12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 e 08</w:t>
            </w:r>
            <w:r>
              <w:rPr>
                <w:rFonts w:ascii="Arial" w:hAnsi="Arial" w:cs="Arial"/>
                <w:color w:val="FF0000"/>
                <w:sz w:val="16"/>
                <w:szCs w:val="16"/>
                <w:lang w:eastAsia="it-IT"/>
              </w:rPr>
              <w:t>.</w:t>
            </w:r>
            <w:r w:rsidRPr="00827ED7">
              <w:rPr>
                <w:rFonts w:ascii="Arial" w:hAnsi="Arial" w:cs="Arial"/>
                <w:color w:val="FF0000"/>
                <w:sz w:val="16"/>
                <w:szCs w:val="16"/>
                <w:lang w:eastAsia="it-IT"/>
              </w:rPr>
              <w:t>08</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45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Lucignano</w:t>
            </w:r>
          </w:p>
        </w:tc>
        <w:tc>
          <w:tcPr>
            <w:tcW w:w="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3.581</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31</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30.4.12</w:t>
            </w:r>
            <w:r w:rsidRPr="00827ED7">
              <w:rPr>
                <w:rFonts w:ascii="Arial" w:hAnsi="Arial" w:cs="Arial"/>
                <w:sz w:val="16"/>
                <w:szCs w:val="16"/>
                <w:lang w:eastAsia="it-IT"/>
              </w:rPr>
              <w:t xml:space="preserve"> e 10.8.12</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28.10.14</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2015</w:t>
            </w:r>
          </w:p>
        </w:tc>
        <w:tc>
          <w:tcPr>
            <w:tcW w:w="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Marciano della Chiana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3.466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31</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30.4.12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28.10.14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Montemignaio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566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Monterchi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1.757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b/>
                <w:bCs/>
                <w:color w:val="FF0000"/>
                <w:sz w:val="16"/>
                <w:szCs w:val="16"/>
                <w:lang w:eastAsia="it-IT"/>
              </w:rPr>
            </w:pPr>
            <w:r w:rsidRPr="00827ED7">
              <w:rPr>
                <w:rFonts w:ascii="Arial" w:hAnsi="Arial" w:cs="Arial"/>
                <w:b/>
                <w:bCs/>
                <w:color w:val="FF0000"/>
                <w:sz w:val="16"/>
                <w:szCs w:val="16"/>
                <w:lang w:eastAsia="it-IT"/>
              </w:rPr>
              <w:t>23</w:t>
            </w:r>
            <w:r>
              <w:rPr>
                <w:rFonts w:ascii="Arial" w:hAnsi="Arial" w:cs="Arial"/>
                <w:b/>
                <w:bCs/>
                <w:color w:val="FF0000"/>
                <w:sz w:val="16"/>
                <w:szCs w:val="16"/>
                <w:lang w:eastAsia="it-IT"/>
              </w:rPr>
              <w:t>.</w:t>
            </w:r>
            <w:r w:rsidRPr="00827ED7">
              <w:rPr>
                <w:rFonts w:ascii="Arial" w:hAnsi="Arial" w:cs="Arial"/>
                <w:b/>
                <w:bCs/>
                <w:color w:val="FF0000"/>
                <w:sz w:val="16"/>
                <w:szCs w:val="16"/>
                <w:lang w:eastAsia="it-IT"/>
              </w:rPr>
              <w:t>07</w:t>
            </w:r>
            <w:r>
              <w:rPr>
                <w:rFonts w:ascii="Arial" w:hAnsi="Arial" w:cs="Arial"/>
                <w:b/>
                <w:bCs/>
                <w:color w:val="FF0000"/>
                <w:sz w:val="16"/>
                <w:szCs w:val="16"/>
                <w:lang w:eastAsia="it-IT"/>
              </w:rPr>
              <w:t>.</w:t>
            </w:r>
            <w:r w:rsidRPr="00827ED7">
              <w:rPr>
                <w:rFonts w:ascii="Arial" w:hAnsi="Arial" w:cs="Arial"/>
                <w:b/>
                <w:bCs/>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cs="Calibri"/>
                <w:color w:val="000000"/>
                <w:sz w:val="16"/>
                <w:szCs w:val="16"/>
                <w:lang w:eastAsia="it-IT"/>
              </w:rPr>
            </w:pPr>
            <w:r w:rsidRPr="00827ED7">
              <w:rPr>
                <w:rFonts w:cs="Calibri"/>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 San Savino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8.743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12</w:t>
            </w:r>
            <w:r>
              <w:rPr>
                <w:rFonts w:ascii="Arial" w:hAnsi="Arial" w:cs="Arial"/>
                <w:color w:val="FF0000"/>
                <w:sz w:val="16"/>
                <w:szCs w:val="16"/>
                <w:lang w:eastAsia="it-IT"/>
              </w:rPr>
              <w:t>.</w:t>
            </w:r>
            <w:r w:rsidRPr="00827ED7">
              <w:rPr>
                <w:rFonts w:ascii="Arial" w:hAnsi="Arial" w:cs="Arial"/>
                <w:color w:val="FF0000"/>
                <w:sz w:val="16"/>
                <w:szCs w:val="16"/>
                <w:lang w:eastAsia="it-IT"/>
              </w:rPr>
              <w:t>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Montevarchi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24.378</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16.11.10 </w:t>
            </w:r>
            <w:r w:rsidRPr="00827ED7">
              <w:rPr>
                <w:rFonts w:ascii="Arial" w:hAnsi="Arial" w:cs="Arial"/>
                <w:color w:val="FF0000"/>
                <w:sz w:val="16"/>
                <w:szCs w:val="16"/>
                <w:lang w:eastAsia="it-IT"/>
              </w:rPr>
              <w:t>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23.7.12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Ortignano Raggiolo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878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Pergine Valdarno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3.162</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Pieve Santo Stefano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3.183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Poppi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6.160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Pratovecchio Stia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5.845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Giovanni Valdarno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17.018</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22.12.10 e</w:t>
            </w:r>
            <w:r w:rsidRPr="00827ED7">
              <w:rPr>
                <w:rFonts w:ascii="Arial" w:hAnsi="Arial" w:cs="Arial"/>
                <w:color w:val="FF0000"/>
                <w:sz w:val="16"/>
                <w:szCs w:val="16"/>
                <w:lang w:eastAsia="it-IT"/>
              </w:rPr>
              <w:t xml:space="preserv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25.5.12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Sepolcro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15.884</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Sestino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1.355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12.4.12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Subbiano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6.331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12</w:t>
            </w:r>
            <w:r>
              <w:rPr>
                <w:rFonts w:ascii="Arial" w:hAnsi="Arial" w:cs="Arial"/>
                <w:color w:val="FF0000"/>
                <w:sz w:val="16"/>
                <w:szCs w:val="16"/>
                <w:lang w:eastAsia="it-IT"/>
              </w:rPr>
              <w:t>.</w:t>
            </w:r>
            <w:r w:rsidRPr="00827ED7">
              <w:rPr>
                <w:rFonts w:ascii="Arial" w:hAnsi="Arial" w:cs="Arial"/>
                <w:color w:val="FF0000"/>
                <w:sz w:val="16"/>
                <w:szCs w:val="16"/>
                <w:lang w:eastAsia="it-IT"/>
              </w:rPr>
              <w:t>10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 e 18</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12</w:t>
            </w:r>
          </w:p>
        </w:tc>
        <w:tc>
          <w:tcPr>
            <w:tcW w:w="85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112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Talla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1.062</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12.11.10 e 24.11.10 e luglio 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9.2.12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arezzo</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Terranuova Bracciolini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12.346</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25.03.09 e set 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set-10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16.11.10 </w:t>
            </w:r>
            <w:r w:rsidRPr="00827ED7">
              <w:rPr>
                <w:rFonts w:ascii="Arial" w:hAnsi="Arial" w:cs="Arial"/>
                <w:color w:val="FF0000"/>
                <w:sz w:val="16"/>
                <w:szCs w:val="16"/>
                <w:lang w:eastAsia="it-IT"/>
              </w:rPr>
              <w:t>e 18.01.11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16.11.11</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11</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14</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17.03.15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07.09.16</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FIRENZE</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3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2016</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Bagno a Ripoli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25.611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9.4.14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Barberino di Mugello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10.836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Barberino Val d'Elsa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4.386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01.07.15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Borgo San Lorenzo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18.211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Calenzano</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17.489</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Campi Bisenzio</w:t>
            </w:r>
          </w:p>
        </w:tc>
        <w:tc>
          <w:tcPr>
            <w:tcW w:w="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46.166</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Capraia e Limite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7.670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Castelfiorentino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17.504</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Cerreto Guidi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10.870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Certaldo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16.121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Dicomano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5.515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Empoli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48.109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13.6.12 e </w:t>
            </w:r>
            <w:r w:rsidRPr="00827ED7">
              <w:rPr>
                <w:rFonts w:ascii="Arial" w:hAnsi="Arial" w:cs="Arial"/>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Fiesole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13.969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25</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Figline Incisa in Val d'Arno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23.505</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24.03.09 e 2009</w:t>
            </w:r>
          </w:p>
        </w:tc>
        <w:tc>
          <w:tcPr>
            <w:tcW w:w="91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09.04.10 e 2010</w:t>
            </w:r>
          </w:p>
        </w:tc>
        <w:tc>
          <w:tcPr>
            <w:tcW w:w="845"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03.03.11 e 08.03.11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14.6.12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09</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29.7.14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382.808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mag.2012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Firenzuola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4.726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Fucecchio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23.618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 xml:space="preserve">16.05.12 </w:t>
            </w:r>
            <w:r w:rsidRPr="00827ED7">
              <w:rPr>
                <w:rFonts w:ascii="Arial" w:hAnsi="Arial" w:cs="Arial"/>
                <w:i/>
                <w:iCs/>
                <w:sz w:val="16"/>
                <w:szCs w:val="16"/>
                <w:lang w:eastAsia="it-IT"/>
              </w:rPr>
              <w:t>e 05.09.12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29.12.14</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29.12.14</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Gambassi Terme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4.870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Greve in Chianti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13.862</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Impruneta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14.615</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Lastra a Signa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20.156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14.05.15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Londa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01</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Marradi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3.139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apr.10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mag-11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Montaione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3.700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Montelupo Fiorentino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14.098</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Montespertoli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13.537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color w:val="FF0000"/>
                <w:sz w:val="16"/>
                <w:szCs w:val="16"/>
                <w:lang w:eastAsia="it-IT"/>
              </w:rPr>
              <w:t>16.05.12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Palazzuolo sul Senio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1.154</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Pelago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7.660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Pontassieve</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20.603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Reggello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16.290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Rignano sull'Arno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8.651</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Rufina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7.346</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02</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Casciano in Val di Pesa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17.062</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color w:val="FF0000"/>
                <w:sz w:val="16"/>
                <w:szCs w:val="16"/>
                <w:lang w:eastAsia="it-IT"/>
              </w:rPr>
            </w:pPr>
            <w:r w:rsidRPr="00827ED7">
              <w:rPr>
                <w:rFonts w:ascii="Arial" w:hAnsi="Arial" w:cs="Arial"/>
                <w:i/>
                <w:iCs/>
                <w:strike/>
                <w:color w:val="FF0000"/>
                <w:sz w:val="16"/>
                <w:szCs w:val="16"/>
                <w:lang w:eastAsia="it-IT"/>
              </w:rPr>
              <w:t xml:space="preserve">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12.05.15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Godenzo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1.167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Piero a Sieve  Scarperia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12.217</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20.6.12 e 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Scandicci</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50.609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19.3.12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21.7.14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Sesto Fiorentino</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48.958</w:t>
            </w:r>
          </w:p>
        </w:tc>
        <w:tc>
          <w:tcPr>
            <w:tcW w:w="824"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 e 14.11.08</w:t>
            </w:r>
          </w:p>
        </w:tc>
        <w:tc>
          <w:tcPr>
            <w:tcW w:w="916"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09 e 27.12.10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12.12.11 e feb. 2012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16</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25.2.14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Signa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19.179</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08.07.15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Tavarnelle Val di Pesa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7.800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15</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09</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23.5.12</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01.07.15</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Vaglia</w:t>
            </w:r>
          </w:p>
        </w:tc>
        <w:tc>
          <w:tcPr>
            <w:tcW w:w="73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5.073</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45"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Vicchio</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8.044</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firenze</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Vinci</w:t>
            </w:r>
          </w:p>
        </w:tc>
        <w:tc>
          <w:tcPr>
            <w:tcW w:w="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14.604</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2009</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2010</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16.05.12</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2014</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GROSSETO</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Arcidosso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4.285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Campagnatico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2.412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Capalbio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4.129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9.7.12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Castel del Piano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4.690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Castell'Azzara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Castiglione della Pescaia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7.308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17.05.12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Cinigiano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2.618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Civitella Paganico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Follonica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21.605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16.7.12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11</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Gavorrano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8.580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Grosseto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82.087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Isola del Giglio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1.442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Magliano in Toscana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3.619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Manciano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7.354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15</w:t>
            </w:r>
            <w:r>
              <w:rPr>
                <w:rFonts w:ascii="Arial" w:hAnsi="Arial" w:cs="Arial"/>
                <w:color w:val="000000"/>
                <w:sz w:val="16"/>
                <w:szCs w:val="16"/>
                <w:lang w:eastAsia="it-IT"/>
              </w:rPr>
              <w:t>.</w:t>
            </w:r>
            <w:r w:rsidRPr="00827ED7">
              <w:rPr>
                <w:rFonts w:ascii="Arial" w:hAnsi="Arial" w:cs="Arial"/>
                <w:color w:val="000000"/>
                <w:sz w:val="16"/>
                <w:szCs w:val="16"/>
                <w:lang w:eastAsia="it-IT"/>
              </w:rPr>
              <w:t>11</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Marittima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8.375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15</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13.2.14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 Argentario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12.660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9.4.14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Monterotondo Marittimo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Montieri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1.204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Orbetello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14.878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12.3.14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Pitigliano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3.818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Roccalbegna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1.044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Roccastrada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9.199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30</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Santa Fiora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2.622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Scansano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4.427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Scarlino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3.847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03</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Seggiano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961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Semproniano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18.6.12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grosseto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Sorano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3.428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01</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LIVORNO</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Bibbona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3.175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05.05.15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Campiglia Marittima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13.218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Campo nell'Elba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4.805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Capoliveri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4.033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Capraia Isola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415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Castagneto Carducci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04.08.16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Cecina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28.046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Collesalvetti</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16.827</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lug-10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23.06.15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159.219</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07.09.2010</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giu 2011 e 8.11.10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19.3.12</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Marciana</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2.186</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Marciana Marina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1.977</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Piombino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34.060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29.08.16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Porto Azzurro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3.751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Portoferraio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11.992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Rio Marina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2.198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Rio nell'Elba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1.148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Rosignano Marittimo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31.394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8.06.12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29.07.15</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Vincenzo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6.911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giu.12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Sassetta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livorno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Suvereto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3.072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LUCCA</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Altopascio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15.481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27.07.16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Bagni di Lucca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6.161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17.02.15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Barga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10.034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14.5.12 e </w:t>
            </w:r>
            <w:r w:rsidRPr="00827ED7">
              <w:rPr>
                <w:rFonts w:ascii="Arial" w:hAnsi="Arial" w:cs="Arial"/>
                <w:sz w:val="16"/>
                <w:szCs w:val="16"/>
                <w:lang w:eastAsia="it-IT"/>
              </w:rPr>
              <w:t>1.9.12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23</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21.8.14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FF0000"/>
                <w:sz w:val="16"/>
                <w:szCs w:val="16"/>
                <w:lang w:eastAsia="it-IT"/>
              </w:rPr>
              <w:t>17.02.15</w:t>
            </w:r>
            <w:r w:rsidRPr="00827ED7">
              <w:rPr>
                <w:rFonts w:ascii="Arial" w:hAnsi="Arial" w:cs="Arial"/>
                <w:color w:val="000000"/>
                <w:sz w:val="16"/>
                <w:szCs w:val="16"/>
                <w:lang w:eastAsia="it-IT"/>
              </w:rPr>
              <w:t xml:space="preserve"> 20.02.15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2016</w:t>
            </w:r>
          </w:p>
        </w:tc>
      </w:tr>
      <w:tr w:rsidR="00997406" w:rsidRPr="00827ED7" w:rsidTr="00A64DCB">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Borgo a Mozzano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6.994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14.5.12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r w:rsidRPr="00827ED7">
              <w:rPr>
                <w:rFonts w:ascii="Arial" w:hAnsi="Arial" w:cs="Arial"/>
                <w:sz w:val="16"/>
                <w:szCs w:val="16"/>
                <w:lang w:eastAsia="it-IT"/>
              </w:rPr>
              <w:t xml:space="preserve"> e 17</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color w:val="FF0000"/>
                <w:sz w:val="16"/>
                <w:szCs w:val="16"/>
                <w:lang w:eastAsia="it-IT"/>
              </w:rPr>
              <w:t>17.02.15</w:t>
            </w:r>
            <w:r w:rsidRPr="00827ED7">
              <w:rPr>
                <w:rFonts w:ascii="Arial" w:hAnsi="Arial" w:cs="Arial"/>
                <w:sz w:val="16"/>
                <w:szCs w:val="16"/>
                <w:lang w:eastAsia="it-IT"/>
              </w:rPr>
              <w:t xml:space="preserve"> 22.04.15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Camaiore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32.513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13.9.12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27.04.16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Camporgiano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2.176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23.8.12 e </w:t>
            </w:r>
            <w:r w:rsidRPr="00827ED7">
              <w:rPr>
                <w:rFonts w:ascii="Arial" w:hAnsi="Arial" w:cs="Arial"/>
                <w:color w:val="002060"/>
                <w:sz w:val="16"/>
                <w:szCs w:val="16"/>
                <w:lang w:eastAsia="it-IT"/>
              </w:rPr>
              <w:t>30</w:t>
            </w:r>
            <w:r>
              <w:rPr>
                <w:rFonts w:ascii="Arial" w:hAnsi="Arial" w:cs="Arial"/>
                <w:color w:val="002060"/>
                <w:sz w:val="16"/>
                <w:szCs w:val="16"/>
                <w:lang w:eastAsia="it-IT"/>
              </w:rPr>
              <w:t>.</w:t>
            </w:r>
            <w:r w:rsidRPr="00827ED7">
              <w:rPr>
                <w:rFonts w:ascii="Arial" w:hAnsi="Arial" w:cs="Arial"/>
                <w:color w:val="002060"/>
                <w:sz w:val="16"/>
                <w:szCs w:val="16"/>
                <w:lang w:eastAsia="it-IT"/>
              </w:rPr>
              <w:t>07</w:t>
            </w:r>
            <w:r>
              <w:rPr>
                <w:rFonts w:ascii="Arial" w:hAnsi="Arial" w:cs="Arial"/>
                <w:color w:val="002060"/>
                <w:sz w:val="16"/>
                <w:szCs w:val="16"/>
                <w:lang w:eastAsia="it-IT"/>
              </w:rPr>
              <w:t>.</w:t>
            </w:r>
            <w:r w:rsidRPr="00827ED7">
              <w:rPr>
                <w:rFonts w:ascii="Arial" w:hAnsi="Arial" w:cs="Arial"/>
                <w:color w:val="002060"/>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02</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70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Capannori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46.252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27.1.12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26</w:t>
            </w:r>
            <w:r>
              <w:rPr>
                <w:rFonts w:ascii="Arial" w:hAnsi="Arial" w:cs="Arial"/>
                <w:color w:val="000000"/>
                <w:sz w:val="16"/>
                <w:szCs w:val="16"/>
                <w:lang w:eastAsia="it-IT"/>
              </w:rPr>
              <w:t>.</w:t>
            </w: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2.9.14 e 25.3.14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20.04.15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Careggine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564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Castelnuovo di Garfagnana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5.950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Castiglione di Garfagnana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1.818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Coreglia Antelminelli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5.215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14.5.12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17.02.15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Fabbriche di Vallico Vergemoli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14.5.12 e </w:t>
            </w:r>
            <w:r w:rsidRPr="00827ED7">
              <w:rPr>
                <w:rFonts w:ascii="Arial" w:hAnsi="Arial" w:cs="Arial"/>
                <w:sz w:val="16"/>
                <w:szCs w:val="16"/>
                <w:lang w:eastAsia="it-IT"/>
              </w:rPr>
              <w:t>14.6.12,</w:t>
            </w:r>
            <w:r w:rsidRPr="00827ED7">
              <w:rPr>
                <w:rFonts w:ascii="Arial" w:hAnsi="Arial" w:cs="Arial"/>
                <w:color w:val="0066CC"/>
                <w:sz w:val="16"/>
                <w:szCs w:val="16"/>
                <w:lang w:eastAsia="it-IT"/>
              </w:rPr>
              <w:t xml:space="preserve"> 30.07.12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06</w:t>
            </w:r>
            <w:r>
              <w:rPr>
                <w:rFonts w:ascii="Arial" w:hAnsi="Arial" w:cs="Arial"/>
                <w:color w:val="FF0000"/>
                <w:sz w:val="16"/>
                <w:szCs w:val="16"/>
                <w:lang w:eastAsia="it-IT"/>
              </w:rPr>
              <w:t>.</w:t>
            </w:r>
            <w:r w:rsidRPr="00827ED7">
              <w:rPr>
                <w:rFonts w:ascii="Arial" w:hAnsi="Arial" w:cs="Arial"/>
                <w:color w:val="FF0000"/>
                <w:sz w:val="16"/>
                <w:szCs w:val="16"/>
                <w:lang w:eastAsia="it-IT"/>
              </w:rPr>
              <w:t xml:space="preserve">13 </w:t>
            </w:r>
            <w:r w:rsidRPr="00827ED7">
              <w:rPr>
                <w:rFonts w:ascii="Arial" w:hAnsi="Arial" w:cs="Arial"/>
                <w:sz w:val="16"/>
                <w:szCs w:val="16"/>
                <w:lang w:eastAsia="it-IT"/>
              </w:rPr>
              <w:t>e 24</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Forte dei Marmi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7.510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11.7.12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lug. 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08.08.16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Fosciandora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602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Gallicano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3.807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31.7.12 e </w:t>
            </w:r>
            <w:r w:rsidRPr="00827ED7">
              <w:rPr>
                <w:rFonts w:ascii="Arial" w:hAnsi="Arial" w:cs="Arial"/>
                <w:color w:val="002060"/>
                <w:sz w:val="16"/>
                <w:szCs w:val="16"/>
                <w:lang w:eastAsia="it-IT"/>
              </w:rPr>
              <w:t>30</w:t>
            </w:r>
            <w:r>
              <w:rPr>
                <w:rFonts w:ascii="Arial" w:hAnsi="Arial" w:cs="Arial"/>
                <w:color w:val="002060"/>
                <w:sz w:val="16"/>
                <w:szCs w:val="16"/>
                <w:lang w:eastAsia="it-IT"/>
              </w:rPr>
              <w:t>.</w:t>
            </w:r>
            <w:r w:rsidRPr="00827ED7">
              <w:rPr>
                <w:rFonts w:ascii="Arial" w:hAnsi="Arial" w:cs="Arial"/>
                <w:color w:val="002060"/>
                <w:sz w:val="16"/>
                <w:szCs w:val="16"/>
                <w:lang w:eastAsia="it-IT"/>
              </w:rPr>
              <w:t>07</w:t>
            </w:r>
            <w:r>
              <w:rPr>
                <w:rFonts w:ascii="Arial" w:hAnsi="Arial" w:cs="Arial"/>
                <w:color w:val="002060"/>
                <w:sz w:val="16"/>
                <w:szCs w:val="16"/>
                <w:lang w:eastAsia="it-IT"/>
              </w:rPr>
              <w:t>.</w:t>
            </w:r>
            <w:r w:rsidRPr="00827ED7">
              <w:rPr>
                <w:rFonts w:ascii="Arial" w:hAnsi="Arial" w:cs="Arial"/>
                <w:color w:val="002060"/>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89.046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22.04.2010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30.8.12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27.04.15  29.07.15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22.12.15 01.08.16 10.10.16 26.10.16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Massarosa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22.471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15</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4.12.2014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18.06.15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Minucciano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2.102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Molazzana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1.043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Montecarlo</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4.428</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Pescaglia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3.526</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color w:val="FF0000"/>
                <w:sz w:val="16"/>
                <w:szCs w:val="16"/>
                <w:lang w:eastAsia="it-IT"/>
              </w:rPr>
              <w:t>17.02.15</w:t>
            </w:r>
            <w:r w:rsidRPr="00827ED7">
              <w:rPr>
                <w:rFonts w:ascii="Arial" w:hAnsi="Arial" w:cs="Arial"/>
                <w:sz w:val="16"/>
                <w:szCs w:val="16"/>
                <w:lang w:eastAsia="it-IT"/>
              </w:rPr>
              <w:t xml:space="preserve"> 09.06.15</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17.08.16</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Piazza al Serchio</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2.367</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Pietrasanta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24.007</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21.07.2010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20.6.12</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27.05.15</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Pieve Fosciana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Porcari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8.845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30</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29.5.14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06.05.15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11.04.16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Romano in Garfagnana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Seravezza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13.073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Sillano Giuncugnano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1.085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Stazzema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3.193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Vagli Sotto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939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Viareggio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62.467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04</w:t>
            </w:r>
            <w:r>
              <w:rPr>
                <w:rFonts w:ascii="Arial" w:hAnsi="Arial" w:cs="Arial"/>
                <w:color w:val="000000"/>
                <w:sz w:val="16"/>
                <w:szCs w:val="16"/>
                <w:lang w:eastAsia="it-IT"/>
              </w:rPr>
              <w:t>.</w:t>
            </w:r>
            <w:r w:rsidRPr="00827ED7">
              <w:rPr>
                <w:rFonts w:ascii="Arial" w:hAnsi="Arial" w:cs="Arial"/>
                <w:color w:val="000000"/>
                <w:sz w:val="16"/>
                <w:szCs w:val="16"/>
                <w:lang w:eastAsia="it-IT"/>
              </w:rPr>
              <w:t>10</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Villa Basilica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1.633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lucca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Villa Collemandina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1.334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FF"/>
                <w:sz w:val="16"/>
                <w:szCs w:val="16"/>
                <w:lang w:eastAsia="it-IT"/>
              </w:rPr>
            </w:pPr>
            <w:r w:rsidRPr="00827ED7">
              <w:rPr>
                <w:rFonts w:ascii="Arial" w:hAnsi="Arial" w:cs="Arial"/>
                <w:color w:val="0000FF"/>
                <w:sz w:val="16"/>
                <w:szCs w:val="16"/>
                <w:lang w:eastAsia="it-IT"/>
              </w:rPr>
              <w:t>30</w:t>
            </w:r>
            <w:r>
              <w:rPr>
                <w:rFonts w:ascii="Arial" w:hAnsi="Arial" w:cs="Arial"/>
                <w:color w:val="0000FF"/>
                <w:sz w:val="16"/>
                <w:szCs w:val="16"/>
                <w:lang w:eastAsia="it-IT"/>
              </w:rPr>
              <w:t>.</w:t>
            </w:r>
            <w:r w:rsidRPr="00827ED7">
              <w:rPr>
                <w:rFonts w:ascii="Arial" w:hAnsi="Arial" w:cs="Arial"/>
                <w:color w:val="0000FF"/>
                <w:sz w:val="16"/>
                <w:szCs w:val="16"/>
                <w:lang w:eastAsia="it-IT"/>
              </w:rPr>
              <w:t>07</w:t>
            </w:r>
            <w:r>
              <w:rPr>
                <w:rFonts w:ascii="Arial" w:hAnsi="Arial" w:cs="Arial"/>
                <w:color w:val="0000FF"/>
                <w:sz w:val="16"/>
                <w:szCs w:val="16"/>
                <w:lang w:eastAsia="it-IT"/>
              </w:rPr>
              <w:t>.</w:t>
            </w:r>
            <w:r w:rsidRPr="00827ED7">
              <w:rPr>
                <w:rFonts w:ascii="Arial" w:hAnsi="Arial" w:cs="Arial"/>
                <w:color w:val="0000FF"/>
                <w:sz w:val="16"/>
                <w:szCs w:val="16"/>
                <w:lang w:eastAsia="it-IT"/>
              </w:rPr>
              <w:t>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11</w:t>
            </w:r>
            <w:r>
              <w:rPr>
                <w:rFonts w:ascii="Arial" w:hAnsi="Arial" w:cs="Arial"/>
                <w:color w:val="000000"/>
                <w:sz w:val="16"/>
                <w:szCs w:val="16"/>
                <w:lang w:eastAsia="it-IT"/>
              </w:rPr>
              <w:t>.</w:t>
            </w: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MASSA CARRARA</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Aulla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11.263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Bagnone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1.887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Carrara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63.133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9.1.12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Casola in Lunigiana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988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Comano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Filattiera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2.309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Fivizzano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7.925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Fosdinovo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4.883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9.1.12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Licciana Nardi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4.949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69.479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9.1.12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07.12.16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Montignoso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10.323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9.1.12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16</w:t>
            </w:r>
            <w:r>
              <w:rPr>
                <w:rFonts w:ascii="Arial" w:hAnsi="Arial" w:cs="Arial"/>
                <w:color w:val="FF0000"/>
                <w:sz w:val="16"/>
                <w:szCs w:val="16"/>
                <w:lang w:eastAsia="it-IT"/>
              </w:rPr>
              <w:t>.</w:t>
            </w:r>
            <w:r w:rsidRPr="00827ED7">
              <w:rPr>
                <w:rFonts w:ascii="Arial" w:hAnsi="Arial" w:cs="Arial"/>
                <w:color w:val="FF0000"/>
                <w:sz w:val="16"/>
                <w:szCs w:val="16"/>
                <w:lang w:eastAsia="it-IT"/>
              </w:rPr>
              <w:t>04</w:t>
            </w:r>
            <w:r>
              <w:rPr>
                <w:rFonts w:ascii="Arial" w:hAnsi="Arial" w:cs="Arial"/>
                <w:color w:val="FF0000"/>
                <w:sz w:val="16"/>
                <w:szCs w:val="16"/>
                <w:lang w:eastAsia="it-IT"/>
              </w:rPr>
              <w:t>.</w:t>
            </w:r>
            <w:r w:rsidRPr="00827ED7">
              <w:rPr>
                <w:rFonts w:ascii="Arial" w:hAnsi="Arial" w:cs="Arial"/>
                <w:color w:val="FF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Mulazzo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2.424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Podenzana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2.180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Pontremoli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7.357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Tresana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2.044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Villafranca in Lunigiana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4.770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c.</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Zeri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1.094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22</w:t>
            </w:r>
            <w:r>
              <w:rPr>
                <w:rFonts w:ascii="Arial" w:hAnsi="Arial" w:cs="Arial"/>
                <w:color w:val="FF0000"/>
                <w:sz w:val="16"/>
                <w:szCs w:val="16"/>
                <w:lang w:eastAsia="it-IT"/>
              </w:rPr>
              <w:t>.</w:t>
            </w:r>
            <w:r w:rsidRPr="00827ED7">
              <w:rPr>
                <w:rFonts w:ascii="Arial" w:hAnsi="Arial" w:cs="Arial"/>
                <w:color w:val="FF0000"/>
                <w:sz w:val="16"/>
                <w:szCs w:val="16"/>
                <w:lang w:eastAsia="it-IT"/>
              </w:rPr>
              <w:t>07</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PISA</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Bientina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8.062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Buti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5.791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Calci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6.426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21.07.15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Calcinaia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12.439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26</w:t>
            </w:r>
            <w:r>
              <w:rPr>
                <w:rFonts w:ascii="Arial" w:hAnsi="Arial" w:cs="Arial"/>
                <w:color w:val="000000"/>
                <w:sz w:val="16"/>
                <w:szCs w:val="16"/>
                <w:lang w:eastAsia="it-IT"/>
              </w:rPr>
              <w:t>.</w:t>
            </w: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05.05.15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Capannoli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6.381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Casale Marittimo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1.122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Casciana Terme Lari</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12.529</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19.4.12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w:t>
            </w:r>
            <w:r>
              <w:rPr>
                <w:rFonts w:ascii="Arial" w:hAnsi="Arial" w:cs="Arial"/>
                <w:color w:val="000000"/>
                <w:sz w:val="16"/>
                <w:szCs w:val="16"/>
                <w:lang w:eastAsia="it-IT"/>
              </w:rPr>
              <w:t>.</w:t>
            </w:r>
            <w:r w:rsidRPr="00827ED7">
              <w:rPr>
                <w:rFonts w:ascii="Arial" w:hAnsi="Arial" w:cs="Arial"/>
                <w:color w:val="000000"/>
                <w:sz w:val="16"/>
                <w:szCs w:val="16"/>
                <w:lang w:eastAsia="it-IT"/>
              </w:rPr>
              <w:t>04</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24.9.14</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25.05.15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05.04.16</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Cascina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45.257</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7.2.12</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Castelfranco di Sotto</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13.427</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5.8.14</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Castellina Marittima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2.025</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18.6.12</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18</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Castelnuovo di Val di Cecina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Chianni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1.392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15.9.14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Crespina Lorenzana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5.457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26.05.16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Fauglia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3.682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Guardistallo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1.234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19.9.12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w:t>
            </w:r>
            <w:r>
              <w:rPr>
                <w:rFonts w:ascii="Arial" w:hAnsi="Arial" w:cs="Arial"/>
                <w:color w:val="000000"/>
                <w:sz w:val="16"/>
                <w:szCs w:val="16"/>
                <w:lang w:eastAsia="it-IT"/>
              </w:rPr>
              <w:t>.</w:t>
            </w:r>
            <w:r w:rsidRPr="00827ED7">
              <w:rPr>
                <w:rFonts w:ascii="Arial" w:hAnsi="Arial" w:cs="Arial"/>
                <w:color w:val="000000"/>
                <w:sz w:val="16"/>
                <w:szCs w:val="16"/>
                <w:lang w:eastAsia="it-IT"/>
              </w:rPr>
              <w:t>08</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Lajatico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1.336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Montecatini Val di Cecina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1.749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Montescudaio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2.144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Monteverdi Marittimo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758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Montopoli in Val d'Arno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11.148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25.6.12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4.9.14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27.07.15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Orciano Pisano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647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Palaia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4.612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29.8.14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21.07.15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Peccioli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4.807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89.158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22.2.12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16.7.14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Pomarance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5.897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5.8.14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10.06.15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Ponsacco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15.611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23.06.15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Pontedera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29.223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21.7.14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Riparbella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1.603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Giuliano Terme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31.399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8.9.14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Miniato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27.934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23.3.12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25</w:t>
            </w:r>
            <w:r>
              <w:rPr>
                <w:rFonts w:ascii="Arial" w:hAnsi="Arial" w:cs="Arial"/>
                <w:color w:val="000000"/>
                <w:sz w:val="16"/>
                <w:szCs w:val="16"/>
                <w:lang w:eastAsia="it-IT"/>
              </w:rPr>
              <w:t>.</w:t>
            </w:r>
            <w:r w:rsidRPr="00827ED7">
              <w:rPr>
                <w:rFonts w:ascii="Arial" w:hAnsi="Arial" w:cs="Arial"/>
                <w:color w:val="000000"/>
                <w:sz w:val="16"/>
                <w:szCs w:val="16"/>
                <w:lang w:eastAsia="it-IT"/>
              </w:rPr>
              <w:t>02</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9.10.14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27.04.16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Santa Croce sull'Arno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14.601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i/>
                <w:iCs/>
                <w:sz w:val="16"/>
                <w:szCs w:val="16"/>
                <w:lang w:eastAsia="it-IT"/>
              </w:rPr>
            </w:pPr>
            <w:r w:rsidRPr="00827ED7">
              <w:rPr>
                <w:rFonts w:ascii="Arial" w:hAnsi="Arial" w:cs="Arial"/>
                <w:i/>
                <w:iCs/>
                <w:sz w:val="16"/>
                <w:szCs w:val="16"/>
                <w:lang w:eastAsia="it-IT"/>
              </w:rPr>
              <w:t xml:space="preserve"> 3.5.12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Santa Luce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1.684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Santa Maria a Monte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13.253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16.7.12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7.8.14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01.07.15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Terricciola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4.627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Vecchiano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12.189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apr-16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Vicopisano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8.559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14.07.15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Volterra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10.519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23.02.16</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PISTOIA</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Abetone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621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Agliana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17.525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20.5.11</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Buggiano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8.825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12.7.12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Chiesina Uzzanese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4.552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Cutigliano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1.488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Lamporecchio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7.508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Larciano</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6.394</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Marliana</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3.210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09</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Massa e Cozzile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7.983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Monsummano Terme</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21.338</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12.6.12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Montale</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10.737</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Montecatini Terme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20.409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Pescia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19.644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31.7.14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Pieve a Nievole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9.266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90.315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Piteglio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1.683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Ponte Buggianese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8.804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Quarrata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26.190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Sambuca Pistoiese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1.626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San Marcello Pistoiese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6.416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06</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28.04.16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Serravalle Pistoiese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11.659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4.6.14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pistoia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Uzzano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5.770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PRATO</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Cantagallo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3.105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23.04.10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4.4.14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24.03.15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Carmignano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14.450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997406" w:rsidRPr="00827ED7" w:rsidRDefault="00997406" w:rsidP="00A64DCB">
            <w:pPr>
              <w:rPr>
                <w:rFonts w:ascii="Arial" w:hAnsi="Arial" w:cs="Arial"/>
                <w:color w:val="000000"/>
                <w:sz w:val="16"/>
                <w:szCs w:val="16"/>
                <w:lang w:eastAsia="it-IT"/>
              </w:rPr>
            </w:pPr>
            <w:r w:rsidRPr="00827ED7">
              <w:rPr>
                <w:rFonts w:ascii="Arial" w:hAnsi="Arial" w:cs="Arial"/>
                <w:color w:val="000000"/>
                <w:sz w:val="16"/>
                <w:szCs w:val="16"/>
                <w:lang w:eastAsia="it-IT"/>
              </w:rPr>
              <w:t>10.12.10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997406" w:rsidRPr="00827ED7" w:rsidRDefault="00997406" w:rsidP="00A64DCB">
            <w:pPr>
              <w:rPr>
                <w:rFonts w:cs="Calibri"/>
                <w:color w:val="000000"/>
                <w:lang w:eastAsia="it-IT"/>
              </w:rPr>
            </w:pPr>
            <w:r w:rsidRPr="00827ED7">
              <w:rPr>
                <w:rFonts w:cs="Calibri"/>
                <w:color w:val="000000"/>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Montemurlo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18.456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9.7.14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Poggio a Caiano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10.007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191.150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16.02.15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Vaiano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9.895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23.04.10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24.03.15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prato</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Vernio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6.060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23.04.10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25.11.13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24.03.15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1060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406" w:rsidRPr="00827ED7" w:rsidRDefault="00997406" w:rsidP="00A64DCB">
            <w:pPr>
              <w:jc w:val="center"/>
              <w:rPr>
                <w:rFonts w:ascii="Arial" w:hAnsi="Arial" w:cs="Arial"/>
                <w:b/>
                <w:bCs/>
                <w:color w:val="000000"/>
                <w:sz w:val="16"/>
                <w:szCs w:val="16"/>
                <w:lang w:eastAsia="it-IT"/>
              </w:rPr>
            </w:pPr>
            <w:r w:rsidRPr="00827ED7">
              <w:rPr>
                <w:rFonts w:ascii="Arial" w:hAnsi="Arial" w:cs="Arial"/>
                <w:b/>
                <w:bCs/>
                <w:color w:val="000000"/>
                <w:sz w:val="16"/>
                <w:szCs w:val="16"/>
                <w:lang w:eastAsia="it-IT"/>
              </w:rPr>
              <w:t>PROVINCIA DI SIENA</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classe (*)</w:t>
            </w:r>
          </w:p>
        </w:tc>
        <w:tc>
          <w:tcPr>
            <w:tcW w:w="90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provincia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comune</w:t>
            </w:r>
          </w:p>
        </w:tc>
        <w:tc>
          <w:tcPr>
            <w:tcW w:w="719"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abitanti</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2009</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2011</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2012</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2014</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2015</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b/>
                <w:bCs/>
                <w:sz w:val="16"/>
                <w:szCs w:val="16"/>
                <w:lang w:eastAsia="it-IT"/>
              </w:rPr>
            </w:pPr>
            <w:r w:rsidRPr="00827ED7">
              <w:rPr>
                <w:rFonts w:ascii="Arial" w:hAnsi="Arial" w:cs="Arial"/>
                <w:b/>
                <w:bCs/>
                <w:sz w:val="16"/>
                <w:szCs w:val="16"/>
                <w:lang w:eastAsia="it-IT"/>
              </w:rPr>
              <w:t>2016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Abbadia San Salvatore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6.444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30.5.12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04.03.15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18.01.16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Asciano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7.118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Buonconvento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3.173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Casole d'Elsa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3.897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26.05.10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Castellina in Chianti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2.859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24.4.12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11.6.13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Castelnuovo Berardenga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9.097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29.2.12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23.5.13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24.3.14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25.05.15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17.02.16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Castiglione d'Orcia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2.346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Cetona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2.755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31.5.12</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19</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24.7.14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Chianciano Terme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7.105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12.6.12</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18</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20.3.14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Chiusdino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1.903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Chiusi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8.704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7.6.12</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01</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13 e</w:t>
            </w:r>
            <w:r w:rsidRPr="00827ED7">
              <w:rPr>
                <w:rFonts w:ascii="Arial" w:hAnsi="Arial" w:cs="Arial"/>
                <w:color w:val="FF0000"/>
                <w:sz w:val="16"/>
                <w:szCs w:val="16"/>
                <w:lang w:eastAsia="it-IT"/>
              </w:rPr>
              <w:t xml:space="preserve"> 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30.03.15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22.03.16</w:t>
            </w:r>
          </w:p>
        </w:tc>
      </w:tr>
      <w:tr w:rsidR="00997406" w:rsidRPr="00827ED7" w:rsidTr="00A64DCB">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Colle di Val d'Elsa</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21.620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26.05.10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3.4.12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Gaiole in Chianti</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2.758</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08</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single" w:sz="4" w:space="0" w:color="auto"/>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24.4.12</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11.6.13</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Montalcino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5.093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Montepulciano</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14.097</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2011</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28.04.15</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2016</w:t>
            </w:r>
          </w:p>
        </w:tc>
      </w:tr>
      <w:tr w:rsidR="00997406" w:rsidRPr="00827ED7" w:rsidTr="00A64DCB">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single" w:sz="4" w:space="0" w:color="auto"/>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Monteriggioni</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9.810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26.05.10</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14</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Monteroni d'Arbia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9.088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14</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Monticiano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1.571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Murlo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2.389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09</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Piancastagnaio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4.230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Pienza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2.107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15</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14</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9.3.12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16.06.15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05.05.16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Poggibonsi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29.196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26.05.10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7.6.12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nil"/>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p>
        </w:tc>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13.07.15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30.03.16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Radda in Chianti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01</w:t>
            </w:r>
            <w:r>
              <w:rPr>
                <w:rFonts w:ascii="Arial" w:hAnsi="Arial" w:cs="Arial"/>
                <w:color w:val="FF0000"/>
                <w:sz w:val="16"/>
                <w:szCs w:val="16"/>
                <w:lang w:eastAsia="it-IT"/>
              </w:rPr>
              <w:t>.</w:t>
            </w:r>
            <w:r w:rsidRPr="00827ED7">
              <w:rPr>
                <w:rFonts w:ascii="Arial" w:hAnsi="Arial" w:cs="Arial"/>
                <w:color w:val="FF0000"/>
                <w:sz w:val="16"/>
                <w:szCs w:val="16"/>
                <w:lang w:eastAsia="it-IT"/>
              </w:rPr>
              <w:t>02</w:t>
            </w:r>
            <w:r>
              <w:rPr>
                <w:rFonts w:ascii="Arial" w:hAnsi="Arial" w:cs="Arial"/>
                <w:color w:val="FF0000"/>
                <w:sz w:val="16"/>
                <w:szCs w:val="16"/>
                <w:lang w:eastAsia="it-IT"/>
              </w:rPr>
              <w:t>.</w:t>
            </w:r>
            <w:r w:rsidRPr="00827ED7">
              <w:rPr>
                <w:rFonts w:ascii="Arial" w:hAnsi="Arial" w:cs="Arial"/>
                <w:color w:val="FF0000"/>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24.4.12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11.6.13</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Radicofani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1.097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Radicondoli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914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26.05.10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13</w:t>
            </w:r>
            <w:r>
              <w:rPr>
                <w:rFonts w:ascii="Arial" w:hAnsi="Arial" w:cs="Arial"/>
                <w:color w:val="000000"/>
                <w:sz w:val="16"/>
                <w:szCs w:val="16"/>
                <w:lang w:eastAsia="it-IT"/>
              </w:rPr>
              <w:t>.</w:t>
            </w:r>
            <w:r w:rsidRPr="00827ED7">
              <w:rPr>
                <w:rFonts w:ascii="Arial" w:hAnsi="Arial" w:cs="Arial"/>
                <w:color w:val="000000"/>
                <w:sz w:val="16"/>
                <w:szCs w:val="16"/>
                <w:lang w:eastAsia="it-IT"/>
              </w:rPr>
              <w:t>06</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Rapolano Terme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5.249</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29</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Casciano dei Bagni</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1.632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Gimignano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7.820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 xml:space="preserve">26.05.10 </w:t>
            </w:r>
            <w:r w:rsidRPr="00827ED7">
              <w:rPr>
                <w:rFonts w:ascii="Arial" w:hAnsi="Arial" w:cs="Arial"/>
                <w:sz w:val="16"/>
                <w:szCs w:val="16"/>
                <w:lang w:eastAsia="it-IT"/>
              </w:rPr>
              <w:t>e 26.01.10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nil"/>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25.11.11 e 10.7.12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03</w:t>
            </w:r>
            <w:r>
              <w:rPr>
                <w:rFonts w:ascii="Arial" w:hAnsi="Arial" w:cs="Arial"/>
                <w:color w:val="000000"/>
                <w:sz w:val="16"/>
                <w:szCs w:val="16"/>
                <w:lang w:eastAsia="it-IT"/>
              </w:rPr>
              <w:t>.</w:t>
            </w:r>
            <w:r w:rsidRPr="00827ED7">
              <w:rPr>
                <w:rFonts w:ascii="Arial" w:hAnsi="Arial" w:cs="Arial"/>
                <w:color w:val="000000"/>
                <w:sz w:val="16"/>
                <w:szCs w:val="16"/>
                <w:lang w:eastAsia="it-IT"/>
              </w:rPr>
              <w:t>12</w:t>
            </w:r>
            <w:r>
              <w:rPr>
                <w:rFonts w:ascii="Arial" w:hAnsi="Arial" w:cs="Arial"/>
                <w:color w:val="000000"/>
                <w:sz w:val="16"/>
                <w:szCs w:val="16"/>
                <w:lang w:eastAsia="it-IT"/>
              </w:rPr>
              <w:t>.</w:t>
            </w:r>
            <w:r w:rsidRPr="00827ED7">
              <w:rPr>
                <w:rFonts w:ascii="Arial" w:hAnsi="Arial" w:cs="Arial"/>
                <w:color w:val="000000"/>
                <w:sz w:val="16"/>
                <w:szCs w:val="16"/>
                <w:lang w:eastAsia="it-IT"/>
              </w:rPr>
              <w:t>12</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19.01.15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11.12.15</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Giovanni d'Asso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853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23</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11.4.12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07.04.16</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San Quirico d'Orcia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2.662</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16</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04</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10.5.12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w:t>
            </w:r>
            <w:r>
              <w:rPr>
                <w:rFonts w:ascii="Arial" w:hAnsi="Arial" w:cs="Arial"/>
                <w:color w:val="000000"/>
                <w:sz w:val="16"/>
                <w:szCs w:val="16"/>
                <w:lang w:eastAsia="it-IT"/>
              </w:rPr>
              <w:t>.</w:t>
            </w:r>
            <w:r w:rsidRPr="00827ED7">
              <w:rPr>
                <w:rFonts w:ascii="Arial" w:hAnsi="Arial" w:cs="Arial"/>
                <w:color w:val="000000"/>
                <w:sz w:val="16"/>
                <w:szCs w:val="16"/>
                <w:lang w:eastAsia="it-IT"/>
              </w:rPr>
              <w:t>02</w:t>
            </w:r>
            <w:r>
              <w:rPr>
                <w:rFonts w:ascii="Arial" w:hAnsi="Arial" w:cs="Arial"/>
                <w:color w:val="000000"/>
                <w:sz w:val="16"/>
                <w:szCs w:val="16"/>
                <w:lang w:eastAsia="it-IT"/>
              </w:rPr>
              <w:t>.</w:t>
            </w:r>
            <w:r w:rsidRPr="00827ED7">
              <w:rPr>
                <w:rFonts w:ascii="Arial" w:hAnsi="Arial" w:cs="Arial"/>
                <w:color w:val="000000"/>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Sarteano</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4.717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24.2.12</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04</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8.4.14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13.04.16</w:t>
            </w:r>
          </w:p>
        </w:tc>
      </w:tr>
      <w:tr w:rsidR="00997406" w:rsidRPr="00827ED7" w:rsidTr="00A64DCB">
        <w:trPr>
          <w:trHeight w:val="6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53.903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05</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07</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1.12.11, 2012 e 7.6.2012 </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24</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11.05.15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09.03.16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Sinalunga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12.764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01</w:t>
            </w:r>
            <w:r>
              <w:rPr>
                <w:rFonts w:ascii="Arial" w:hAnsi="Arial" w:cs="Arial"/>
                <w:sz w:val="16"/>
                <w:szCs w:val="16"/>
                <w:lang w:eastAsia="it-IT"/>
              </w:rPr>
              <w:t>.</w:t>
            </w:r>
            <w:r w:rsidRPr="00827ED7">
              <w:rPr>
                <w:rFonts w:ascii="Arial" w:hAnsi="Arial" w:cs="Arial"/>
                <w:sz w:val="16"/>
                <w:szCs w:val="16"/>
                <w:lang w:eastAsia="it-IT"/>
              </w:rPr>
              <w:t>09</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FF0000"/>
                <w:sz w:val="16"/>
                <w:szCs w:val="16"/>
                <w:lang w:eastAsia="it-IT"/>
              </w:rPr>
            </w:pP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28.7.14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18.04.16</w:t>
            </w:r>
          </w:p>
        </w:tc>
      </w:tr>
      <w:tr w:rsidR="00997406" w:rsidRPr="00827ED7" w:rsidTr="00A64DCB">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Sovicille</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10.116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26</w:t>
            </w:r>
            <w:r>
              <w:rPr>
                <w:rFonts w:ascii="Arial" w:hAnsi="Arial" w:cs="Arial"/>
                <w:sz w:val="16"/>
                <w:szCs w:val="16"/>
                <w:lang w:eastAsia="it-IT"/>
              </w:rPr>
              <w:t>.</w:t>
            </w:r>
            <w:r w:rsidRPr="00827ED7">
              <w:rPr>
                <w:rFonts w:ascii="Arial" w:hAnsi="Arial" w:cs="Arial"/>
                <w:sz w:val="16"/>
                <w:szCs w:val="16"/>
                <w:lang w:eastAsia="it-IT"/>
              </w:rPr>
              <w:t>11</w:t>
            </w:r>
            <w:r>
              <w:rPr>
                <w:rFonts w:ascii="Arial" w:hAnsi="Arial" w:cs="Arial"/>
                <w:sz w:val="16"/>
                <w:szCs w:val="16"/>
                <w:lang w:eastAsia="it-IT"/>
              </w:rPr>
              <w:t>.</w:t>
            </w:r>
            <w:r w:rsidRPr="00827ED7">
              <w:rPr>
                <w:rFonts w:ascii="Arial" w:hAnsi="Arial" w:cs="Arial"/>
                <w:sz w:val="16"/>
                <w:szCs w:val="16"/>
                <w:lang w:eastAsia="it-IT"/>
              </w:rPr>
              <w:t>08</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31</w:t>
            </w:r>
            <w:r>
              <w:rPr>
                <w:rFonts w:ascii="Arial" w:hAnsi="Arial" w:cs="Arial"/>
                <w:sz w:val="16"/>
                <w:szCs w:val="16"/>
                <w:lang w:eastAsia="it-IT"/>
              </w:rPr>
              <w:t>.</w:t>
            </w:r>
            <w:r w:rsidRPr="00827ED7">
              <w:rPr>
                <w:rFonts w:ascii="Arial" w:hAnsi="Arial" w:cs="Arial"/>
                <w:sz w:val="16"/>
                <w:szCs w:val="16"/>
                <w:lang w:eastAsia="it-IT"/>
              </w:rPr>
              <w:t>03</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21</w:t>
            </w:r>
            <w:r>
              <w:rPr>
                <w:rFonts w:ascii="Arial" w:hAnsi="Arial" w:cs="Arial"/>
                <w:sz w:val="16"/>
                <w:szCs w:val="16"/>
                <w:lang w:eastAsia="it-IT"/>
              </w:rPr>
              <w:t>.</w:t>
            </w:r>
            <w:r w:rsidRPr="00827ED7">
              <w:rPr>
                <w:rFonts w:ascii="Arial" w:hAnsi="Arial" w:cs="Arial"/>
                <w:sz w:val="16"/>
                <w:szCs w:val="16"/>
                <w:lang w:eastAsia="it-IT"/>
              </w:rPr>
              <w:t>12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2012</w:t>
            </w:r>
          </w:p>
        </w:tc>
        <w:tc>
          <w:tcPr>
            <w:tcW w:w="94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22.4.14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3</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xml:space="preserve">Torrita di Siena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7.434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19</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18</w:t>
            </w:r>
            <w:r>
              <w:rPr>
                <w:rFonts w:ascii="Arial" w:hAnsi="Arial" w:cs="Arial"/>
                <w:sz w:val="16"/>
                <w:szCs w:val="16"/>
                <w:lang w:eastAsia="it-IT"/>
              </w:rPr>
              <w:t>.</w:t>
            </w:r>
            <w:r w:rsidRPr="00827ED7">
              <w:rPr>
                <w:rFonts w:ascii="Arial" w:hAnsi="Arial" w:cs="Arial"/>
                <w:sz w:val="16"/>
                <w:szCs w:val="16"/>
                <w:lang w:eastAsia="it-IT"/>
              </w:rPr>
              <w:t>02</w:t>
            </w:r>
            <w:r>
              <w:rPr>
                <w:rFonts w:ascii="Arial" w:hAnsi="Arial" w:cs="Arial"/>
                <w:sz w:val="16"/>
                <w:szCs w:val="16"/>
                <w:lang w:eastAsia="it-IT"/>
              </w:rPr>
              <w:t>.</w:t>
            </w:r>
            <w:r w:rsidRPr="00827ED7">
              <w:rPr>
                <w:rFonts w:ascii="Arial" w:hAnsi="Arial" w:cs="Arial"/>
                <w:sz w:val="16"/>
                <w:szCs w:val="16"/>
                <w:lang w:eastAsia="it-IT"/>
              </w:rPr>
              <w:t>11</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4.4.12</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22</w:t>
            </w:r>
            <w:r>
              <w:rPr>
                <w:rFonts w:ascii="Arial" w:hAnsi="Arial" w:cs="Arial"/>
                <w:color w:val="000000"/>
                <w:sz w:val="16"/>
                <w:szCs w:val="16"/>
                <w:lang w:eastAsia="it-IT"/>
              </w:rPr>
              <w:t>.</w:t>
            </w:r>
            <w:r w:rsidRPr="00827ED7">
              <w:rPr>
                <w:rFonts w:ascii="Arial" w:hAnsi="Arial" w:cs="Arial"/>
                <w:color w:val="000000"/>
                <w:sz w:val="16"/>
                <w:szCs w:val="16"/>
                <w:lang w:eastAsia="it-IT"/>
              </w:rPr>
              <w:t>05</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89" w:type="dxa"/>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r>
      <w:tr w:rsidR="00997406" w:rsidRPr="00827ED7" w:rsidTr="00A64DCB">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siena</w:t>
            </w:r>
          </w:p>
        </w:tc>
        <w:tc>
          <w:tcPr>
            <w:tcW w:w="1451" w:type="dxa"/>
            <w:gridSpan w:val="3"/>
            <w:tcBorders>
              <w:top w:val="nil"/>
              <w:left w:val="nil"/>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Trequanda</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1.254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941"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 </w:t>
            </w:r>
          </w:p>
        </w:tc>
        <w:tc>
          <w:tcPr>
            <w:tcW w:w="820" w:type="dxa"/>
            <w:gridSpan w:val="2"/>
            <w:tcBorders>
              <w:top w:val="nil"/>
              <w:left w:val="nil"/>
              <w:bottom w:val="single" w:sz="4" w:space="0" w:color="auto"/>
              <w:right w:val="nil"/>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 </w:t>
            </w:r>
          </w:p>
        </w:tc>
        <w:tc>
          <w:tcPr>
            <w:tcW w:w="941" w:type="dxa"/>
            <w:gridSpan w:val="2"/>
            <w:tcBorders>
              <w:top w:val="nil"/>
              <w:left w:val="single" w:sz="4" w:space="0" w:color="auto"/>
              <w:bottom w:val="single" w:sz="4" w:space="0" w:color="auto"/>
              <w:right w:val="single" w:sz="4" w:space="0" w:color="auto"/>
            </w:tcBorders>
            <w:shd w:val="clear" w:color="auto" w:fill="auto"/>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17</w:t>
            </w:r>
            <w:r>
              <w:rPr>
                <w:rFonts w:ascii="Arial" w:hAnsi="Arial" w:cs="Arial"/>
                <w:color w:val="000000"/>
                <w:sz w:val="16"/>
                <w:szCs w:val="16"/>
                <w:lang w:eastAsia="it-IT"/>
              </w:rPr>
              <w:t>.</w:t>
            </w:r>
            <w:r w:rsidRPr="00827ED7">
              <w:rPr>
                <w:rFonts w:ascii="Arial" w:hAnsi="Arial" w:cs="Arial"/>
                <w:color w:val="000000"/>
                <w:sz w:val="16"/>
                <w:szCs w:val="16"/>
                <w:lang w:eastAsia="it-IT"/>
              </w:rPr>
              <w:t>07</w:t>
            </w:r>
            <w:r>
              <w:rPr>
                <w:rFonts w:ascii="Arial" w:hAnsi="Arial" w:cs="Arial"/>
                <w:color w:val="000000"/>
                <w:sz w:val="16"/>
                <w:szCs w:val="16"/>
                <w:lang w:eastAsia="it-IT"/>
              </w:rPr>
              <w:t>.</w:t>
            </w:r>
            <w:r w:rsidRPr="00827ED7">
              <w:rPr>
                <w:rFonts w:ascii="Arial" w:hAnsi="Arial" w:cs="Arial"/>
                <w:color w:val="000000"/>
                <w:sz w:val="16"/>
                <w:szCs w:val="16"/>
                <w:lang w:eastAsia="it-IT"/>
              </w:rPr>
              <w:t xml:space="preserve">13 e </w:t>
            </w:r>
            <w:r w:rsidRPr="00827ED7">
              <w:rPr>
                <w:rFonts w:ascii="Arial" w:hAnsi="Arial" w:cs="Arial"/>
                <w:color w:val="FF0000"/>
                <w:sz w:val="16"/>
                <w:szCs w:val="16"/>
                <w:lang w:eastAsia="it-IT"/>
              </w:rPr>
              <w:t>2013</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30.6.14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color w:val="000000"/>
                <w:sz w:val="16"/>
                <w:szCs w:val="16"/>
                <w:lang w:eastAsia="it-IT"/>
              </w:rPr>
            </w:pPr>
            <w:r w:rsidRPr="00827ED7">
              <w:rPr>
                <w:rFonts w:ascii="Arial" w:hAnsi="Arial" w:cs="Arial"/>
                <w:color w:val="000000"/>
                <w:sz w:val="16"/>
                <w:szCs w:val="16"/>
                <w:lang w:eastAsia="it-IT"/>
              </w:rPr>
              <w:t>10.06.15</w:t>
            </w:r>
          </w:p>
        </w:tc>
        <w:tc>
          <w:tcPr>
            <w:tcW w:w="889" w:type="dxa"/>
            <w:tcBorders>
              <w:top w:val="nil"/>
              <w:left w:val="nil"/>
              <w:bottom w:val="single" w:sz="4" w:space="0" w:color="auto"/>
              <w:right w:val="single" w:sz="4" w:space="0" w:color="auto"/>
            </w:tcBorders>
            <w:shd w:val="clear" w:color="auto" w:fill="auto"/>
            <w:noWrap/>
            <w:vAlign w:val="center"/>
            <w:hideMark/>
          </w:tcPr>
          <w:p w:rsidR="00997406" w:rsidRPr="00827ED7" w:rsidRDefault="00997406" w:rsidP="00A64DCB">
            <w:pPr>
              <w:jc w:val="center"/>
              <w:rPr>
                <w:rFonts w:ascii="Arial" w:hAnsi="Arial" w:cs="Arial"/>
                <w:sz w:val="16"/>
                <w:szCs w:val="16"/>
                <w:lang w:eastAsia="it-IT"/>
              </w:rPr>
            </w:pPr>
            <w:r w:rsidRPr="00827ED7">
              <w:rPr>
                <w:rFonts w:ascii="Arial" w:hAnsi="Arial" w:cs="Arial"/>
                <w:sz w:val="16"/>
                <w:szCs w:val="16"/>
                <w:lang w:eastAsia="it-IT"/>
              </w:rPr>
              <w:t>13.04.16</w:t>
            </w:r>
          </w:p>
        </w:tc>
      </w:tr>
    </w:tbl>
    <w:p w:rsidR="00997406" w:rsidRPr="00F62B6F" w:rsidRDefault="00997406" w:rsidP="00997406">
      <w:pPr>
        <w:rPr>
          <w:b/>
        </w:rPr>
      </w:pPr>
    </w:p>
    <w:tbl>
      <w:tblPr>
        <w:tblW w:w="8040" w:type="dxa"/>
        <w:tblInd w:w="65" w:type="dxa"/>
        <w:tblCellMar>
          <w:left w:w="70" w:type="dxa"/>
          <w:right w:w="70" w:type="dxa"/>
        </w:tblCellMar>
        <w:tblLook w:val="04A0" w:firstRow="1" w:lastRow="0" w:firstColumn="1" w:lastColumn="0" w:noHBand="0" w:noVBand="1"/>
      </w:tblPr>
      <w:tblGrid>
        <w:gridCol w:w="3733"/>
        <w:gridCol w:w="146"/>
        <w:gridCol w:w="146"/>
        <w:gridCol w:w="948"/>
        <w:gridCol w:w="948"/>
        <w:gridCol w:w="948"/>
        <w:gridCol w:w="948"/>
        <w:gridCol w:w="948"/>
        <w:gridCol w:w="948"/>
      </w:tblGrid>
      <w:tr w:rsidR="00997406" w:rsidRPr="00E6121F" w:rsidTr="00A64DCB">
        <w:trPr>
          <w:trHeight w:val="300"/>
        </w:trPr>
        <w:tc>
          <w:tcPr>
            <w:tcW w:w="4025" w:type="dxa"/>
            <w:gridSpan w:val="3"/>
            <w:tcBorders>
              <w:top w:val="single" w:sz="4" w:space="0" w:color="auto"/>
              <w:left w:val="single" w:sz="4" w:space="0" w:color="auto"/>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 Legenda classi dimensionali dei comuni</w:t>
            </w:r>
          </w:p>
        </w:tc>
        <w:tc>
          <w:tcPr>
            <w:tcW w:w="948" w:type="dxa"/>
            <w:tcBorders>
              <w:top w:val="single" w:sz="4" w:space="0" w:color="auto"/>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r w:rsidRPr="00E6121F">
              <w:rPr>
                <w:rFonts w:ascii="Arial" w:hAnsi="Arial" w:cs="Arial"/>
                <w:sz w:val="18"/>
                <w:szCs w:val="18"/>
                <w:lang w:eastAsia="it-IT"/>
              </w:rPr>
              <w:t> </w:t>
            </w:r>
          </w:p>
        </w:tc>
        <w:tc>
          <w:tcPr>
            <w:tcW w:w="948" w:type="dxa"/>
            <w:tcBorders>
              <w:top w:val="single" w:sz="4" w:space="0" w:color="auto"/>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r w:rsidRPr="00E6121F">
              <w:rPr>
                <w:rFonts w:ascii="Arial" w:hAnsi="Arial" w:cs="Arial"/>
                <w:sz w:val="18"/>
                <w:szCs w:val="18"/>
                <w:lang w:eastAsia="it-IT"/>
              </w:rPr>
              <w:t> </w:t>
            </w:r>
          </w:p>
        </w:tc>
        <w:tc>
          <w:tcPr>
            <w:tcW w:w="948" w:type="dxa"/>
            <w:tcBorders>
              <w:top w:val="single" w:sz="4" w:space="0" w:color="auto"/>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r w:rsidRPr="00E6121F">
              <w:rPr>
                <w:rFonts w:ascii="Arial" w:hAnsi="Arial" w:cs="Arial"/>
                <w:sz w:val="18"/>
                <w:szCs w:val="18"/>
                <w:lang w:eastAsia="it-IT"/>
              </w:rPr>
              <w:t> </w:t>
            </w:r>
          </w:p>
        </w:tc>
        <w:tc>
          <w:tcPr>
            <w:tcW w:w="948" w:type="dxa"/>
            <w:tcBorders>
              <w:top w:val="single" w:sz="4" w:space="0" w:color="auto"/>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c>
          <w:tcPr>
            <w:tcW w:w="948" w:type="dxa"/>
            <w:tcBorders>
              <w:top w:val="single" w:sz="4" w:space="0" w:color="auto"/>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c>
          <w:tcPr>
            <w:tcW w:w="948" w:type="dxa"/>
            <w:tcBorders>
              <w:top w:val="single" w:sz="4" w:space="0" w:color="auto"/>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3733" w:type="dxa"/>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classe 1 - da 1 a 1.000</w:t>
            </w: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3879" w:type="dxa"/>
            <w:gridSpan w:val="2"/>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classe 2 - da 1.001 a 5.000</w:t>
            </w: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3879" w:type="dxa"/>
            <w:gridSpan w:val="2"/>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classe 3 - da 5.001 a 15.000</w:t>
            </w: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jc w:val="center"/>
              <w:rPr>
                <w:rFonts w:ascii="Arial" w:hAnsi="Arial" w:cs="Arial"/>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3879" w:type="dxa"/>
            <w:gridSpan w:val="2"/>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classe 4 - da 15.001 a 50.000</w:t>
            </w: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3733" w:type="dxa"/>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classe 5 - oltre 50.000</w:t>
            </w: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146"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7817" w:type="dxa"/>
            <w:gridSpan w:val="7"/>
            <w:tcBorders>
              <w:top w:val="nil"/>
              <w:left w:val="single" w:sz="4" w:space="0" w:color="auto"/>
              <w:bottom w:val="nil"/>
              <w:right w:val="nil"/>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 Le date rosso si riferiscono agli accordi intercomunali, le date in blu alle delibere comunali</w:t>
            </w:r>
          </w:p>
        </w:tc>
        <w:tc>
          <w:tcPr>
            <w:tcW w:w="948" w:type="dxa"/>
            <w:tcBorders>
              <w:top w:val="nil"/>
              <w:left w:val="nil"/>
              <w:bottom w:val="nil"/>
              <w:right w:val="nil"/>
            </w:tcBorders>
            <w:shd w:val="clear" w:color="auto" w:fill="auto"/>
            <w:noWrap/>
            <w:vAlign w:val="bottom"/>
            <w:hideMark/>
          </w:tcPr>
          <w:p w:rsidR="00997406" w:rsidRPr="00E6121F" w:rsidRDefault="00997406" w:rsidP="00A64DCB">
            <w:pPr>
              <w:spacing w:line="240" w:lineRule="auto"/>
              <w:rPr>
                <w:color w:val="000000"/>
                <w:sz w:val="18"/>
                <w:szCs w:val="18"/>
                <w:lang w:eastAsia="it-IT"/>
              </w:rPr>
            </w:pPr>
          </w:p>
        </w:tc>
        <w:tc>
          <w:tcPr>
            <w:tcW w:w="948" w:type="dxa"/>
            <w:tcBorders>
              <w:top w:val="nil"/>
              <w:left w:val="nil"/>
              <w:bottom w:val="nil"/>
              <w:right w:val="single" w:sz="4" w:space="0" w:color="auto"/>
            </w:tcBorders>
            <w:shd w:val="clear" w:color="auto" w:fill="auto"/>
            <w:noWrap/>
            <w:vAlign w:val="bottom"/>
            <w:hideMark/>
          </w:tcPr>
          <w:p w:rsidR="00997406" w:rsidRPr="00E6121F" w:rsidRDefault="00997406" w:rsidP="00A64DCB">
            <w:pPr>
              <w:spacing w:line="240" w:lineRule="auto"/>
              <w:rPr>
                <w:color w:val="000000"/>
                <w:sz w:val="18"/>
                <w:szCs w:val="18"/>
                <w:lang w:eastAsia="it-IT"/>
              </w:rPr>
            </w:pPr>
            <w:r w:rsidRPr="00E6121F">
              <w:rPr>
                <w:color w:val="000000"/>
                <w:sz w:val="18"/>
                <w:szCs w:val="18"/>
                <w:lang w:eastAsia="it-IT"/>
              </w:rPr>
              <w:t> </w:t>
            </w:r>
          </w:p>
        </w:tc>
      </w:tr>
      <w:tr w:rsidR="00997406" w:rsidRPr="00E6121F" w:rsidTr="00A64DCB">
        <w:trPr>
          <w:trHeight w:val="300"/>
        </w:trPr>
        <w:tc>
          <w:tcPr>
            <w:tcW w:w="9713" w:type="dxa"/>
            <w:gridSpan w:val="9"/>
            <w:tcBorders>
              <w:top w:val="nil"/>
              <w:left w:val="single" w:sz="4" w:space="0" w:color="auto"/>
              <w:bottom w:val="single" w:sz="4" w:space="0" w:color="auto"/>
              <w:right w:val="single" w:sz="4" w:space="0" w:color="000000"/>
            </w:tcBorders>
            <w:shd w:val="clear" w:color="auto" w:fill="auto"/>
            <w:noWrap/>
            <w:vAlign w:val="bottom"/>
            <w:hideMark/>
          </w:tcPr>
          <w:p w:rsidR="00997406" w:rsidRPr="00E6121F" w:rsidRDefault="00997406" w:rsidP="00A64DCB">
            <w:pPr>
              <w:spacing w:line="240" w:lineRule="auto"/>
              <w:rPr>
                <w:rFonts w:ascii="Arial" w:hAnsi="Arial" w:cs="Arial"/>
                <w:sz w:val="18"/>
                <w:szCs w:val="18"/>
                <w:lang w:eastAsia="it-IT"/>
              </w:rPr>
            </w:pPr>
            <w:r w:rsidRPr="00E6121F">
              <w:rPr>
                <w:rFonts w:ascii="Arial" w:hAnsi="Arial" w:cs="Arial"/>
                <w:sz w:val="18"/>
                <w:szCs w:val="18"/>
                <w:lang w:eastAsia="it-IT"/>
              </w:rPr>
              <w:t>Se le delibere approvano una piattaforma e assumono l'accezione di accordo sono state collocate nella colonna degli accordi</w:t>
            </w:r>
          </w:p>
        </w:tc>
      </w:tr>
    </w:tbl>
    <w:p w:rsidR="00997406" w:rsidRDefault="00997406" w:rsidP="00997406"/>
    <w:p w:rsidR="00997406" w:rsidRDefault="00997406" w:rsidP="00997406"/>
    <w:p w:rsidR="00997406" w:rsidRPr="00E639A5" w:rsidRDefault="00997406" w:rsidP="00997406">
      <w:pPr>
        <w:rPr>
          <w:b/>
          <w:sz w:val="16"/>
          <w:szCs w:val="16"/>
        </w:rPr>
      </w:pPr>
    </w:p>
    <w:p w:rsidR="00BB070E" w:rsidRDefault="00823440">
      <w:pPr>
        <w:rPr>
          <w:rFonts w:ascii="Century Gothic" w:hAnsi="Century Gothic"/>
        </w:rPr>
      </w:pPr>
      <w:r>
        <w:rPr>
          <w:rFonts w:ascii="Century Gothic" w:hAnsi="Century Gothic"/>
        </w:rPr>
        <w:br w:type="page"/>
      </w:r>
    </w:p>
    <w:tbl>
      <w:tblPr>
        <w:tblW w:w="9960" w:type="dxa"/>
        <w:tblInd w:w="65" w:type="dxa"/>
        <w:tblCellMar>
          <w:left w:w="70" w:type="dxa"/>
          <w:right w:w="70" w:type="dxa"/>
        </w:tblCellMar>
        <w:tblLook w:val="04A0" w:firstRow="1" w:lastRow="0" w:firstColumn="1" w:lastColumn="0" w:noHBand="0" w:noVBand="1"/>
      </w:tblPr>
      <w:tblGrid>
        <w:gridCol w:w="1320"/>
        <w:gridCol w:w="2640"/>
        <w:gridCol w:w="763"/>
        <w:gridCol w:w="763"/>
        <w:gridCol w:w="763"/>
        <w:gridCol w:w="763"/>
        <w:gridCol w:w="763"/>
        <w:gridCol w:w="763"/>
        <w:gridCol w:w="763"/>
        <w:gridCol w:w="960"/>
      </w:tblGrid>
      <w:tr w:rsidR="00BB070E" w:rsidRPr="00BB070E" w:rsidTr="00BB070E">
        <w:trPr>
          <w:trHeight w:val="22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ALTRA DOCUMENTAZIONE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2009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2016</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livello reg.le</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anci regionale toscana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16.12.08</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23.12.09</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21.02.11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26.2.14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10.04.15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12.05.16</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toscana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23.03.10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22.07.11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toscana piano operat.</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22.07.11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 ooss - sind.inquilini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 anci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i/>
                <w:iCs/>
                <w:sz w:val="16"/>
                <w:szCs w:val="16"/>
                <w:lang w:eastAsia="it-IT"/>
              </w:rPr>
            </w:pPr>
            <w:r w:rsidRPr="00BB070E">
              <w:rPr>
                <w:rFonts w:ascii="Arial" w:hAnsi="Arial" w:cs="Arial"/>
                <w:i/>
                <w:iCs/>
                <w:sz w:val="16"/>
                <w:szCs w:val="16"/>
                <w:lang w:eastAsia="it-IT"/>
              </w:rPr>
              <w:t> </w:t>
            </w:r>
          </w:p>
        </w:tc>
      </w:tr>
      <w:tr w:rsidR="00BB070E" w:rsidRPr="00BB070E" w:rsidTr="00BB070E">
        <w:trPr>
          <w:trHeight w:val="22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 valorizz.prof. Ruoli dirigenz. 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25.8.14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r>
      <w:tr w:rsidR="00BB070E" w:rsidRPr="00BB070E" w:rsidTr="00BB070E">
        <w:trPr>
          <w:trHeight w:val="22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 - valorizz.prof. Ruoli dirigenz. 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27.6.14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r>
      <w:tr w:rsidR="00BB070E" w:rsidRPr="00BB070E" w:rsidTr="00BB070E">
        <w:trPr>
          <w:trHeight w:val="22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regione-anci-upi gestione personale per L.56/2014</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8.7.14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r>
      <w:tr w:rsidR="00BB070E" w:rsidRPr="00BB070E" w:rsidTr="00BB070E">
        <w:trPr>
          <w:trHeight w:val="22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regione-organizzazione socio-sanitaria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i/>
                <w:iCs/>
                <w:sz w:val="16"/>
                <w:szCs w:val="16"/>
                <w:lang w:eastAsia="it-IT"/>
              </w:rPr>
            </w:pP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color w:val="000000"/>
                <w:sz w:val="16"/>
                <w:szCs w:val="16"/>
                <w:lang w:eastAsia="it-IT"/>
              </w:rPr>
            </w:pPr>
            <w:r w:rsidRPr="00BB070E">
              <w:rPr>
                <w:rFonts w:ascii="Arial" w:hAnsi="Arial" w:cs="Arial"/>
                <w:color w:val="000000"/>
                <w:sz w:val="16"/>
                <w:szCs w:val="16"/>
                <w:lang w:eastAsia="it-IT"/>
              </w:rPr>
              <w:t>regione-schema-accordo-appalti-ssr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29.04.15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2016</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color w:val="000000"/>
                <w:sz w:val="16"/>
                <w:szCs w:val="16"/>
                <w:lang w:eastAsia="it-IT"/>
              </w:rPr>
            </w:pPr>
            <w:r w:rsidRPr="00BB070E">
              <w:rPr>
                <w:rFonts w:ascii="Arial" w:hAnsi="Arial" w:cs="Arial"/>
                <w:color w:val="000000"/>
                <w:sz w:val="16"/>
                <w:szCs w:val="16"/>
                <w:lang w:eastAsia="it-IT"/>
              </w:rPr>
              <w:t>regione-schema-accordo-relaz-sind-ssr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i/>
                <w:iCs/>
                <w:sz w:val="16"/>
                <w:szCs w:val="16"/>
                <w:lang w:eastAsia="it-IT"/>
              </w:rPr>
            </w:pPr>
            <w:r w:rsidRPr="00BB070E">
              <w:rPr>
                <w:rFonts w:ascii="Arial" w:hAnsi="Arial" w:cs="Arial"/>
                <w:i/>
                <w:iCs/>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14.04.16</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liv. prov.le</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provincia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arezzo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17.02.11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prov sds</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siena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19.04.11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tavolo pol.soc.</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siena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circondario  comun. mont. unione comuni zona</w:t>
            </w:r>
          </w:p>
        </w:tc>
        <w:tc>
          <w:tcPr>
            <w:tcW w:w="86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sz w:val="16"/>
                <w:szCs w:val="16"/>
                <w:lang w:eastAsia="it-IT"/>
              </w:rPr>
            </w:pPr>
          </w:p>
        </w:tc>
        <w:tc>
          <w:tcPr>
            <w:tcW w:w="8640" w:type="dxa"/>
            <w:gridSpan w:val="9"/>
            <w:vMerge/>
            <w:tcBorders>
              <w:top w:val="single" w:sz="4" w:space="0" w:color="auto"/>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sz w:val="16"/>
                <w:szCs w:val="16"/>
                <w:lang w:eastAsia="it-IT"/>
              </w:rPr>
            </w:pPr>
          </w:p>
        </w:tc>
        <w:tc>
          <w:tcPr>
            <w:tcW w:w="8640" w:type="dxa"/>
            <w:gridSpan w:val="9"/>
            <w:vMerge/>
            <w:tcBorders>
              <w:top w:val="single" w:sz="4" w:space="0" w:color="auto"/>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sz w:val="16"/>
                <w:szCs w:val="16"/>
                <w:lang w:eastAsia="it-IT"/>
              </w:rPr>
            </w:pPr>
          </w:p>
        </w:tc>
        <w:tc>
          <w:tcPr>
            <w:tcW w:w="8640" w:type="dxa"/>
            <w:gridSpan w:val="9"/>
            <w:vMerge/>
            <w:tcBorders>
              <w:top w:val="single" w:sz="4" w:space="0" w:color="auto"/>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circondario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empolese valdelsa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2009</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03.02.11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16.5.12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com. montana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 di bisenzio (PO)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23.04.10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media valle del serchio (LU)</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14.5.12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17.02.15</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7.6.13</w:t>
            </w: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bucine-laterina-pergine (AR)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15.6.12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garfagnana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giu. 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figline-incisa valdarno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14.6.12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9.7.13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castellina-gaiole-radda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01.02.11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24.4.12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11.6.13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gambassi terme-montaione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8.8.13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valdichiana senese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barberino-tavarnellevp</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01.07.15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unione comuni</w:t>
            </w:r>
          </w:p>
        </w:tc>
        <w:tc>
          <w:tcPr>
            <w:tcW w:w="264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color w:val="000000"/>
                <w:sz w:val="16"/>
                <w:szCs w:val="16"/>
                <w:lang w:eastAsia="it-IT"/>
              </w:rPr>
            </w:pPr>
            <w:r w:rsidRPr="00BB070E">
              <w:rPr>
                <w:rFonts w:ascii="Arial" w:hAnsi="Arial" w:cs="Arial"/>
                <w:color w:val="000000"/>
                <w:sz w:val="16"/>
                <w:szCs w:val="16"/>
                <w:lang w:eastAsia="it-IT"/>
              </w:rPr>
              <w:t>cantagallo-vaiano-vernio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24.03.15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un.com. montani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valtiberina toscana (AR)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12.4.12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un.com. montani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casentino (AR)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09.5.11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9.2.12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valdichiana aretina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16.4.12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24.6.13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28.10.14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chianti fiorentino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15..4.09</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26.1.11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valdelsa senese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26.5.10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amiata grossetana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18.6.12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valdarno conf. sindaci zona socio-sanitaria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14.6.13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zona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valdarno conf. sindaci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17.03.15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07.09.16</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sz w:val="16"/>
                <w:szCs w:val="16"/>
                <w:lang w:eastAsia="it-IT"/>
              </w:rPr>
            </w:pPr>
            <w:r w:rsidRPr="00BB070E">
              <w:rPr>
                <w:rFonts w:ascii="Arial" w:hAnsi="Arial" w:cs="Arial"/>
                <w:b/>
                <w:bCs/>
                <w:sz w:val="16"/>
                <w:szCs w:val="16"/>
                <w:lang w:eastAsia="it-IT"/>
              </w:rPr>
              <w:t>sanità</w:t>
            </w:r>
          </w:p>
        </w:tc>
        <w:tc>
          <w:tcPr>
            <w:tcW w:w="8640" w:type="dxa"/>
            <w:gridSpan w:val="9"/>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3C331C">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asl 8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arezzo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22.9.10</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3.7.12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3C331C">
        <w:trPr>
          <w:trHeight w:val="45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sds </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casentino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12.11.10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3C331C">
        <w:trPr>
          <w:trHeight w:val="22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colline metallifere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7.03.11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ASL Toscana Centro</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pistoia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14.11.16</w:t>
            </w:r>
          </w:p>
        </w:tc>
      </w:tr>
      <w:tr w:rsidR="00BB070E" w:rsidRPr="00BB070E" w:rsidTr="00BB070E">
        <w:trPr>
          <w:trHeight w:val="22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asl 6 </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livorno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17.2.14</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asl 10</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firenze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19.11.14</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sds-asl4</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area pratese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25.11.13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sds-asl7</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altavaldelsa-valdichianasenese-senese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03.11.15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area vasta sud-est</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siena-arezzo-grosseto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nil"/>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05.02.15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05.12.16</w:t>
            </w:r>
          </w:p>
        </w:tc>
      </w:tr>
      <w:tr w:rsidR="00BB070E" w:rsidRPr="00BB070E" w:rsidTr="00BB070E">
        <w:trPr>
          <w:trHeight w:val="300"/>
        </w:trPr>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i/>
                <w:iCs/>
                <w:sz w:val="16"/>
                <w:szCs w:val="16"/>
                <w:lang w:eastAsia="it-IT"/>
              </w:rPr>
            </w:pPr>
            <w:r w:rsidRPr="00BB070E">
              <w:rPr>
                <w:rFonts w:ascii="Arial" w:hAnsi="Arial" w:cs="Arial"/>
                <w:b/>
                <w:bCs/>
                <w:i/>
                <w:iCs/>
                <w:sz w:val="16"/>
                <w:szCs w:val="16"/>
                <w:lang w:eastAsia="it-IT"/>
              </w:rPr>
              <w:t>delibere e progetti</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conf.sindaci az.usl 2 lucca: schede fondo non autosuffic.</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set.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comune arezzo: adesione piattaforma sindacati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18.7.12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montalcino: IMU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27.6.12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impruneta: modifica delibera 26.4.12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26.6.12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bagno a ripoli: IMU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30.5.12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comune monteriggioni: regolamento IMU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28.5.12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greve in chianti: rel. previsionale al bilancio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tavarnelle vdp: IMU e addizionale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7.5.12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impruneta: IMU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26.4.12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67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pietrasanta: approvazione accordo politiche in favore popolazione basso reddito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05.06.15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piombino: bilancio pluriennale 2015-2017</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28.04.15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serravalle: criteri accesso fondoanticrisi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08.08.15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comuni valdichiana aretina approv. piattaf. sindacati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16.4.12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24.6.13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un.mont. comuni valtiberina approv. doc. contr. sociale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12.4.12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23.7.13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comune barberino vde: IMU 2012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29.3.12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n. 216: proroga attestati esenzione compartec. spesa san. per reddito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19.3.12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n. 166: accordo r.t. - anci attraverso ReSISTo per accoglienza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5.3.12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n. 82: schema protocollo r.t. - ooss - sind. Inquilini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13.2.12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un. com. montani casentino  approv. piattaf. sindacati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9.2.12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3C331C">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g.r. n. 1204: sistema integrato di servizi per famiglie e assist. </w:t>
            </w:r>
            <w:r w:rsidR="003C331C">
              <w:rPr>
                <w:rFonts w:ascii="Arial" w:hAnsi="Arial" w:cs="Arial"/>
                <w:sz w:val="16"/>
                <w:szCs w:val="16"/>
                <w:lang w:eastAsia="it-IT"/>
              </w:rPr>
              <w:t>famigliari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27.12.11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3C331C">
        <w:trPr>
          <w:trHeight w:val="184"/>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3C331C">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allegato delib. N. 1204</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27.12.11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3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 trasfer. pers. Lr22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03.04.15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n. 433: accordo-appalti-ssr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07.04.15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g.r. n. 447: accordo-relaz-sind-ssr</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07.04.15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asl 1: progetti di riorganizz. territoriale ex DGR n. 1235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15.5.13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com. subbiano: contrattaz. sociale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18.9.12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ristrutturazione scotte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17.4.13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asl 7: azioni di riordino dei servizi ex DGR n. 1235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27.3.13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asl firenze: relazione su territorio ospedale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 29.5.13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area vasta sud-est: riorganiz. servizi ex DGR n. 1235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apr.13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aree vaste: posti letto e cure intermedie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asl 2: verso la cittadella della salute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area pratese: adesione prot. d'intesa con i sindacati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25.11.13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9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area pratese n. 38: mantenimento sds</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22.12.14</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9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area pratese n. 6: regolamento servizi</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18.03.15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8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area pratese n. 8: regolamento organizzazione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25.03.15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8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area pratese n. 12: nuovo statuto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25.03.15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asl 4: adesione protocollo d'intesa con i sindacati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4.12.13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usl 8 arezzo sulle liste d'attesa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sds firenze: regolamenti prestazioni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21.07.16</w:t>
            </w: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prog. centrale operativa 118 empoli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lug. 2014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valdichiana conf sindaci approv. piatt. sind</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28.10.14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300"/>
        </w:trPr>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i/>
                <w:iCs/>
                <w:sz w:val="16"/>
                <w:szCs w:val="16"/>
                <w:lang w:eastAsia="it-IT"/>
              </w:rPr>
            </w:pPr>
            <w:r w:rsidRPr="00BB070E">
              <w:rPr>
                <w:rFonts w:ascii="Arial" w:hAnsi="Arial" w:cs="Arial"/>
                <w:b/>
                <w:bCs/>
                <w:i/>
                <w:iCs/>
                <w:sz w:val="16"/>
                <w:szCs w:val="16"/>
                <w:lang w:eastAsia="it-IT"/>
              </w:rPr>
              <w:t>piattaforme</w:t>
            </w: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arezzo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liv. prov. ar. integrativo violenza donne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arezzo su contrattazione socio-sanitaria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2016</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valdichiana aretina integrazione piatt. 2014</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livello provinciale firenze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firenze sanità</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grosseto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15.11.11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9.5.13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livorno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livorno Case della Salute ASL 6</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collesalvetti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8.8.14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rosignano marittimo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31.7.14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A64DCB">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cecina su tasi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A64DCB">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lucca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1.11.11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A64DCB">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sub-provinciale piana di lucca su sanità</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2016</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massa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pisa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17.10.11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liv. prov. pisa contributo spi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5.11.12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pistoia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 livello provinciale prato</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liv. prov. prato sanità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4.7.13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2016</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 livello provinciale prato su relazioni sindacali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provinciale siena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15.10.11</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2014</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2016</w:t>
            </w:r>
          </w:p>
        </w:tc>
      </w:tr>
      <w:tr w:rsidR="00BB070E" w:rsidRPr="00BB070E" w:rsidTr="00BB070E">
        <w:trPr>
          <w:trHeight w:val="450"/>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regionale su riforma servizi socio-sanitari</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14.06.16</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comunale fiesole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06.09.16</w:t>
            </w:r>
          </w:p>
        </w:tc>
      </w:tr>
      <w:tr w:rsidR="00BB070E" w:rsidRPr="00BB070E" w:rsidTr="00BB070E">
        <w:trPr>
          <w:trHeight w:val="225"/>
        </w:trPr>
        <w:tc>
          <w:tcPr>
            <w:tcW w:w="132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livello regionale su welfare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04.04.16</w:t>
            </w:r>
          </w:p>
        </w:tc>
      </w:tr>
      <w:tr w:rsidR="00BB070E" w:rsidRPr="00BB070E" w:rsidTr="00BB070E">
        <w:trPr>
          <w:trHeight w:val="25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i/>
                <w:iCs/>
                <w:sz w:val="16"/>
                <w:szCs w:val="16"/>
                <w:lang w:eastAsia="it-IT"/>
              </w:rPr>
            </w:pPr>
            <w:r w:rsidRPr="00BB070E">
              <w:rPr>
                <w:rFonts w:ascii="Arial" w:hAnsi="Arial" w:cs="Arial"/>
                <w:b/>
                <w:bCs/>
                <w:i/>
                <w:iCs/>
                <w:sz w:val="16"/>
                <w:szCs w:val="16"/>
                <w:lang w:eastAsia="it-IT"/>
              </w:rPr>
              <w:t>verbali e comunicati istituzioni</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conf. zonale sindaci zona socio-san. valdarno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19.12.11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conf.  sindaci zona apuane verifica non autosufficienza</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25.10.12</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com. loro ciuffenna: sulla contrattazione sociale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8.8.13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 montepulciano: sulla contrattazione sociale</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30.7.13</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sindaco sarteano presenta bilancio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8.4.14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 barga su agev. trib. 2014</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12.02.15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com. capannori su serv. pers. 2014</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usl7-8-9- dati accesso 2014</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5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b/>
                <w:bCs/>
                <w:i/>
                <w:iCs/>
                <w:sz w:val="16"/>
                <w:szCs w:val="16"/>
                <w:lang w:eastAsia="it-IT"/>
              </w:rPr>
            </w:pPr>
            <w:r w:rsidRPr="00BB070E">
              <w:rPr>
                <w:rFonts w:ascii="Arial" w:hAnsi="Arial" w:cs="Arial"/>
                <w:b/>
                <w:bCs/>
                <w:i/>
                <w:iCs/>
                <w:sz w:val="16"/>
                <w:szCs w:val="16"/>
                <w:lang w:eastAsia="it-IT"/>
              </w:rPr>
              <w:t>verbali di incontro</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sind.pens. - prov. arezzo progetto arzilla-mente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29.6.12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9.4.13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com. castiglione dp bilancio e risorse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pens. - ass. lavoro e f.p. prov. massa su assist. famil.</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10.5.12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r.t.su riabilitazione e a.f.a.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11.4.12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r.t.su assistenza odontoiatrica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29.3.12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r.t.su sistema integrato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27.3.12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pens. - zona distretto valdarno su progetto non autosufficienza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13.2.12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5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pens. - conferenza sindaci casentino su piattaforma sindacale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9.2.12</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pens. - conf. sindaci zona socio-san. valdarno su bilancio sociale (2 verbali)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19.12.11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r.t.su sanità di iniziativa e liste d'attesa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24.11.11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r.t.su a.f.a. e non autosufficienza</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10.10.11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A64DCB">
        <w:trPr>
          <w:trHeight w:val="184"/>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5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A64DCB">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r.t. su fragilità e piano </w:t>
            </w:r>
            <w:r w:rsidR="00A64DCB">
              <w:rPr>
                <w:rFonts w:ascii="Arial" w:hAnsi="Arial" w:cs="Arial"/>
                <w:sz w:val="16"/>
                <w:szCs w:val="16"/>
                <w:lang w:eastAsia="it-IT"/>
              </w:rPr>
              <w:t>operativo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13.09.11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A64DCB">
        <w:trPr>
          <w:trHeight w:val="184"/>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A64DCB">
        <w:trPr>
          <w:trHeight w:val="2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area vasta centro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18.9.13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asl 2: riorganizzazione zone distretto</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29.5.13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asl 1 su rsa pubbliche e private lunigiana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15.5.13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184"/>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com. sorano su imu e tares</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 31.10.13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asl 7 su accordi medici di medicina generale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24.7.13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conf. sindaci distretto valdarno su contr. Sociale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13.5.13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com. loro ciuffenna su contrattazione sociale</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 8.8.13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com. roccastrada su contrattazione sociale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30.10.13</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3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area vasta centro: cure intermedie, centrali operative 118</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nil"/>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23.10.14</w:t>
            </w:r>
          </w:p>
        </w:tc>
        <w:tc>
          <w:tcPr>
            <w:tcW w:w="720" w:type="dxa"/>
            <w:tcBorders>
              <w:top w:val="nil"/>
              <w:left w:val="nil"/>
              <w:bottom w:val="nil"/>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69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color w:val="000000"/>
                <w:sz w:val="16"/>
                <w:szCs w:val="16"/>
                <w:lang w:eastAsia="it-IT"/>
              </w:rPr>
            </w:pPr>
            <w:r w:rsidRPr="00BB070E">
              <w:rPr>
                <w:rFonts w:ascii="Arial" w:hAnsi="Arial" w:cs="Arial"/>
                <w:color w:val="000000"/>
                <w:sz w:val="16"/>
                <w:szCs w:val="16"/>
                <w:lang w:eastAsia="it-IT"/>
              </w:rPr>
              <w:t>sind. - sind. pens. – ass.cat - com. magliano su contrattazione sociale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B070E" w:rsidRPr="00BB070E" w:rsidRDefault="00BB070E" w:rsidP="00BB070E">
            <w:pPr>
              <w:spacing w:line="240" w:lineRule="auto"/>
              <w:jc w:val="center"/>
              <w:rPr>
                <w:rFonts w:ascii="Arial" w:hAnsi="Arial" w:cs="Arial"/>
                <w:color w:val="000000"/>
                <w:sz w:val="16"/>
                <w:szCs w:val="16"/>
                <w:lang w:eastAsia="it-IT"/>
              </w:rPr>
            </w:pPr>
            <w:r w:rsidRPr="00BB070E">
              <w:rPr>
                <w:rFonts w:ascii="Arial" w:hAnsi="Arial" w:cs="Arial"/>
                <w:color w:val="000000"/>
                <w:sz w:val="16"/>
                <w:szCs w:val="16"/>
                <w:lang w:eastAsia="it-IT"/>
              </w:rPr>
              <w:t>06.08.14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cs="Calibri"/>
                <w:color w:val="000000"/>
                <w:lang w:eastAsia="it-IT"/>
              </w:rPr>
            </w:pPr>
            <w:r w:rsidRPr="00BB070E">
              <w:rPr>
                <w:rFonts w:cs="Calibri"/>
                <w:color w:val="000000"/>
                <w:lang w:eastAsia="it-IT"/>
              </w:rPr>
              <w:t> </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sind. pens. - com. cascina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07.04.15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com. monteverdi marittimo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21.05.15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com. montieri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14.05.15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67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sind. pens. - com. chianciano terme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21.07.15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67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sind. pens. – ass.cat - com. siena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15.05.15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com. scansano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20.07.15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xml:space="preserve">sind. - com. massa marittima su contrattazione sociale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57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pens. - zona distretto valdichiana su assistenza  socio-sanitaria</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16.02.15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9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zona distretto valtiberina su assistenza socio-sanitaria</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19.02.15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zona distretto valdarno su AFT, CMC, AFA</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08.04.15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zona distretto valdarno su  assistenza socio-sanitaria</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17.03.15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60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sind. pens. - zona distretto casentino su assistenza socio-sanitaria</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02.04.15</w:t>
            </w:r>
          </w:p>
        </w:tc>
        <w:tc>
          <w:tcPr>
            <w:tcW w:w="96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conf. sindaci - asl 4 - sds area pratese su gestione sds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02.03.15</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CGIL - SUNIA prato - com. prato su ERP ed emergenza abitativa</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10.02.15</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r>
      <w:tr w:rsidR="00BB070E" w:rsidRPr="00BB070E" w:rsidTr="00BB070E">
        <w:trPr>
          <w:trHeight w:val="22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7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BB070E" w:rsidRPr="00BB070E" w:rsidRDefault="00BB070E" w:rsidP="00BB070E">
            <w:pPr>
              <w:spacing w:line="240" w:lineRule="auto"/>
              <w:rPr>
                <w:rFonts w:ascii="Arial" w:hAnsi="Arial" w:cs="Arial"/>
                <w:sz w:val="16"/>
                <w:szCs w:val="16"/>
                <w:lang w:eastAsia="it-IT"/>
              </w:rPr>
            </w:pP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SPI CGIL - com. fiesole su contrattazione sociale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11.10.16</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SPI CGIL - com. greve in chianti su contrattazione sociale</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13.04.16</w:t>
            </w:r>
          </w:p>
        </w:tc>
      </w:tr>
      <w:tr w:rsidR="00BB070E" w:rsidRPr="00BB070E" w:rsidTr="00311B7A">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sind. pens. -  com. bientina su contrattazione sociale</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06.04.16</w:t>
            </w:r>
          </w:p>
        </w:tc>
      </w:tr>
      <w:tr w:rsidR="00BB070E" w:rsidRPr="00BB070E" w:rsidTr="00311B7A">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sind. pens. -  com. palaia su contrattazione sociale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03.05.16</w:t>
            </w:r>
          </w:p>
        </w:tc>
      </w:tr>
      <w:tr w:rsidR="00BB070E" w:rsidRPr="00BB070E" w:rsidTr="00311B7A">
        <w:trPr>
          <w:trHeight w:val="675"/>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sind. pens. - com. pomarance su contrattazione sociale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14.04.16</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sind. pens. - com. torrita di siena su contrattazione sociale</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12.02.16</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com. villa basilica su contrattazione sociale</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28.09.16</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sds firenze su regolamenti prestazioni</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19.07.16</w:t>
            </w:r>
          </w:p>
        </w:tc>
      </w:tr>
      <w:tr w:rsidR="00BB070E" w:rsidRPr="00BB070E" w:rsidTr="00BB070E">
        <w:trPr>
          <w:trHeight w:val="450"/>
        </w:trPr>
        <w:tc>
          <w:tcPr>
            <w:tcW w:w="1320" w:type="dxa"/>
            <w:vMerge/>
            <w:tcBorders>
              <w:top w:val="nil"/>
              <w:left w:val="single" w:sz="4" w:space="0" w:color="auto"/>
              <w:bottom w:val="single" w:sz="4" w:space="0" w:color="auto"/>
              <w:right w:val="single" w:sz="4" w:space="0" w:color="auto"/>
            </w:tcBorders>
            <w:vAlign w:val="center"/>
            <w:hideMark/>
          </w:tcPr>
          <w:p w:rsidR="00BB070E" w:rsidRPr="00BB070E" w:rsidRDefault="00BB070E" w:rsidP="00BB070E">
            <w:pPr>
              <w:spacing w:line="240" w:lineRule="auto"/>
              <w:rPr>
                <w:rFonts w:ascii="Arial" w:hAnsi="Arial" w:cs="Arial"/>
                <w:b/>
                <w:bCs/>
                <w:i/>
                <w:iCs/>
                <w:sz w:val="16"/>
                <w:szCs w:val="16"/>
                <w:lang w:eastAsia="it-IT"/>
              </w:rPr>
            </w:pPr>
          </w:p>
        </w:tc>
        <w:tc>
          <w:tcPr>
            <w:tcW w:w="264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sind. - com. prato - sds prato su ASL Toscana Centro</w:t>
            </w:r>
          </w:p>
        </w:tc>
        <w:tc>
          <w:tcPr>
            <w:tcW w:w="72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bottom"/>
            <w:hideMark/>
          </w:tcPr>
          <w:p w:rsidR="00BB070E" w:rsidRPr="00BB070E" w:rsidRDefault="00BB070E" w:rsidP="00BB070E">
            <w:pPr>
              <w:spacing w:line="240" w:lineRule="auto"/>
              <w:jc w:val="right"/>
              <w:rPr>
                <w:rFonts w:ascii="Arial" w:hAnsi="Arial" w:cs="Arial"/>
                <w:sz w:val="16"/>
                <w:szCs w:val="16"/>
                <w:lang w:eastAsia="it-IT"/>
              </w:rPr>
            </w:pPr>
            <w:r w:rsidRPr="00BB070E">
              <w:rPr>
                <w:rFonts w:ascii="Arial" w:hAnsi="Arial" w:cs="Arial"/>
                <w:sz w:val="16"/>
                <w:szCs w:val="16"/>
                <w:lang w:eastAsia="it-IT"/>
              </w:rPr>
              <w:t> </w:t>
            </w:r>
          </w:p>
        </w:tc>
        <w:tc>
          <w:tcPr>
            <w:tcW w:w="72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 </w:t>
            </w:r>
          </w:p>
        </w:tc>
        <w:tc>
          <w:tcPr>
            <w:tcW w:w="960" w:type="dxa"/>
            <w:tcBorders>
              <w:top w:val="nil"/>
              <w:left w:val="nil"/>
              <w:bottom w:val="single" w:sz="4" w:space="0" w:color="auto"/>
              <w:right w:val="single" w:sz="4" w:space="0" w:color="auto"/>
            </w:tcBorders>
            <w:shd w:val="clear" w:color="auto" w:fill="auto"/>
            <w:noWrap/>
            <w:vAlign w:val="center"/>
            <w:hideMark/>
          </w:tcPr>
          <w:p w:rsidR="00BB070E" w:rsidRPr="00BB070E" w:rsidRDefault="00BB070E" w:rsidP="00BB070E">
            <w:pPr>
              <w:spacing w:line="240" w:lineRule="auto"/>
              <w:jc w:val="center"/>
              <w:rPr>
                <w:rFonts w:ascii="Arial" w:hAnsi="Arial" w:cs="Arial"/>
                <w:sz w:val="16"/>
                <w:szCs w:val="16"/>
                <w:lang w:eastAsia="it-IT"/>
              </w:rPr>
            </w:pPr>
            <w:r w:rsidRPr="00BB070E">
              <w:rPr>
                <w:rFonts w:ascii="Arial" w:hAnsi="Arial" w:cs="Arial"/>
                <w:sz w:val="16"/>
                <w:szCs w:val="16"/>
                <w:lang w:eastAsia="it-IT"/>
              </w:rPr>
              <w:t>10.05.16</w:t>
            </w:r>
          </w:p>
        </w:tc>
      </w:tr>
    </w:tbl>
    <w:p w:rsidR="00823440" w:rsidRDefault="00823440">
      <w:pPr>
        <w:rPr>
          <w:rFonts w:ascii="Century Gothic" w:hAnsi="Century Gothic"/>
        </w:rPr>
      </w:pPr>
    </w:p>
    <w:sectPr w:rsidR="00823440" w:rsidSect="00D4120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14" w:rsidRDefault="008C4614" w:rsidP="00F94C52">
      <w:pPr>
        <w:spacing w:line="240" w:lineRule="auto"/>
      </w:pPr>
      <w:r>
        <w:separator/>
      </w:r>
    </w:p>
  </w:endnote>
  <w:endnote w:type="continuationSeparator" w:id="0">
    <w:p w:rsidR="008C4614" w:rsidRDefault="008C4614" w:rsidP="00F94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3517"/>
      <w:docPartObj>
        <w:docPartGallery w:val="Page Numbers (Bottom of Page)"/>
        <w:docPartUnique/>
      </w:docPartObj>
    </w:sdtPr>
    <w:sdtEndPr/>
    <w:sdtContent>
      <w:p w:rsidR="00A64DCB" w:rsidRDefault="0072489D">
        <w:pPr>
          <w:pStyle w:val="Pidipagina"/>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A64DCB" w:rsidRPr="00E857D3" w:rsidRDefault="00A64DCB" w:rsidP="00E857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CB" w:rsidRDefault="00A64DCB">
    <w:pPr>
      <w:pStyle w:val="Pidipagina"/>
    </w:pPr>
  </w:p>
  <w:p w:rsidR="00A64DCB" w:rsidRDefault="00A64D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14" w:rsidRDefault="008C4614" w:rsidP="00F94C52">
      <w:pPr>
        <w:spacing w:line="240" w:lineRule="auto"/>
      </w:pPr>
      <w:r>
        <w:separator/>
      </w:r>
    </w:p>
  </w:footnote>
  <w:footnote w:type="continuationSeparator" w:id="0">
    <w:p w:rsidR="008C4614" w:rsidRDefault="008C4614" w:rsidP="00F94C52">
      <w:pPr>
        <w:spacing w:line="240" w:lineRule="auto"/>
      </w:pPr>
      <w:r>
        <w:continuationSeparator/>
      </w:r>
    </w:p>
  </w:footnote>
  <w:footnote w:id="1">
    <w:p w:rsidR="00A64DCB" w:rsidRPr="007222B5" w:rsidRDefault="00A64DCB" w:rsidP="008B3815">
      <w:pPr>
        <w:pStyle w:val="Testonotaapidipagina"/>
        <w:jc w:val="both"/>
        <w:rPr>
          <w:rFonts w:ascii="Century Gothic" w:hAnsi="Century Gothic"/>
        </w:rPr>
      </w:pPr>
      <w:r>
        <w:rPr>
          <w:rStyle w:val="Rimandonotaapidipagina"/>
        </w:rPr>
        <w:footnoteRef/>
      </w:r>
      <w:r>
        <w:t xml:space="preserve"> </w:t>
      </w:r>
      <w:r w:rsidRPr="00297CCC">
        <w:rPr>
          <w:rFonts w:ascii="Century Gothic" w:hAnsi="Century Gothic"/>
          <w:sz w:val="18"/>
          <w:szCs w:val="18"/>
        </w:rPr>
        <w:t xml:space="preserve">IRES - SPI CGIL – CGIL (2011), </w:t>
      </w:r>
      <w:r w:rsidRPr="00297CCC">
        <w:rPr>
          <w:rFonts w:ascii="Century Gothic" w:hAnsi="Century Gothic"/>
          <w:i/>
          <w:sz w:val="18"/>
          <w:szCs w:val="18"/>
        </w:rPr>
        <w:t>Secondo rapporto sulla contrattazione sociale territoriale</w:t>
      </w:r>
      <w:r w:rsidRPr="00297CCC">
        <w:rPr>
          <w:rFonts w:ascii="Century Gothic" w:hAnsi="Century Gothic"/>
          <w:sz w:val="18"/>
          <w:szCs w:val="18"/>
        </w:rPr>
        <w:t>, Roma</w:t>
      </w:r>
      <w:r>
        <w:rPr>
          <w:rFonts w:ascii="Century Gothic" w:hAnsi="Century Gothic"/>
          <w:sz w:val="18"/>
          <w:szCs w:val="18"/>
        </w:rPr>
        <w:t>, pag.20</w:t>
      </w:r>
      <w:r>
        <w:rPr>
          <w:rFonts w:ascii="Century Gothic" w:hAnsi="Century Gothic"/>
        </w:rPr>
        <w:t xml:space="preserve">. </w:t>
      </w:r>
    </w:p>
  </w:footnote>
  <w:footnote w:id="2">
    <w:p w:rsidR="00A64DCB" w:rsidRDefault="00A64DCB" w:rsidP="00F73B5A">
      <w:pPr>
        <w:spacing w:line="240" w:lineRule="auto"/>
        <w:jc w:val="both"/>
      </w:pPr>
      <w:r>
        <w:rPr>
          <w:rStyle w:val="Rimandonotaapidipagina"/>
        </w:rPr>
        <w:footnoteRef/>
      </w:r>
      <w:r>
        <w:t xml:space="preserve"> </w:t>
      </w:r>
      <w:r w:rsidRPr="00B13F5E">
        <w:rPr>
          <w:rFonts w:ascii="Century Gothic" w:hAnsi="Century Gothic"/>
          <w:sz w:val="18"/>
          <w:szCs w:val="18"/>
        </w:rPr>
        <w:t>Come già menzionato nel rapporto relativo al 2015</w:t>
      </w:r>
      <w:r>
        <w:rPr>
          <w:rFonts w:ascii="Century Gothic" w:hAnsi="Century Gothic"/>
          <w:sz w:val="18"/>
          <w:szCs w:val="18"/>
        </w:rPr>
        <w:t>, p</w:t>
      </w:r>
      <w:r w:rsidRPr="00B13F5E">
        <w:rPr>
          <w:rFonts w:ascii="Century Gothic" w:hAnsi="Century Gothic"/>
          <w:sz w:val="18"/>
          <w:szCs w:val="18"/>
        </w:rPr>
        <w:t>er effettuare un confronto con gli anni precedenti è stato fatto un adeguamento, ossia, anche per il periodo 2009-2014, sono stati considerati accorpati quei comuni in cui si è poi verificata la fusione. Naturalmente per la popolazione coperta non è stato necessario effettuare questo genere di modifica.</w:t>
      </w:r>
      <w:r>
        <w:t xml:space="preserve"> </w:t>
      </w:r>
    </w:p>
  </w:footnote>
  <w:footnote w:id="3">
    <w:p w:rsidR="00A64DCB" w:rsidRDefault="00A64DCB" w:rsidP="00E8028A">
      <w:pPr>
        <w:pStyle w:val="Testonotaapidipagina"/>
      </w:pPr>
      <w:r>
        <w:rPr>
          <w:rStyle w:val="Rimandonotaapidipagina"/>
        </w:rPr>
        <w:footnoteRef/>
      </w:r>
      <w:r>
        <w:t xml:space="preserve"> </w:t>
      </w:r>
      <w:r w:rsidRPr="00F20B1B">
        <w:rPr>
          <w:rFonts w:ascii="Century Gothic" w:hAnsi="Century Gothic"/>
          <w:sz w:val="18"/>
          <w:szCs w:val="18"/>
        </w:rPr>
        <w:t>La definizione di accordo nelle sue varie accezioni e definizioni è trattata nel capitolo 1</w:t>
      </w:r>
      <w:r>
        <w:rPr>
          <w:rFonts w:ascii="Century Gothic" w:hAnsi="Century Gothic"/>
          <w:sz w:val="18"/>
          <w:szCs w:val="18"/>
        </w:rPr>
        <w:t xml:space="preserve"> sulla metodologia.</w:t>
      </w:r>
    </w:p>
  </w:footnote>
  <w:footnote w:id="4">
    <w:p w:rsidR="00A64DCB" w:rsidRDefault="00A64DCB" w:rsidP="003D2D6D">
      <w:pPr>
        <w:pStyle w:val="Testonotaapidipagina"/>
        <w:jc w:val="both"/>
      </w:pPr>
      <w:r>
        <w:rPr>
          <w:rStyle w:val="Rimandonotaapidipagina"/>
        </w:rPr>
        <w:footnoteRef/>
      </w:r>
      <w:r>
        <w:t xml:space="preserve"> </w:t>
      </w:r>
      <w:r w:rsidRPr="003D2D6D">
        <w:rPr>
          <w:rFonts w:ascii="Century Gothic" w:hAnsi="Century Gothic"/>
          <w:sz w:val="18"/>
          <w:szCs w:val="18"/>
        </w:rPr>
        <w:t>E’ opportuno segnalare che</w:t>
      </w:r>
      <w:r>
        <w:rPr>
          <w:rFonts w:ascii="Century Gothic" w:hAnsi="Century Gothic"/>
          <w:sz w:val="18"/>
          <w:szCs w:val="18"/>
        </w:rPr>
        <w:t>,</w:t>
      </w:r>
      <w:r w:rsidRPr="003D2D6D">
        <w:rPr>
          <w:rFonts w:ascii="Century Gothic" w:hAnsi="Century Gothic"/>
          <w:sz w:val="18"/>
          <w:szCs w:val="18"/>
        </w:rPr>
        <w:t xml:space="preserve"> dato che si parla di copertura dei comuni e della popolazione nel 2016</w:t>
      </w:r>
      <w:r>
        <w:rPr>
          <w:rFonts w:ascii="Century Gothic" w:hAnsi="Century Gothic"/>
          <w:sz w:val="18"/>
          <w:szCs w:val="18"/>
        </w:rPr>
        <w:t>,</w:t>
      </w:r>
      <w:r w:rsidRPr="003D2D6D">
        <w:rPr>
          <w:rFonts w:ascii="Century Gothic" w:hAnsi="Century Gothic"/>
          <w:sz w:val="18"/>
          <w:szCs w:val="18"/>
        </w:rPr>
        <w:t xml:space="preserve"> sono stati considerati due accordi sottoscritti in anni precedenti: uno nella provincia di Firenze (Fucecchio siglato alla fine del 2014 con valenza fino al 2017; uno nella provincia di Livorno (Rosignano Marittimo con valenza 2015-2018). </w:t>
      </w:r>
    </w:p>
  </w:footnote>
  <w:footnote w:id="5">
    <w:p w:rsidR="00A64DCB" w:rsidRPr="00DA6AF6" w:rsidRDefault="00A64DCB" w:rsidP="00DA6AF6">
      <w:pPr>
        <w:pStyle w:val="Testonotaapidipagina"/>
        <w:jc w:val="both"/>
        <w:rPr>
          <w:rFonts w:ascii="Century Gothic" w:hAnsi="Century Gothic"/>
          <w:sz w:val="18"/>
          <w:szCs w:val="18"/>
        </w:rPr>
      </w:pPr>
      <w:r>
        <w:rPr>
          <w:rStyle w:val="Rimandonotaapidipagina"/>
        </w:rPr>
        <w:footnoteRef/>
      </w:r>
      <w:r>
        <w:t xml:space="preserve"> </w:t>
      </w:r>
      <w:r>
        <w:rPr>
          <w:rFonts w:ascii="Century Gothic" w:hAnsi="Century Gothic"/>
          <w:sz w:val="18"/>
          <w:szCs w:val="18"/>
        </w:rPr>
        <w:t xml:space="preserve">Infatti, </w:t>
      </w:r>
      <w:r w:rsidRPr="00293A4C">
        <w:rPr>
          <w:rFonts w:ascii="Century Gothic" w:hAnsi="Century Gothic"/>
          <w:sz w:val="18"/>
          <w:szCs w:val="18"/>
        </w:rPr>
        <w:t>in passato, l’attività di contrattazione sociale ha riguardato prevalentemente l’ambito sanitario</w:t>
      </w:r>
      <w:r>
        <w:rPr>
          <w:rFonts w:ascii="Century Gothic" w:hAnsi="Century Gothic"/>
          <w:sz w:val="18"/>
          <w:szCs w:val="18"/>
        </w:rPr>
        <w:t xml:space="preserve">: nel 2011 con la collaborazione con la nascente SDS della Lunigiana; </w:t>
      </w:r>
      <w:r w:rsidRPr="00293A4C">
        <w:rPr>
          <w:rFonts w:ascii="Century Gothic" w:hAnsi="Century Gothic"/>
          <w:sz w:val="18"/>
          <w:szCs w:val="18"/>
        </w:rPr>
        <w:t xml:space="preserve">nel 2012 </w:t>
      </w:r>
      <w:r>
        <w:rPr>
          <w:rFonts w:ascii="Century Gothic" w:hAnsi="Century Gothic"/>
          <w:sz w:val="18"/>
          <w:szCs w:val="18"/>
        </w:rPr>
        <w:t xml:space="preserve">e </w:t>
      </w:r>
      <w:r w:rsidRPr="00293A4C">
        <w:rPr>
          <w:rFonts w:ascii="Century Gothic" w:hAnsi="Century Gothic"/>
          <w:sz w:val="18"/>
          <w:szCs w:val="18"/>
        </w:rPr>
        <w:t>ne</w:t>
      </w:r>
      <w:r>
        <w:rPr>
          <w:rFonts w:ascii="Century Gothic" w:hAnsi="Century Gothic"/>
          <w:sz w:val="18"/>
          <w:szCs w:val="18"/>
        </w:rPr>
        <w:t xml:space="preserve">l 2013, </w:t>
      </w:r>
      <w:r w:rsidRPr="00293A4C">
        <w:rPr>
          <w:rFonts w:ascii="Century Gothic" w:hAnsi="Century Gothic"/>
          <w:sz w:val="18"/>
          <w:szCs w:val="18"/>
        </w:rPr>
        <w:t xml:space="preserve">di fronte alla crisi concernente alcune ASL, </w:t>
      </w:r>
      <w:r>
        <w:rPr>
          <w:rFonts w:ascii="Century Gothic" w:hAnsi="Century Gothic"/>
          <w:sz w:val="18"/>
          <w:szCs w:val="18"/>
        </w:rPr>
        <w:t>con incontri con le ASL</w:t>
      </w:r>
      <w:r w:rsidRPr="00293A4C">
        <w:rPr>
          <w:rFonts w:ascii="Century Gothic" w:hAnsi="Century Gothic"/>
          <w:sz w:val="18"/>
          <w:szCs w:val="18"/>
        </w:rPr>
        <w:t xml:space="preserve"> </w:t>
      </w:r>
      <w:r>
        <w:rPr>
          <w:rFonts w:ascii="Century Gothic" w:hAnsi="Century Gothic"/>
          <w:sz w:val="18"/>
          <w:szCs w:val="18"/>
        </w:rPr>
        <w:t xml:space="preserve">e </w:t>
      </w:r>
      <w:r w:rsidRPr="00293A4C">
        <w:rPr>
          <w:rFonts w:ascii="Century Gothic" w:hAnsi="Century Gothic"/>
          <w:sz w:val="18"/>
          <w:szCs w:val="18"/>
        </w:rPr>
        <w:t>con la sigla di verbali di incontro assimilabili ad accordi, che interessavano 4 co</w:t>
      </w:r>
      <w:r>
        <w:rPr>
          <w:rFonts w:ascii="Century Gothic" w:hAnsi="Century Gothic"/>
          <w:sz w:val="18"/>
          <w:szCs w:val="18"/>
        </w:rPr>
        <w:t>muni.</w:t>
      </w:r>
    </w:p>
  </w:footnote>
  <w:footnote w:id="6">
    <w:p w:rsidR="00A64DCB" w:rsidRDefault="00A64DCB" w:rsidP="001F44AE">
      <w:pPr>
        <w:spacing w:line="240" w:lineRule="auto"/>
        <w:jc w:val="both"/>
      </w:pPr>
      <w:r>
        <w:rPr>
          <w:rStyle w:val="Rimandonotaapidipagina"/>
        </w:rPr>
        <w:footnoteRef/>
      </w:r>
      <w:r>
        <w:t xml:space="preserve"> </w:t>
      </w:r>
      <w:r w:rsidRPr="003978CC">
        <w:rPr>
          <w:rFonts w:ascii="Century Gothic" w:hAnsi="Century Gothic"/>
          <w:sz w:val="18"/>
          <w:szCs w:val="18"/>
        </w:rPr>
        <w:t xml:space="preserve">In particolare si veda Fondazione Di Vittorio - SPI CGIL – CGIL (2015), </w:t>
      </w:r>
      <w:r w:rsidRPr="003978CC">
        <w:rPr>
          <w:rFonts w:ascii="Century Gothic" w:hAnsi="Century Gothic"/>
          <w:i/>
          <w:sz w:val="18"/>
          <w:szCs w:val="18"/>
        </w:rPr>
        <w:t>Sesto rapporto sulla contrattazione sociale territoriale</w:t>
      </w:r>
      <w:r w:rsidRPr="003978CC">
        <w:rPr>
          <w:rFonts w:ascii="Century Gothic" w:hAnsi="Century Gothic"/>
          <w:sz w:val="18"/>
          <w:szCs w:val="18"/>
        </w:rPr>
        <w:t>, Roma</w:t>
      </w:r>
      <w:r>
        <w:rPr>
          <w:rFonts w:ascii="Century Gothic" w:hAnsi="Century Gothic"/>
          <w:sz w:val="18"/>
          <w:szCs w:val="18"/>
        </w:rPr>
        <w:t xml:space="preserve">, pag. 49; </w:t>
      </w:r>
      <w:r w:rsidRPr="003978CC">
        <w:rPr>
          <w:rFonts w:ascii="Century Gothic" w:hAnsi="Century Gothic"/>
          <w:sz w:val="18"/>
          <w:szCs w:val="18"/>
        </w:rPr>
        <w:t xml:space="preserve">Fondazione Di Vittorio - SPI CGIL – CGIL (2016), </w:t>
      </w:r>
      <w:r w:rsidRPr="003978CC">
        <w:rPr>
          <w:rFonts w:ascii="Century Gothic" w:hAnsi="Century Gothic"/>
          <w:i/>
          <w:sz w:val="18"/>
          <w:szCs w:val="18"/>
        </w:rPr>
        <w:t>Settimo rapporto sulla contrattazione sociale territoriale</w:t>
      </w:r>
      <w:r w:rsidRPr="003978CC">
        <w:rPr>
          <w:rFonts w:ascii="Century Gothic" w:hAnsi="Century Gothic"/>
          <w:sz w:val="18"/>
          <w:szCs w:val="18"/>
        </w:rPr>
        <w:t>, Roma</w:t>
      </w:r>
      <w:r>
        <w:rPr>
          <w:rFonts w:ascii="Century Gothic" w:hAnsi="Century Gothic"/>
          <w:sz w:val="18"/>
          <w:szCs w:val="18"/>
        </w:rPr>
        <w:t>, pag. 48</w:t>
      </w:r>
      <w:r w:rsidRPr="003978CC">
        <w:rPr>
          <w:rFonts w:ascii="Century Gothic" w:hAnsi="Century Gothic"/>
          <w:sz w:val="18"/>
          <w:szCs w:val="18"/>
        </w:rPr>
        <w:t>.</w:t>
      </w:r>
      <w:r>
        <w:t xml:space="preserve"> </w:t>
      </w:r>
    </w:p>
  </w:footnote>
  <w:footnote w:id="7">
    <w:p w:rsidR="00A64DCB" w:rsidRDefault="00A64DCB">
      <w:pPr>
        <w:pStyle w:val="Testonotaapidipagina"/>
      </w:pPr>
      <w:r>
        <w:rPr>
          <w:rStyle w:val="Rimandonotaapidipagina"/>
        </w:rPr>
        <w:footnoteRef/>
      </w:r>
      <w:r>
        <w:t xml:space="preserve"> </w:t>
      </w:r>
      <w:r w:rsidRPr="001F44AE">
        <w:rPr>
          <w:rFonts w:ascii="Century Gothic" w:hAnsi="Century Gothic"/>
          <w:sz w:val="18"/>
          <w:szCs w:val="18"/>
        </w:rPr>
        <w:t>Si veda Fondazione Di Vittorio - SPI CGIL – CGIL (2016),op. cit., pag 48.</w:t>
      </w:r>
    </w:p>
  </w:footnote>
  <w:footnote w:id="8">
    <w:p w:rsidR="00A64DCB" w:rsidRDefault="00A64DCB">
      <w:pPr>
        <w:pStyle w:val="Testonotaapidipagina"/>
      </w:pPr>
      <w:r>
        <w:rPr>
          <w:rStyle w:val="Rimandonotaapidipagina"/>
        </w:rPr>
        <w:footnoteRef/>
      </w:r>
      <w:r>
        <w:t xml:space="preserve"> </w:t>
      </w:r>
      <w:r w:rsidRPr="00DB5042">
        <w:rPr>
          <w:rFonts w:ascii="Century Gothic" w:hAnsi="Century Gothic"/>
          <w:sz w:val="18"/>
          <w:szCs w:val="18"/>
        </w:rPr>
        <w:t>In particolare si veda Fondazione Di Vittorio - SPI CGIL – CGIL (2016),op. cit., pag</w:t>
      </w:r>
      <w:r>
        <w:rPr>
          <w:rFonts w:ascii="Century Gothic" w:hAnsi="Century Gothic"/>
          <w:sz w:val="18"/>
          <w:szCs w:val="18"/>
        </w:rPr>
        <w:t>.</w:t>
      </w:r>
      <w:r w:rsidRPr="00DB5042">
        <w:rPr>
          <w:rFonts w:ascii="Century Gothic" w:hAnsi="Century Gothic"/>
          <w:sz w:val="18"/>
          <w:szCs w:val="18"/>
        </w:rPr>
        <w:t xml:space="preserve"> </w:t>
      </w:r>
      <w:r>
        <w:rPr>
          <w:rFonts w:ascii="Century Gothic" w:hAnsi="Century Gothic"/>
          <w:sz w:val="18"/>
          <w:szCs w:val="18"/>
        </w:rPr>
        <w:t>43</w:t>
      </w:r>
      <w:r w:rsidRPr="001F44AE">
        <w:rPr>
          <w:rFonts w:ascii="Century Gothic" w:hAnsi="Century Gothic"/>
          <w:sz w:val="18"/>
          <w:szCs w:val="18"/>
        </w:rPr>
        <w:t>.</w:t>
      </w:r>
    </w:p>
  </w:footnote>
  <w:footnote w:id="9">
    <w:p w:rsidR="00A64DCB" w:rsidRDefault="00A64DCB" w:rsidP="005A1382">
      <w:pPr>
        <w:pStyle w:val="Testonotaapidipagina"/>
      </w:pPr>
      <w:r w:rsidRPr="00DB5042">
        <w:rPr>
          <w:rStyle w:val="Rimandonotaapidipagina"/>
        </w:rPr>
        <w:footnoteRef/>
      </w:r>
      <w:r w:rsidRPr="00DB5042">
        <w:t xml:space="preserve"> </w:t>
      </w:r>
      <w:r w:rsidRPr="00DB5042">
        <w:rPr>
          <w:rFonts w:ascii="Century Gothic" w:hAnsi="Century Gothic"/>
          <w:sz w:val="18"/>
          <w:szCs w:val="18"/>
        </w:rPr>
        <w:t>Si veda</w:t>
      </w:r>
      <w:r w:rsidRPr="00DB5042">
        <w:t xml:space="preserve"> </w:t>
      </w:r>
      <w:r w:rsidRPr="00DB5042">
        <w:rPr>
          <w:rFonts w:ascii="Century Gothic" w:hAnsi="Century Gothic"/>
          <w:sz w:val="18"/>
          <w:szCs w:val="18"/>
        </w:rPr>
        <w:t>Fondazione Di Vittorio - SPI CGIL – CGIL (2015), op.</w:t>
      </w:r>
      <w:r>
        <w:rPr>
          <w:rFonts w:ascii="Century Gothic" w:hAnsi="Century Gothic"/>
          <w:sz w:val="18"/>
          <w:szCs w:val="18"/>
        </w:rPr>
        <w:t xml:space="preserve"> </w:t>
      </w:r>
      <w:r w:rsidRPr="00DB5042">
        <w:rPr>
          <w:rFonts w:ascii="Century Gothic" w:hAnsi="Century Gothic"/>
          <w:sz w:val="18"/>
          <w:szCs w:val="18"/>
        </w:rPr>
        <w:t>cit. pag.34</w:t>
      </w:r>
      <w:r>
        <w:rPr>
          <w:rFonts w:ascii="Century Gothic" w:hAnsi="Century Gothic"/>
          <w:sz w:val="18"/>
          <w:szCs w:val="18"/>
        </w:rPr>
        <w:t xml:space="preserve">; </w:t>
      </w:r>
      <w:r w:rsidRPr="00DB5042">
        <w:rPr>
          <w:rFonts w:ascii="Century Gothic" w:hAnsi="Century Gothic"/>
          <w:sz w:val="18"/>
          <w:szCs w:val="18"/>
        </w:rPr>
        <w:t>Fondazione Di Vittorio - SPI CGIL – CGIL (2016),op. cit., pag. 40.</w:t>
      </w:r>
    </w:p>
  </w:footnote>
  <w:footnote w:id="10">
    <w:p w:rsidR="00A64DCB" w:rsidRDefault="00A64DCB">
      <w:pPr>
        <w:pStyle w:val="Testonotaapidipagina"/>
      </w:pPr>
      <w:r>
        <w:rPr>
          <w:rStyle w:val="Rimandonotaapidipagina"/>
        </w:rPr>
        <w:footnoteRef/>
      </w:r>
      <w:r>
        <w:t xml:space="preserve"> </w:t>
      </w:r>
      <w:r w:rsidRPr="00DB5042">
        <w:rPr>
          <w:rFonts w:ascii="Century Gothic" w:hAnsi="Century Gothic"/>
          <w:sz w:val="18"/>
          <w:szCs w:val="18"/>
        </w:rPr>
        <w:t>Si veda</w:t>
      </w:r>
      <w:r w:rsidRPr="00DB5042">
        <w:t xml:space="preserve"> </w:t>
      </w:r>
      <w:r w:rsidRPr="00DB5042">
        <w:rPr>
          <w:rFonts w:ascii="Century Gothic" w:hAnsi="Century Gothic"/>
          <w:sz w:val="18"/>
          <w:szCs w:val="18"/>
        </w:rPr>
        <w:t>Fondazione Di Vittorio - SPI CGIL – CGIL (2015), op.</w:t>
      </w:r>
      <w:r>
        <w:rPr>
          <w:rFonts w:ascii="Century Gothic" w:hAnsi="Century Gothic"/>
          <w:sz w:val="18"/>
          <w:szCs w:val="18"/>
        </w:rPr>
        <w:t xml:space="preserve"> </w:t>
      </w:r>
      <w:r w:rsidRPr="00DB5042">
        <w:rPr>
          <w:rFonts w:ascii="Century Gothic" w:hAnsi="Century Gothic"/>
          <w:sz w:val="18"/>
          <w:szCs w:val="18"/>
        </w:rPr>
        <w:t>cit. pag.</w:t>
      </w:r>
      <w:r>
        <w:rPr>
          <w:rFonts w:ascii="Century Gothic" w:hAnsi="Century Gothic"/>
          <w:sz w:val="18"/>
          <w:szCs w:val="18"/>
        </w:rPr>
        <w:t xml:space="preserve"> 44; </w:t>
      </w:r>
      <w:r w:rsidRPr="00DB5042">
        <w:rPr>
          <w:rFonts w:ascii="Century Gothic" w:hAnsi="Century Gothic"/>
          <w:sz w:val="18"/>
          <w:szCs w:val="18"/>
        </w:rPr>
        <w:t>Fondazione Di Vittorio - SPI CGIL – CGIL (2016),op. cit., pag.</w:t>
      </w:r>
      <w:r>
        <w:rPr>
          <w:rFonts w:ascii="Century Gothic" w:hAnsi="Century Gothic"/>
          <w:sz w:val="18"/>
          <w:szCs w:val="18"/>
        </w:rPr>
        <w:t>45</w:t>
      </w:r>
      <w:r w:rsidRPr="00DB5042">
        <w:rPr>
          <w:rFonts w:ascii="Century Gothic" w:hAnsi="Century Gothic"/>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10EA2266"/>
    <w:multiLevelType w:val="hybridMultilevel"/>
    <w:tmpl w:val="A3881818"/>
    <w:lvl w:ilvl="0" w:tplc="D54C602C">
      <w:start w:val="1"/>
      <w:numFmt w:val="bullet"/>
      <w:lvlText w:val="•"/>
      <w:lvlJc w:val="left"/>
      <w:pPr>
        <w:tabs>
          <w:tab w:val="num" w:pos="720"/>
        </w:tabs>
        <w:ind w:left="720" w:hanging="360"/>
      </w:pPr>
      <w:rPr>
        <w:rFonts w:ascii="Arial" w:hAnsi="Arial" w:hint="default"/>
      </w:rPr>
    </w:lvl>
    <w:lvl w:ilvl="1" w:tplc="D12C3D4C" w:tentative="1">
      <w:start w:val="1"/>
      <w:numFmt w:val="bullet"/>
      <w:lvlText w:val="•"/>
      <w:lvlJc w:val="left"/>
      <w:pPr>
        <w:tabs>
          <w:tab w:val="num" w:pos="1440"/>
        </w:tabs>
        <w:ind w:left="1440" w:hanging="360"/>
      </w:pPr>
      <w:rPr>
        <w:rFonts w:ascii="Arial" w:hAnsi="Arial" w:hint="default"/>
      </w:rPr>
    </w:lvl>
    <w:lvl w:ilvl="2" w:tplc="FB602BA4" w:tentative="1">
      <w:start w:val="1"/>
      <w:numFmt w:val="bullet"/>
      <w:lvlText w:val="•"/>
      <w:lvlJc w:val="left"/>
      <w:pPr>
        <w:tabs>
          <w:tab w:val="num" w:pos="2160"/>
        </w:tabs>
        <w:ind w:left="2160" w:hanging="360"/>
      </w:pPr>
      <w:rPr>
        <w:rFonts w:ascii="Arial" w:hAnsi="Arial" w:hint="default"/>
      </w:rPr>
    </w:lvl>
    <w:lvl w:ilvl="3" w:tplc="B39CFFF6" w:tentative="1">
      <w:start w:val="1"/>
      <w:numFmt w:val="bullet"/>
      <w:lvlText w:val="•"/>
      <w:lvlJc w:val="left"/>
      <w:pPr>
        <w:tabs>
          <w:tab w:val="num" w:pos="2880"/>
        </w:tabs>
        <w:ind w:left="2880" w:hanging="360"/>
      </w:pPr>
      <w:rPr>
        <w:rFonts w:ascii="Arial" w:hAnsi="Arial" w:hint="default"/>
      </w:rPr>
    </w:lvl>
    <w:lvl w:ilvl="4" w:tplc="209093FE" w:tentative="1">
      <w:start w:val="1"/>
      <w:numFmt w:val="bullet"/>
      <w:lvlText w:val="•"/>
      <w:lvlJc w:val="left"/>
      <w:pPr>
        <w:tabs>
          <w:tab w:val="num" w:pos="3600"/>
        </w:tabs>
        <w:ind w:left="3600" w:hanging="360"/>
      </w:pPr>
      <w:rPr>
        <w:rFonts w:ascii="Arial" w:hAnsi="Arial" w:hint="default"/>
      </w:rPr>
    </w:lvl>
    <w:lvl w:ilvl="5" w:tplc="19A65F94" w:tentative="1">
      <w:start w:val="1"/>
      <w:numFmt w:val="bullet"/>
      <w:lvlText w:val="•"/>
      <w:lvlJc w:val="left"/>
      <w:pPr>
        <w:tabs>
          <w:tab w:val="num" w:pos="4320"/>
        </w:tabs>
        <w:ind w:left="4320" w:hanging="360"/>
      </w:pPr>
      <w:rPr>
        <w:rFonts w:ascii="Arial" w:hAnsi="Arial" w:hint="default"/>
      </w:rPr>
    </w:lvl>
    <w:lvl w:ilvl="6" w:tplc="200812FE" w:tentative="1">
      <w:start w:val="1"/>
      <w:numFmt w:val="bullet"/>
      <w:lvlText w:val="•"/>
      <w:lvlJc w:val="left"/>
      <w:pPr>
        <w:tabs>
          <w:tab w:val="num" w:pos="5040"/>
        </w:tabs>
        <w:ind w:left="5040" w:hanging="360"/>
      </w:pPr>
      <w:rPr>
        <w:rFonts w:ascii="Arial" w:hAnsi="Arial" w:hint="default"/>
      </w:rPr>
    </w:lvl>
    <w:lvl w:ilvl="7" w:tplc="15D633E4" w:tentative="1">
      <w:start w:val="1"/>
      <w:numFmt w:val="bullet"/>
      <w:lvlText w:val="•"/>
      <w:lvlJc w:val="left"/>
      <w:pPr>
        <w:tabs>
          <w:tab w:val="num" w:pos="5760"/>
        </w:tabs>
        <w:ind w:left="5760" w:hanging="360"/>
      </w:pPr>
      <w:rPr>
        <w:rFonts w:ascii="Arial" w:hAnsi="Arial" w:hint="default"/>
      </w:rPr>
    </w:lvl>
    <w:lvl w:ilvl="8" w:tplc="0C64AB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13BC4"/>
    <w:multiLevelType w:val="multilevel"/>
    <w:tmpl w:val="C268886C"/>
    <w:lvl w:ilvl="0">
      <w:start w:val="2"/>
      <w:numFmt w:val="decimal"/>
      <w:lvlText w:val="%1"/>
      <w:lvlJc w:val="left"/>
      <w:pPr>
        <w:tabs>
          <w:tab w:val="num" w:pos="432"/>
        </w:tabs>
        <w:ind w:left="432" w:hanging="432"/>
      </w:pPr>
    </w:lvl>
    <w:lvl w:ilvl="1">
      <w:start w:val="1"/>
      <w:numFmt w:val="decimal"/>
      <w:pStyle w:val="FORMTITOLO2"/>
      <w:lvlText w:val="%1.%2"/>
      <w:lvlJc w:val="left"/>
      <w:pPr>
        <w:tabs>
          <w:tab w:val="num" w:pos="1002"/>
        </w:tabs>
        <w:ind w:left="1002" w:hanging="576"/>
      </w:pPr>
      <w:rPr>
        <w:rFonts w:ascii="Garamond" w:hAnsi="Garamond" w:hint="default"/>
        <w:b/>
        <w:i w:val="0"/>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Restart w:val="0"/>
      <w:pStyle w:val="FORMTITOLOTABELLA"/>
      <w:lvlText w:val="Tabella %6"/>
      <w:lvlJc w:val="left"/>
      <w:pPr>
        <w:tabs>
          <w:tab w:val="num" w:pos="1800"/>
        </w:tabs>
        <w:ind w:left="1152" w:hanging="1152"/>
      </w:pPr>
    </w:lvl>
    <w:lvl w:ilvl="6">
      <w:start w:val="1"/>
      <w:numFmt w:val="decimal"/>
      <w:lvlRestart w:val="0"/>
      <w:lvlText w:val="Figura %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3B3799"/>
    <w:multiLevelType w:val="hybridMultilevel"/>
    <w:tmpl w:val="FBACAF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0919C4"/>
    <w:multiLevelType w:val="hybridMultilevel"/>
    <w:tmpl w:val="3A2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A4331A"/>
    <w:multiLevelType w:val="hybridMultilevel"/>
    <w:tmpl w:val="5912808E"/>
    <w:lvl w:ilvl="0" w:tplc="6E74CBB4">
      <w:start w:val="1"/>
      <w:numFmt w:val="bullet"/>
      <w:lvlText w:val="•"/>
      <w:lvlJc w:val="left"/>
      <w:pPr>
        <w:tabs>
          <w:tab w:val="num" w:pos="720"/>
        </w:tabs>
        <w:ind w:left="720" w:hanging="360"/>
      </w:pPr>
      <w:rPr>
        <w:rFonts w:ascii="Times New Roman" w:hAnsi="Times New Roman" w:hint="default"/>
      </w:rPr>
    </w:lvl>
    <w:lvl w:ilvl="1" w:tplc="4B9C0E62" w:tentative="1">
      <w:start w:val="1"/>
      <w:numFmt w:val="bullet"/>
      <w:lvlText w:val="•"/>
      <w:lvlJc w:val="left"/>
      <w:pPr>
        <w:tabs>
          <w:tab w:val="num" w:pos="1440"/>
        </w:tabs>
        <w:ind w:left="1440" w:hanging="360"/>
      </w:pPr>
      <w:rPr>
        <w:rFonts w:ascii="Times New Roman" w:hAnsi="Times New Roman" w:hint="default"/>
      </w:rPr>
    </w:lvl>
    <w:lvl w:ilvl="2" w:tplc="44ACECC0" w:tentative="1">
      <w:start w:val="1"/>
      <w:numFmt w:val="bullet"/>
      <w:lvlText w:val="•"/>
      <w:lvlJc w:val="left"/>
      <w:pPr>
        <w:tabs>
          <w:tab w:val="num" w:pos="2160"/>
        </w:tabs>
        <w:ind w:left="2160" w:hanging="360"/>
      </w:pPr>
      <w:rPr>
        <w:rFonts w:ascii="Times New Roman" w:hAnsi="Times New Roman" w:hint="default"/>
      </w:rPr>
    </w:lvl>
    <w:lvl w:ilvl="3" w:tplc="01BE1A5E" w:tentative="1">
      <w:start w:val="1"/>
      <w:numFmt w:val="bullet"/>
      <w:lvlText w:val="•"/>
      <w:lvlJc w:val="left"/>
      <w:pPr>
        <w:tabs>
          <w:tab w:val="num" w:pos="2880"/>
        </w:tabs>
        <w:ind w:left="2880" w:hanging="360"/>
      </w:pPr>
      <w:rPr>
        <w:rFonts w:ascii="Times New Roman" w:hAnsi="Times New Roman" w:hint="default"/>
      </w:rPr>
    </w:lvl>
    <w:lvl w:ilvl="4" w:tplc="110696DC" w:tentative="1">
      <w:start w:val="1"/>
      <w:numFmt w:val="bullet"/>
      <w:lvlText w:val="•"/>
      <w:lvlJc w:val="left"/>
      <w:pPr>
        <w:tabs>
          <w:tab w:val="num" w:pos="3600"/>
        </w:tabs>
        <w:ind w:left="3600" w:hanging="360"/>
      </w:pPr>
      <w:rPr>
        <w:rFonts w:ascii="Times New Roman" w:hAnsi="Times New Roman" w:hint="default"/>
      </w:rPr>
    </w:lvl>
    <w:lvl w:ilvl="5" w:tplc="14E885EA" w:tentative="1">
      <w:start w:val="1"/>
      <w:numFmt w:val="bullet"/>
      <w:lvlText w:val="•"/>
      <w:lvlJc w:val="left"/>
      <w:pPr>
        <w:tabs>
          <w:tab w:val="num" w:pos="4320"/>
        </w:tabs>
        <w:ind w:left="4320" w:hanging="360"/>
      </w:pPr>
      <w:rPr>
        <w:rFonts w:ascii="Times New Roman" w:hAnsi="Times New Roman" w:hint="default"/>
      </w:rPr>
    </w:lvl>
    <w:lvl w:ilvl="6" w:tplc="CE1C7C68" w:tentative="1">
      <w:start w:val="1"/>
      <w:numFmt w:val="bullet"/>
      <w:lvlText w:val="•"/>
      <w:lvlJc w:val="left"/>
      <w:pPr>
        <w:tabs>
          <w:tab w:val="num" w:pos="5040"/>
        </w:tabs>
        <w:ind w:left="5040" w:hanging="360"/>
      </w:pPr>
      <w:rPr>
        <w:rFonts w:ascii="Times New Roman" w:hAnsi="Times New Roman" w:hint="default"/>
      </w:rPr>
    </w:lvl>
    <w:lvl w:ilvl="7" w:tplc="1BD06026" w:tentative="1">
      <w:start w:val="1"/>
      <w:numFmt w:val="bullet"/>
      <w:lvlText w:val="•"/>
      <w:lvlJc w:val="left"/>
      <w:pPr>
        <w:tabs>
          <w:tab w:val="num" w:pos="5760"/>
        </w:tabs>
        <w:ind w:left="5760" w:hanging="360"/>
      </w:pPr>
      <w:rPr>
        <w:rFonts w:ascii="Times New Roman" w:hAnsi="Times New Roman" w:hint="default"/>
      </w:rPr>
    </w:lvl>
    <w:lvl w:ilvl="8" w:tplc="EF7031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400E7B"/>
    <w:multiLevelType w:val="multilevel"/>
    <w:tmpl w:val="760E649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F42FA"/>
    <w:multiLevelType w:val="hybridMultilevel"/>
    <w:tmpl w:val="64BC1EC8"/>
    <w:lvl w:ilvl="0" w:tplc="2E246F5C">
      <w:start w:val="1"/>
      <w:numFmt w:val="bullet"/>
      <w:lvlText w:val="•"/>
      <w:lvlJc w:val="left"/>
      <w:pPr>
        <w:tabs>
          <w:tab w:val="num" w:pos="720"/>
        </w:tabs>
        <w:ind w:left="720" w:hanging="360"/>
      </w:pPr>
      <w:rPr>
        <w:rFonts w:ascii="Arial" w:hAnsi="Arial" w:hint="default"/>
      </w:rPr>
    </w:lvl>
    <w:lvl w:ilvl="1" w:tplc="865031F0" w:tentative="1">
      <w:start w:val="1"/>
      <w:numFmt w:val="bullet"/>
      <w:lvlText w:val="•"/>
      <w:lvlJc w:val="left"/>
      <w:pPr>
        <w:tabs>
          <w:tab w:val="num" w:pos="1440"/>
        </w:tabs>
        <w:ind w:left="1440" w:hanging="360"/>
      </w:pPr>
      <w:rPr>
        <w:rFonts w:ascii="Arial" w:hAnsi="Arial" w:hint="default"/>
      </w:rPr>
    </w:lvl>
    <w:lvl w:ilvl="2" w:tplc="1ABABCCC" w:tentative="1">
      <w:start w:val="1"/>
      <w:numFmt w:val="bullet"/>
      <w:lvlText w:val="•"/>
      <w:lvlJc w:val="left"/>
      <w:pPr>
        <w:tabs>
          <w:tab w:val="num" w:pos="2160"/>
        </w:tabs>
        <w:ind w:left="2160" w:hanging="360"/>
      </w:pPr>
      <w:rPr>
        <w:rFonts w:ascii="Arial" w:hAnsi="Arial" w:hint="default"/>
      </w:rPr>
    </w:lvl>
    <w:lvl w:ilvl="3" w:tplc="67767DC2" w:tentative="1">
      <w:start w:val="1"/>
      <w:numFmt w:val="bullet"/>
      <w:lvlText w:val="•"/>
      <w:lvlJc w:val="left"/>
      <w:pPr>
        <w:tabs>
          <w:tab w:val="num" w:pos="2880"/>
        </w:tabs>
        <w:ind w:left="2880" w:hanging="360"/>
      </w:pPr>
      <w:rPr>
        <w:rFonts w:ascii="Arial" w:hAnsi="Arial" w:hint="default"/>
      </w:rPr>
    </w:lvl>
    <w:lvl w:ilvl="4" w:tplc="0802B664" w:tentative="1">
      <w:start w:val="1"/>
      <w:numFmt w:val="bullet"/>
      <w:lvlText w:val="•"/>
      <w:lvlJc w:val="left"/>
      <w:pPr>
        <w:tabs>
          <w:tab w:val="num" w:pos="3600"/>
        </w:tabs>
        <w:ind w:left="3600" w:hanging="360"/>
      </w:pPr>
      <w:rPr>
        <w:rFonts w:ascii="Arial" w:hAnsi="Arial" w:hint="default"/>
      </w:rPr>
    </w:lvl>
    <w:lvl w:ilvl="5" w:tplc="883001EE" w:tentative="1">
      <w:start w:val="1"/>
      <w:numFmt w:val="bullet"/>
      <w:lvlText w:val="•"/>
      <w:lvlJc w:val="left"/>
      <w:pPr>
        <w:tabs>
          <w:tab w:val="num" w:pos="4320"/>
        </w:tabs>
        <w:ind w:left="4320" w:hanging="360"/>
      </w:pPr>
      <w:rPr>
        <w:rFonts w:ascii="Arial" w:hAnsi="Arial" w:hint="default"/>
      </w:rPr>
    </w:lvl>
    <w:lvl w:ilvl="6" w:tplc="54A017E6" w:tentative="1">
      <w:start w:val="1"/>
      <w:numFmt w:val="bullet"/>
      <w:lvlText w:val="•"/>
      <w:lvlJc w:val="left"/>
      <w:pPr>
        <w:tabs>
          <w:tab w:val="num" w:pos="5040"/>
        </w:tabs>
        <w:ind w:left="5040" w:hanging="360"/>
      </w:pPr>
      <w:rPr>
        <w:rFonts w:ascii="Arial" w:hAnsi="Arial" w:hint="default"/>
      </w:rPr>
    </w:lvl>
    <w:lvl w:ilvl="7" w:tplc="1A7EBA74" w:tentative="1">
      <w:start w:val="1"/>
      <w:numFmt w:val="bullet"/>
      <w:lvlText w:val="•"/>
      <w:lvlJc w:val="left"/>
      <w:pPr>
        <w:tabs>
          <w:tab w:val="num" w:pos="5760"/>
        </w:tabs>
        <w:ind w:left="5760" w:hanging="360"/>
      </w:pPr>
      <w:rPr>
        <w:rFonts w:ascii="Arial" w:hAnsi="Arial" w:hint="default"/>
      </w:rPr>
    </w:lvl>
    <w:lvl w:ilvl="8" w:tplc="8154EB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3939E9"/>
    <w:multiLevelType w:val="hybridMultilevel"/>
    <w:tmpl w:val="D31C4FEA"/>
    <w:lvl w:ilvl="0" w:tplc="E7AC5D1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8D936CD"/>
    <w:multiLevelType w:val="multilevel"/>
    <w:tmpl w:val="4A5867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A46B7"/>
    <w:multiLevelType w:val="hybridMultilevel"/>
    <w:tmpl w:val="51FA36D8"/>
    <w:lvl w:ilvl="0" w:tplc="8CC6239A">
      <w:start w:val="1"/>
      <w:numFmt w:val="bullet"/>
      <w:lvlText w:val="•"/>
      <w:lvlJc w:val="left"/>
      <w:pPr>
        <w:tabs>
          <w:tab w:val="num" w:pos="720"/>
        </w:tabs>
        <w:ind w:left="720" w:hanging="360"/>
      </w:pPr>
      <w:rPr>
        <w:rFonts w:ascii="Times New Roman" w:hAnsi="Times New Roman" w:hint="default"/>
      </w:rPr>
    </w:lvl>
    <w:lvl w:ilvl="1" w:tplc="2656F948" w:tentative="1">
      <w:start w:val="1"/>
      <w:numFmt w:val="bullet"/>
      <w:lvlText w:val="•"/>
      <w:lvlJc w:val="left"/>
      <w:pPr>
        <w:tabs>
          <w:tab w:val="num" w:pos="1440"/>
        </w:tabs>
        <w:ind w:left="1440" w:hanging="360"/>
      </w:pPr>
      <w:rPr>
        <w:rFonts w:ascii="Times New Roman" w:hAnsi="Times New Roman" w:hint="default"/>
      </w:rPr>
    </w:lvl>
    <w:lvl w:ilvl="2" w:tplc="D7BA9B1C" w:tentative="1">
      <w:start w:val="1"/>
      <w:numFmt w:val="bullet"/>
      <w:lvlText w:val="•"/>
      <w:lvlJc w:val="left"/>
      <w:pPr>
        <w:tabs>
          <w:tab w:val="num" w:pos="2160"/>
        </w:tabs>
        <w:ind w:left="2160" w:hanging="360"/>
      </w:pPr>
      <w:rPr>
        <w:rFonts w:ascii="Times New Roman" w:hAnsi="Times New Roman" w:hint="default"/>
      </w:rPr>
    </w:lvl>
    <w:lvl w:ilvl="3" w:tplc="F2A0A5AC" w:tentative="1">
      <w:start w:val="1"/>
      <w:numFmt w:val="bullet"/>
      <w:lvlText w:val="•"/>
      <w:lvlJc w:val="left"/>
      <w:pPr>
        <w:tabs>
          <w:tab w:val="num" w:pos="2880"/>
        </w:tabs>
        <w:ind w:left="2880" w:hanging="360"/>
      </w:pPr>
      <w:rPr>
        <w:rFonts w:ascii="Times New Roman" w:hAnsi="Times New Roman" w:hint="default"/>
      </w:rPr>
    </w:lvl>
    <w:lvl w:ilvl="4" w:tplc="412A7048" w:tentative="1">
      <w:start w:val="1"/>
      <w:numFmt w:val="bullet"/>
      <w:lvlText w:val="•"/>
      <w:lvlJc w:val="left"/>
      <w:pPr>
        <w:tabs>
          <w:tab w:val="num" w:pos="3600"/>
        </w:tabs>
        <w:ind w:left="3600" w:hanging="360"/>
      </w:pPr>
      <w:rPr>
        <w:rFonts w:ascii="Times New Roman" w:hAnsi="Times New Roman" w:hint="default"/>
      </w:rPr>
    </w:lvl>
    <w:lvl w:ilvl="5" w:tplc="DC24D11C" w:tentative="1">
      <w:start w:val="1"/>
      <w:numFmt w:val="bullet"/>
      <w:lvlText w:val="•"/>
      <w:lvlJc w:val="left"/>
      <w:pPr>
        <w:tabs>
          <w:tab w:val="num" w:pos="4320"/>
        </w:tabs>
        <w:ind w:left="4320" w:hanging="360"/>
      </w:pPr>
      <w:rPr>
        <w:rFonts w:ascii="Times New Roman" w:hAnsi="Times New Roman" w:hint="default"/>
      </w:rPr>
    </w:lvl>
    <w:lvl w:ilvl="6" w:tplc="B7C6B76C" w:tentative="1">
      <w:start w:val="1"/>
      <w:numFmt w:val="bullet"/>
      <w:lvlText w:val="•"/>
      <w:lvlJc w:val="left"/>
      <w:pPr>
        <w:tabs>
          <w:tab w:val="num" w:pos="5040"/>
        </w:tabs>
        <w:ind w:left="5040" w:hanging="360"/>
      </w:pPr>
      <w:rPr>
        <w:rFonts w:ascii="Times New Roman" w:hAnsi="Times New Roman" w:hint="default"/>
      </w:rPr>
    </w:lvl>
    <w:lvl w:ilvl="7" w:tplc="3EBC0322" w:tentative="1">
      <w:start w:val="1"/>
      <w:numFmt w:val="bullet"/>
      <w:lvlText w:val="•"/>
      <w:lvlJc w:val="left"/>
      <w:pPr>
        <w:tabs>
          <w:tab w:val="num" w:pos="5760"/>
        </w:tabs>
        <w:ind w:left="5760" w:hanging="360"/>
      </w:pPr>
      <w:rPr>
        <w:rFonts w:ascii="Times New Roman" w:hAnsi="Times New Roman" w:hint="default"/>
      </w:rPr>
    </w:lvl>
    <w:lvl w:ilvl="8" w:tplc="906A9B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2F0520"/>
    <w:multiLevelType w:val="hybridMultilevel"/>
    <w:tmpl w:val="8DBE50C0"/>
    <w:lvl w:ilvl="0" w:tplc="631C9878">
      <w:start w:val="1"/>
      <w:numFmt w:val="bullet"/>
      <w:lvlText w:val="•"/>
      <w:lvlJc w:val="left"/>
      <w:pPr>
        <w:tabs>
          <w:tab w:val="num" w:pos="720"/>
        </w:tabs>
        <w:ind w:left="720" w:hanging="360"/>
      </w:pPr>
      <w:rPr>
        <w:rFonts w:ascii="Times New Roman" w:hAnsi="Times New Roman" w:hint="default"/>
      </w:rPr>
    </w:lvl>
    <w:lvl w:ilvl="1" w:tplc="D7BCF084" w:tentative="1">
      <w:start w:val="1"/>
      <w:numFmt w:val="bullet"/>
      <w:lvlText w:val="•"/>
      <w:lvlJc w:val="left"/>
      <w:pPr>
        <w:tabs>
          <w:tab w:val="num" w:pos="1440"/>
        </w:tabs>
        <w:ind w:left="1440" w:hanging="360"/>
      </w:pPr>
      <w:rPr>
        <w:rFonts w:ascii="Times New Roman" w:hAnsi="Times New Roman" w:hint="default"/>
      </w:rPr>
    </w:lvl>
    <w:lvl w:ilvl="2" w:tplc="BE369CF2" w:tentative="1">
      <w:start w:val="1"/>
      <w:numFmt w:val="bullet"/>
      <w:lvlText w:val="•"/>
      <w:lvlJc w:val="left"/>
      <w:pPr>
        <w:tabs>
          <w:tab w:val="num" w:pos="2160"/>
        </w:tabs>
        <w:ind w:left="2160" w:hanging="360"/>
      </w:pPr>
      <w:rPr>
        <w:rFonts w:ascii="Times New Roman" w:hAnsi="Times New Roman" w:hint="default"/>
      </w:rPr>
    </w:lvl>
    <w:lvl w:ilvl="3" w:tplc="6B145222" w:tentative="1">
      <w:start w:val="1"/>
      <w:numFmt w:val="bullet"/>
      <w:lvlText w:val="•"/>
      <w:lvlJc w:val="left"/>
      <w:pPr>
        <w:tabs>
          <w:tab w:val="num" w:pos="2880"/>
        </w:tabs>
        <w:ind w:left="2880" w:hanging="360"/>
      </w:pPr>
      <w:rPr>
        <w:rFonts w:ascii="Times New Roman" w:hAnsi="Times New Roman" w:hint="default"/>
      </w:rPr>
    </w:lvl>
    <w:lvl w:ilvl="4" w:tplc="42A085E8" w:tentative="1">
      <w:start w:val="1"/>
      <w:numFmt w:val="bullet"/>
      <w:lvlText w:val="•"/>
      <w:lvlJc w:val="left"/>
      <w:pPr>
        <w:tabs>
          <w:tab w:val="num" w:pos="3600"/>
        </w:tabs>
        <w:ind w:left="3600" w:hanging="360"/>
      </w:pPr>
      <w:rPr>
        <w:rFonts w:ascii="Times New Roman" w:hAnsi="Times New Roman" w:hint="default"/>
      </w:rPr>
    </w:lvl>
    <w:lvl w:ilvl="5" w:tplc="BEA8D97C" w:tentative="1">
      <w:start w:val="1"/>
      <w:numFmt w:val="bullet"/>
      <w:lvlText w:val="•"/>
      <w:lvlJc w:val="left"/>
      <w:pPr>
        <w:tabs>
          <w:tab w:val="num" w:pos="4320"/>
        </w:tabs>
        <w:ind w:left="4320" w:hanging="360"/>
      </w:pPr>
      <w:rPr>
        <w:rFonts w:ascii="Times New Roman" w:hAnsi="Times New Roman" w:hint="default"/>
      </w:rPr>
    </w:lvl>
    <w:lvl w:ilvl="6" w:tplc="1EB0C708" w:tentative="1">
      <w:start w:val="1"/>
      <w:numFmt w:val="bullet"/>
      <w:lvlText w:val="•"/>
      <w:lvlJc w:val="left"/>
      <w:pPr>
        <w:tabs>
          <w:tab w:val="num" w:pos="5040"/>
        </w:tabs>
        <w:ind w:left="5040" w:hanging="360"/>
      </w:pPr>
      <w:rPr>
        <w:rFonts w:ascii="Times New Roman" w:hAnsi="Times New Roman" w:hint="default"/>
      </w:rPr>
    </w:lvl>
    <w:lvl w:ilvl="7" w:tplc="1BEEF820" w:tentative="1">
      <w:start w:val="1"/>
      <w:numFmt w:val="bullet"/>
      <w:lvlText w:val="•"/>
      <w:lvlJc w:val="left"/>
      <w:pPr>
        <w:tabs>
          <w:tab w:val="num" w:pos="5760"/>
        </w:tabs>
        <w:ind w:left="5760" w:hanging="360"/>
      </w:pPr>
      <w:rPr>
        <w:rFonts w:ascii="Times New Roman" w:hAnsi="Times New Roman" w:hint="default"/>
      </w:rPr>
    </w:lvl>
    <w:lvl w:ilvl="8" w:tplc="ACB086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925703"/>
    <w:multiLevelType w:val="hybridMultilevel"/>
    <w:tmpl w:val="C6066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9"/>
  </w:num>
  <w:num w:numId="6">
    <w:abstractNumId w:val="11"/>
  </w:num>
  <w:num w:numId="7">
    <w:abstractNumId w:val="12"/>
  </w:num>
  <w:num w:numId="8">
    <w:abstractNumId w:val="10"/>
  </w:num>
  <w:num w:numId="9">
    <w:abstractNumId w:val="5"/>
  </w:num>
  <w:num w:numId="10">
    <w:abstractNumId w:val="7"/>
  </w:num>
  <w:num w:numId="11">
    <w:abstractNumId w:val="1"/>
  </w:num>
  <w:num w:numId="12">
    <w:abstractNumId w:val="3"/>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2"/>
    <w:rsid w:val="000008D4"/>
    <w:rsid w:val="0000229E"/>
    <w:rsid w:val="00002942"/>
    <w:rsid w:val="000068D4"/>
    <w:rsid w:val="00006DFD"/>
    <w:rsid w:val="000106AE"/>
    <w:rsid w:val="00011FD7"/>
    <w:rsid w:val="00013EB1"/>
    <w:rsid w:val="00016EA4"/>
    <w:rsid w:val="00020729"/>
    <w:rsid w:val="00022101"/>
    <w:rsid w:val="00022C8D"/>
    <w:rsid w:val="00026223"/>
    <w:rsid w:val="00030DED"/>
    <w:rsid w:val="00031D4E"/>
    <w:rsid w:val="00033123"/>
    <w:rsid w:val="000343EB"/>
    <w:rsid w:val="00034574"/>
    <w:rsid w:val="000419D9"/>
    <w:rsid w:val="00041C56"/>
    <w:rsid w:val="000430E2"/>
    <w:rsid w:val="00045BE6"/>
    <w:rsid w:val="00045C2D"/>
    <w:rsid w:val="00045F16"/>
    <w:rsid w:val="00047730"/>
    <w:rsid w:val="00050F5E"/>
    <w:rsid w:val="00052B8A"/>
    <w:rsid w:val="00053F0D"/>
    <w:rsid w:val="00054170"/>
    <w:rsid w:val="000568AF"/>
    <w:rsid w:val="000571F9"/>
    <w:rsid w:val="00062F70"/>
    <w:rsid w:val="00067B14"/>
    <w:rsid w:val="0007004F"/>
    <w:rsid w:val="000760F6"/>
    <w:rsid w:val="00076DEF"/>
    <w:rsid w:val="0007703A"/>
    <w:rsid w:val="00077156"/>
    <w:rsid w:val="00077955"/>
    <w:rsid w:val="000800CA"/>
    <w:rsid w:val="00081E5A"/>
    <w:rsid w:val="000855B2"/>
    <w:rsid w:val="00085C90"/>
    <w:rsid w:val="000861FC"/>
    <w:rsid w:val="00086ACC"/>
    <w:rsid w:val="00087350"/>
    <w:rsid w:val="00090FA4"/>
    <w:rsid w:val="00091FFC"/>
    <w:rsid w:val="000930D2"/>
    <w:rsid w:val="00095A02"/>
    <w:rsid w:val="00096149"/>
    <w:rsid w:val="0009728E"/>
    <w:rsid w:val="000A1F50"/>
    <w:rsid w:val="000A41D7"/>
    <w:rsid w:val="000A57F8"/>
    <w:rsid w:val="000A5F46"/>
    <w:rsid w:val="000A652C"/>
    <w:rsid w:val="000B1A52"/>
    <w:rsid w:val="000B2445"/>
    <w:rsid w:val="000B2894"/>
    <w:rsid w:val="000B2D6E"/>
    <w:rsid w:val="000B37F3"/>
    <w:rsid w:val="000B5B1D"/>
    <w:rsid w:val="000B5DEF"/>
    <w:rsid w:val="000B61EB"/>
    <w:rsid w:val="000B7E70"/>
    <w:rsid w:val="000B7F04"/>
    <w:rsid w:val="000C1AC1"/>
    <w:rsid w:val="000C3060"/>
    <w:rsid w:val="000C32F6"/>
    <w:rsid w:val="000C7845"/>
    <w:rsid w:val="000C7D6D"/>
    <w:rsid w:val="000D0404"/>
    <w:rsid w:val="000D1168"/>
    <w:rsid w:val="000D248C"/>
    <w:rsid w:val="000D3880"/>
    <w:rsid w:val="000D587E"/>
    <w:rsid w:val="000D6712"/>
    <w:rsid w:val="000D77CA"/>
    <w:rsid w:val="000D7ADB"/>
    <w:rsid w:val="000E0769"/>
    <w:rsid w:val="000E185B"/>
    <w:rsid w:val="000E26EB"/>
    <w:rsid w:val="000E51B3"/>
    <w:rsid w:val="000E51F4"/>
    <w:rsid w:val="000E5521"/>
    <w:rsid w:val="000E6CB4"/>
    <w:rsid w:val="000F3B7A"/>
    <w:rsid w:val="000F3CBF"/>
    <w:rsid w:val="000F4C7F"/>
    <w:rsid w:val="000F7E2C"/>
    <w:rsid w:val="00102493"/>
    <w:rsid w:val="00103EC9"/>
    <w:rsid w:val="00104E29"/>
    <w:rsid w:val="0010540F"/>
    <w:rsid w:val="001056FE"/>
    <w:rsid w:val="00105C37"/>
    <w:rsid w:val="00107064"/>
    <w:rsid w:val="0011035D"/>
    <w:rsid w:val="00110DF6"/>
    <w:rsid w:val="00113CF2"/>
    <w:rsid w:val="00115DC2"/>
    <w:rsid w:val="001171A7"/>
    <w:rsid w:val="0011748E"/>
    <w:rsid w:val="00121885"/>
    <w:rsid w:val="00126FAE"/>
    <w:rsid w:val="00131F9C"/>
    <w:rsid w:val="0013302A"/>
    <w:rsid w:val="00133E3B"/>
    <w:rsid w:val="001361D8"/>
    <w:rsid w:val="00136C8E"/>
    <w:rsid w:val="00140944"/>
    <w:rsid w:val="00143AC6"/>
    <w:rsid w:val="00143ADA"/>
    <w:rsid w:val="00144A61"/>
    <w:rsid w:val="00145142"/>
    <w:rsid w:val="001454E4"/>
    <w:rsid w:val="0014792D"/>
    <w:rsid w:val="0015153B"/>
    <w:rsid w:val="001521ED"/>
    <w:rsid w:val="00152EF0"/>
    <w:rsid w:val="00153933"/>
    <w:rsid w:val="001544DA"/>
    <w:rsid w:val="00157A32"/>
    <w:rsid w:val="00157C20"/>
    <w:rsid w:val="00157D55"/>
    <w:rsid w:val="00157F8A"/>
    <w:rsid w:val="00162246"/>
    <w:rsid w:val="00163AEF"/>
    <w:rsid w:val="00166E0C"/>
    <w:rsid w:val="001726EB"/>
    <w:rsid w:val="00174857"/>
    <w:rsid w:val="001761D4"/>
    <w:rsid w:val="00180725"/>
    <w:rsid w:val="00181DD7"/>
    <w:rsid w:val="00184555"/>
    <w:rsid w:val="00185EE2"/>
    <w:rsid w:val="00186E01"/>
    <w:rsid w:val="0018750B"/>
    <w:rsid w:val="00187CE3"/>
    <w:rsid w:val="001907F0"/>
    <w:rsid w:val="00193F0D"/>
    <w:rsid w:val="00196E6E"/>
    <w:rsid w:val="001A3155"/>
    <w:rsid w:val="001A5529"/>
    <w:rsid w:val="001A67FC"/>
    <w:rsid w:val="001B050C"/>
    <w:rsid w:val="001B2912"/>
    <w:rsid w:val="001B3733"/>
    <w:rsid w:val="001B3E41"/>
    <w:rsid w:val="001B4289"/>
    <w:rsid w:val="001B4E26"/>
    <w:rsid w:val="001B5296"/>
    <w:rsid w:val="001B755F"/>
    <w:rsid w:val="001C2F36"/>
    <w:rsid w:val="001C469E"/>
    <w:rsid w:val="001C4988"/>
    <w:rsid w:val="001C5585"/>
    <w:rsid w:val="001C6721"/>
    <w:rsid w:val="001C6E0B"/>
    <w:rsid w:val="001D1E56"/>
    <w:rsid w:val="001D266A"/>
    <w:rsid w:val="001D2A98"/>
    <w:rsid w:val="001D3566"/>
    <w:rsid w:val="001D45AF"/>
    <w:rsid w:val="001D51CF"/>
    <w:rsid w:val="001D6BEA"/>
    <w:rsid w:val="001E083B"/>
    <w:rsid w:val="001E4520"/>
    <w:rsid w:val="001E454A"/>
    <w:rsid w:val="001E4834"/>
    <w:rsid w:val="001E74E8"/>
    <w:rsid w:val="001E7A11"/>
    <w:rsid w:val="001F0E74"/>
    <w:rsid w:val="001F44AE"/>
    <w:rsid w:val="001F4C61"/>
    <w:rsid w:val="001F64B8"/>
    <w:rsid w:val="00201253"/>
    <w:rsid w:val="00203D11"/>
    <w:rsid w:val="00203EAF"/>
    <w:rsid w:val="00207635"/>
    <w:rsid w:val="00220961"/>
    <w:rsid w:val="0022470F"/>
    <w:rsid w:val="0022568A"/>
    <w:rsid w:val="00230139"/>
    <w:rsid w:val="00230A73"/>
    <w:rsid w:val="00231467"/>
    <w:rsid w:val="00232261"/>
    <w:rsid w:val="00234715"/>
    <w:rsid w:val="00236B75"/>
    <w:rsid w:val="00240AE1"/>
    <w:rsid w:val="0024103A"/>
    <w:rsid w:val="00245F5C"/>
    <w:rsid w:val="00246061"/>
    <w:rsid w:val="00246F45"/>
    <w:rsid w:val="00250B76"/>
    <w:rsid w:val="00251238"/>
    <w:rsid w:val="0025379B"/>
    <w:rsid w:val="00254834"/>
    <w:rsid w:val="00256008"/>
    <w:rsid w:val="0025734D"/>
    <w:rsid w:val="00265FB8"/>
    <w:rsid w:val="00266FFA"/>
    <w:rsid w:val="00267675"/>
    <w:rsid w:val="002716CD"/>
    <w:rsid w:val="00271EED"/>
    <w:rsid w:val="00272508"/>
    <w:rsid w:val="00272671"/>
    <w:rsid w:val="00273482"/>
    <w:rsid w:val="00275EF3"/>
    <w:rsid w:val="00276035"/>
    <w:rsid w:val="00277815"/>
    <w:rsid w:val="00281120"/>
    <w:rsid w:val="00281671"/>
    <w:rsid w:val="002825C4"/>
    <w:rsid w:val="00282B34"/>
    <w:rsid w:val="00286550"/>
    <w:rsid w:val="00290897"/>
    <w:rsid w:val="00293A4C"/>
    <w:rsid w:val="0029521C"/>
    <w:rsid w:val="00297CCC"/>
    <w:rsid w:val="002A0D2F"/>
    <w:rsid w:val="002A1404"/>
    <w:rsid w:val="002A2023"/>
    <w:rsid w:val="002A377C"/>
    <w:rsid w:val="002A4BE3"/>
    <w:rsid w:val="002A4CDE"/>
    <w:rsid w:val="002B0FA4"/>
    <w:rsid w:val="002B156A"/>
    <w:rsid w:val="002B4D39"/>
    <w:rsid w:val="002B7297"/>
    <w:rsid w:val="002C048B"/>
    <w:rsid w:val="002C4974"/>
    <w:rsid w:val="002C4E7C"/>
    <w:rsid w:val="002C5F37"/>
    <w:rsid w:val="002D062D"/>
    <w:rsid w:val="002D304A"/>
    <w:rsid w:val="002D3388"/>
    <w:rsid w:val="002D4CA0"/>
    <w:rsid w:val="002D7ED3"/>
    <w:rsid w:val="002E0A12"/>
    <w:rsid w:val="002E34BB"/>
    <w:rsid w:val="002E4BC1"/>
    <w:rsid w:val="002E4C6E"/>
    <w:rsid w:val="002E76A9"/>
    <w:rsid w:val="002F2004"/>
    <w:rsid w:val="002F3DA3"/>
    <w:rsid w:val="002F602A"/>
    <w:rsid w:val="00300093"/>
    <w:rsid w:val="0030127F"/>
    <w:rsid w:val="00301E53"/>
    <w:rsid w:val="00303EED"/>
    <w:rsid w:val="0030412B"/>
    <w:rsid w:val="0030476A"/>
    <w:rsid w:val="00305627"/>
    <w:rsid w:val="003064FA"/>
    <w:rsid w:val="00306C46"/>
    <w:rsid w:val="00306C63"/>
    <w:rsid w:val="00311B7A"/>
    <w:rsid w:val="00313228"/>
    <w:rsid w:val="00313638"/>
    <w:rsid w:val="003143F5"/>
    <w:rsid w:val="0031617F"/>
    <w:rsid w:val="003166AB"/>
    <w:rsid w:val="00317C88"/>
    <w:rsid w:val="00323664"/>
    <w:rsid w:val="00325420"/>
    <w:rsid w:val="003261DB"/>
    <w:rsid w:val="003311B8"/>
    <w:rsid w:val="003328FA"/>
    <w:rsid w:val="00333171"/>
    <w:rsid w:val="00334045"/>
    <w:rsid w:val="00334405"/>
    <w:rsid w:val="003350CC"/>
    <w:rsid w:val="0033528D"/>
    <w:rsid w:val="003357F8"/>
    <w:rsid w:val="003424EE"/>
    <w:rsid w:val="0034323B"/>
    <w:rsid w:val="0034376B"/>
    <w:rsid w:val="0034495C"/>
    <w:rsid w:val="003457E5"/>
    <w:rsid w:val="00346E11"/>
    <w:rsid w:val="00346E1D"/>
    <w:rsid w:val="00347745"/>
    <w:rsid w:val="00350246"/>
    <w:rsid w:val="00352CA8"/>
    <w:rsid w:val="00356FA6"/>
    <w:rsid w:val="003579FC"/>
    <w:rsid w:val="0036011F"/>
    <w:rsid w:val="00360617"/>
    <w:rsid w:val="00361518"/>
    <w:rsid w:val="00361EBE"/>
    <w:rsid w:val="0036551B"/>
    <w:rsid w:val="00370CAC"/>
    <w:rsid w:val="00370F67"/>
    <w:rsid w:val="0037131B"/>
    <w:rsid w:val="0037320A"/>
    <w:rsid w:val="00380C02"/>
    <w:rsid w:val="003901C8"/>
    <w:rsid w:val="0039395F"/>
    <w:rsid w:val="003949E3"/>
    <w:rsid w:val="003978CC"/>
    <w:rsid w:val="003A0C22"/>
    <w:rsid w:val="003A141B"/>
    <w:rsid w:val="003A1C77"/>
    <w:rsid w:val="003A249D"/>
    <w:rsid w:val="003A28C3"/>
    <w:rsid w:val="003A3698"/>
    <w:rsid w:val="003A3C37"/>
    <w:rsid w:val="003A5027"/>
    <w:rsid w:val="003A5152"/>
    <w:rsid w:val="003A5BEF"/>
    <w:rsid w:val="003A7662"/>
    <w:rsid w:val="003B0F0C"/>
    <w:rsid w:val="003B1217"/>
    <w:rsid w:val="003B27CB"/>
    <w:rsid w:val="003B3520"/>
    <w:rsid w:val="003B686A"/>
    <w:rsid w:val="003B6FDB"/>
    <w:rsid w:val="003B72CA"/>
    <w:rsid w:val="003B7FAF"/>
    <w:rsid w:val="003C331C"/>
    <w:rsid w:val="003C4722"/>
    <w:rsid w:val="003D123C"/>
    <w:rsid w:val="003D15F9"/>
    <w:rsid w:val="003D2D6D"/>
    <w:rsid w:val="003D3BA7"/>
    <w:rsid w:val="003D4A11"/>
    <w:rsid w:val="003D6E82"/>
    <w:rsid w:val="003D711A"/>
    <w:rsid w:val="003D780B"/>
    <w:rsid w:val="003E132D"/>
    <w:rsid w:val="003E330D"/>
    <w:rsid w:val="003E5761"/>
    <w:rsid w:val="003E7022"/>
    <w:rsid w:val="003E70C9"/>
    <w:rsid w:val="003E70FE"/>
    <w:rsid w:val="003F025F"/>
    <w:rsid w:val="003F093F"/>
    <w:rsid w:val="003F37B4"/>
    <w:rsid w:val="003F6147"/>
    <w:rsid w:val="003F65C1"/>
    <w:rsid w:val="00400C99"/>
    <w:rsid w:val="004010AF"/>
    <w:rsid w:val="004012CD"/>
    <w:rsid w:val="00401F27"/>
    <w:rsid w:val="00405306"/>
    <w:rsid w:val="00405531"/>
    <w:rsid w:val="004063C3"/>
    <w:rsid w:val="00406F50"/>
    <w:rsid w:val="00407A54"/>
    <w:rsid w:val="00410D90"/>
    <w:rsid w:val="004117B9"/>
    <w:rsid w:val="00413647"/>
    <w:rsid w:val="00416AB0"/>
    <w:rsid w:val="00420E54"/>
    <w:rsid w:val="00422E57"/>
    <w:rsid w:val="004254CC"/>
    <w:rsid w:val="00426C62"/>
    <w:rsid w:val="00430CCF"/>
    <w:rsid w:val="00431A24"/>
    <w:rsid w:val="00431D5A"/>
    <w:rsid w:val="00432677"/>
    <w:rsid w:val="004365F7"/>
    <w:rsid w:val="004408C8"/>
    <w:rsid w:val="00441346"/>
    <w:rsid w:val="00441A22"/>
    <w:rsid w:val="00443023"/>
    <w:rsid w:val="00445101"/>
    <w:rsid w:val="00447EE7"/>
    <w:rsid w:val="0045087D"/>
    <w:rsid w:val="0045245D"/>
    <w:rsid w:val="004525AE"/>
    <w:rsid w:val="004551A1"/>
    <w:rsid w:val="0045730D"/>
    <w:rsid w:val="0045749C"/>
    <w:rsid w:val="00460B56"/>
    <w:rsid w:val="00461742"/>
    <w:rsid w:val="00461D8B"/>
    <w:rsid w:val="0046253A"/>
    <w:rsid w:val="00462B52"/>
    <w:rsid w:val="0046320D"/>
    <w:rsid w:val="00465034"/>
    <w:rsid w:val="004678A8"/>
    <w:rsid w:val="0047026A"/>
    <w:rsid w:val="00470661"/>
    <w:rsid w:val="00470C3A"/>
    <w:rsid w:val="004729BD"/>
    <w:rsid w:val="00474025"/>
    <w:rsid w:val="00474050"/>
    <w:rsid w:val="00474D16"/>
    <w:rsid w:val="0048392F"/>
    <w:rsid w:val="004847A9"/>
    <w:rsid w:val="00485793"/>
    <w:rsid w:val="004906F5"/>
    <w:rsid w:val="00490C3B"/>
    <w:rsid w:val="00491D00"/>
    <w:rsid w:val="00492264"/>
    <w:rsid w:val="0049733B"/>
    <w:rsid w:val="00497C6D"/>
    <w:rsid w:val="004A0025"/>
    <w:rsid w:val="004A0B2E"/>
    <w:rsid w:val="004A11D7"/>
    <w:rsid w:val="004A1484"/>
    <w:rsid w:val="004A2897"/>
    <w:rsid w:val="004A5AFC"/>
    <w:rsid w:val="004B01E1"/>
    <w:rsid w:val="004B04AE"/>
    <w:rsid w:val="004B1B31"/>
    <w:rsid w:val="004B4156"/>
    <w:rsid w:val="004B4C96"/>
    <w:rsid w:val="004B5B77"/>
    <w:rsid w:val="004B78B6"/>
    <w:rsid w:val="004C0B7B"/>
    <w:rsid w:val="004C12DA"/>
    <w:rsid w:val="004C1DB4"/>
    <w:rsid w:val="004C3B59"/>
    <w:rsid w:val="004C3C56"/>
    <w:rsid w:val="004C5FB9"/>
    <w:rsid w:val="004D4011"/>
    <w:rsid w:val="004D6722"/>
    <w:rsid w:val="004E05B4"/>
    <w:rsid w:val="004E13F9"/>
    <w:rsid w:val="004E582D"/>
    <w:rsid w:val="004E602E"/>
    <w:rsid w:val="004F12DD"/>
    <w:rsid w:val="004F2336"/>
    <w:rsid w:val="004F2C1E"/>
    <w:rsid w:val="004F2D0E"/>
    <w:rsid w:val="004F35E1"/>
    <w:rsid w:val="0050072B"/>
    <w:rsid w:val="00501C99"/>
    <w:rsid w:val="00502592"/>
    <w:rsid w:val="00502CF5"/>
    <w:rsid w:val="00503809"/>
    <w:rsid w:val="0050394D"/>
    <w:rsid w:val="00504C3A"/>
    <w:rsid w:val="00505F71"/>
    <w:rsid w:val="00506403"/>
    <w:rsid w:val="005072EE"/>
    <w:rsid w:val="0051048A"/>
    <w:rsid w:val="00512505"/>
    <w:rsid w:val="005125A2"/>
    <w:rsid w:val="00512647"/>
    <w:rsid w:val="00516A5A"/>
    <w:rsid w:val="005173F0"/>
    <w:rsid w:val="00517760"/>
    <w:rsid w:val="0052120E"/>
    <w:rsid w:val="00523BE0"/>
    <w:rsid w:val="00526131"/>
    <w:rsid w:val="00526B7B"/>
    <w:rsid w:val="00530633"/>
    <w:rsid w:val="0053241F"/>
    <w:rsid w:val="005327D9"/>
    <w:rsid w:val="00532BFC"/>
    <w:rsid w:val="00534455"/>
    <w:rsid w:val="00535DD4"/>
    <w:rsid w:val="00540A38"/>
    <w:rsid w:val="005414CE"/>
    <w:rsid w:val="00543E5D"/>
    <w:rsid w:val="00546200"/>
    <w:rsid w:val="00547C61"/>
    <w:rsid w:val="00550555"/>
    <w:rsid w:val="0055080F"/>
    <w:rsid w:val="00550A42"/>
    <w:rsid w:val="005521FB"/>
    <w:rsid w:val="005522E9"/>
    <w:rsid w:val="00552D0D"/>
    <w:rsid w:val="0055343C"/>
    <w:rsid w:val="0055536F"/>
    <w:rsid w:val="00556E35"/>
    <w:rsid w:val="00556FF4"/>
    <w:rsid w:val="00557BCF"/>
    <w:rsid w:val="00560438"/>
    <w:rsid w:val="005634B9"/>
    <w:rsid w:val="005717AC"/>
    <w:rsid w:val="00573182"/>
    <w:rsid w:val="00573C31"/>
    <w:rsid w:val="0057572E"/>
    <w:rsid w:val="00576858"/>
    <w:rsid w:val="00582A93"/>
    <w:rsid w:val="00583EFB"/>
    <w:rsid w:val="00586342"/>
    <w:rsid w:val="00590AE2"/>
    <w:rsid w:val="005928F7"/>
    <w:rsid w:val="00592DB5"/>
    <w:rsid w:val="00593167"/>
    <w:rsid w:val="00593CE1"/>
    <w:rsid w:val="005943D3"/>
    <w:rsid w:val="005946F6"/>
    <w:rsid w:val="005963A7"/>
    <w:rsid w:val="00597035"/>
    <w:rsid w:val="0059738A"/>
    <w:rsid w:val="00597563"/>
    <w:rsid w:val="005A04C8"/>
    <w:rsid w:val="005A0947"/>
    <w:rsid w:val="005A0D5C"/>
    <w:rsid w:val="005A1382"/>
    <w:rsid w:val="005A39BE"/>
    <w:rsid w:val="005B2FAD"/>
    <w:rsid w:val="005B51FE"/>
    <w:rsid w:val="005B6992"/>
    <w:rsid w:val="005B765D"/>
    <w:rsid w:val="005B7A73"/>
    <w:rsid w:val="005C1637"/>
    <w:rsid w:val="005C35AA"/>
    <w:rsid w:val="005C3743"/>
    <w:rsid w:val="005C3B47"/>
    <w:rsid w:val="005C3BB5"/>
    <w:rsid w:val="005C544F"/>
    <w:rsid w:val="005C5A09"/>
    <w:rsid w:val="005C7563"/>
    <w:rsid w:val="005D10C5"/>
    <w:rsid w:val="005D2FEE"/>
    <w:rsid w:val="005D396C"/>
    <w:rsid w:val="005D3D6E"/>
    <w:rsid w:val="005D5B11"/>
    <w:rsid w:val="005D7745"/>
    <w:rsid w:val="005D7F85"/>
    <w:rsid w:val="005E1FB8"/>
    <w:rsid w:val="005E4B5E"/>
    <w:rsid w:val="005E5DF8"/>
    <w:rsid w:val="005F5225"/>
    <w:rsid w:val="0060025C"/>
    <w:rsid w:val="00600402"/>
    <w:rsid w:val="00607ACD"/>
    <w:rsid w:val="00613E7B"/>
    <w:rsid w:val="00615351"/>
    <w:rsid w:val="00626CC9"/>
    <w:rsid w:val="00627162"/>
    <w:rsid w:val="00627CB4"/>
    <w:rsid w:val="00630CC2"/>
    <w:rsid w:val="00631314"/>
    <w:rsid w:val="00631764"/>
    <w:rsid w:val="00631D58"/>
    <w:rsid w:val="00631F3E"/>
    <w:rsid w:val="006325D8"/>
    <w:rsid w:val="00634F95"/>
    <w:rsid w:val="00635009"/>
    <w:rsid w:val="006371D4"/>
    <w:rsid w:val="006431F7"/>
    <w:rsid w:val="00643F2C"/>
    <w:rsid w:val="00644BEB"/>
    <w:rsid w:val="006457F6"/>
    <w:rsid w:val="006458F0"/>
    <w:rsid w:val="0064645D"/>
    <w:rsid w:val="00646BCC"/>
    <w:rsid w:val="0064724B"/>
    <w:rsid w:val="00647718"/>
    <w:rsid w:val="006509EF"/>
    <w:rsid w:val="00650CE7"/>
    <w:rsid w:val="00651366"/>
    <w:rsid w:val="0065176C"/>
    <w:rsid w:val="00651866"/>
    <w:rsid w:val="00651E9B"/>
    <w:rsid w:val="0065351B"/>
    <w:rsid w:val="006618AD"/>
    <w:rsid w:val="006629D2"/>
    <w:rsid w:val="006632EC"/>
    <w:rsid w:val="0066385A"/>
    <w:rsid w:val="00665074"/>
    <w:rsid w:val="00665C03"/>
    <w:rsid w:val="00666062"/>
    <w:rsid w:val="00670308"/>
    <w:rsid w:val="00670C17"/>
    <w:rsid w:val="0067193A"/>
    <w:rsid w:val="00673E57"/>
    <w:rsid w:val="00676FC2"/>
    <w:rsid w:val="00680783"/>
    <w:rsid w:val="00680B10"/>
    <w:rsid w:val="006827D5"/>
    <w:rsid w:val="00683DA4"/>
    <w:rsid w:val="006849C9"/>
    <w:rsid w:val="00687113"/>
    <w:rsid w:val="006877CB"/>
    <w:rsid w:val="0069135C"/>
    <w:rsid w:val="00691695"/>
    <w:rsid w:val="00691AD1"/>
    <w:rsid w:val="00692251"/>
    <w:rsid w:val="00692D41"/>
    <w:rsid w:val="00694DAD"/>
    <w:rsid w:val="006974F6"/>
    <w:rsid w:val="00697AA1"/>
    <w:rsid w:val="006A0011"/>
    <w:rsid w:val="006A12DF"/>
    <w:rsid w:val="006A175D"/>
    <w:rsid w:val="006A1CD3"/>
    <w:rsid w:val="006A26C2"/>
    <w:rsid w:val="006A3DCF"/>
    <w:rsid w:val="006A4947"/>
    <w:rsid w:val="006A4A9D"/>
    <w:rsid w:val="006A5AC4"/>
    <w:rsid w:val="006A6B4A"/>
    <w:rsid w:val="006A7845"/>
    <w:rsid w:val="006B0317"/>
    <w:rsid w:val="006B0351"/>
    <w:rsid w:val="006B03C7"/>
    <w:rsid w:val="006B1C3C"/>
    <w:rsid w:val="006B252E"/>
    <w:rsid w:val="006B3161"/>
    <w:rsid w:val="006B330D"/>
    <w:rsid w:val="006B4D04"/>
    <w:rsid w:val="006B5655"/>
    <w:rsid w:val="006C1399"/>
    <w:rsid w:val="006C374E"/>
    <w:rsid w:val="006C37E2"/>
    <w:rsid w:val="006C3C6B"/>
    <w:rsid w:val="006C3C98"/>
    <w:rsid w:val="006C3DDF"/>
    <w:rsid w:val="006C4B7C"/>
    <w:rsid w:val="006C50F4"/>
    <w:rsid w:val="006C538B"/>
    <w:rsid w:val="006C67F2"/>
    <w:rsid w:val="006D1664"/>
    <w:rsid w:val="006D2F60"/>
    <w:rsid w:val="006D6972"/>
    <w:rsid w:val="006D6AC7"/>
    <w:rsid w:val="006D77AF"/>
    <w:rsid w:val="006D7FFD"/>
    <w:rsid w:val="006E09CF"/>
    <w:rsid w:val="006E1A0E"/>
    <w:rsid w:val="006E1D9B"/>
    <w:rsid w:val="006E49B8"/>
    <w:rsid w:val="006E4ACA"/>
    <w:rsid w:val="006E53D3"/>
    <w:rsid w:val="006E55E8"/>
    <w:rsid w:val="006E676E"/>
    <w:rsid w:val="006E702A"/>
    <w:rsid w:val="006E7789"/>
    <w:rsid w:val="006E7C49"/>
    <w:rsid w:val="006F1D57"/>
    <w:rsid w:val="006F3A85"/>
    <w:rsid w:val="006F7038"/>
    <w:rsid w:val="0070039B"/>
    <w:rsid w:val="0070088D"/>
    <w:rsid w:val="007022EC"/>
    <w:rsid w:val="00702EE5"/>
    <w:rsid w:val="00703277"/>
    <w:rsid w:val="007038F0"/>
    <w:rsid w:val="007039DC"/>
    <w:rsid w:val="00703A7A"/>
    <w:rsid w:val="00704696"/>
    <w:rsid w:val="00712054"/>
    <w:rsid w:val="007140E6"/>
    <w:rsid w:val="00715247"/>
    <w:rsid w:val="00715718"/>
    <w:rsid w:val="007207F0"/>
    <w:rsid w:val="00720915"/>
    <w:rsid w:val="0072131C"/>
    <w:rsid w:val="0072441D"/>
    <w:rsid w:val="0072489D"/>
    <w:rsid w:val="00727A76"/>
    <w:rsid w:val="00734889"/>
    <w:rsid w:val="00734931"/>
    <w:rsid w:val="00734F56"/>
    <w:rsid w:val="00735CE5"/>
    <w:rsid w:val="00736AE7"/>
    <w:rsid w:val="00740EE2"/>
    <w:rsid w:val="0074405F"/>
    <w:rsid w:val="0074575D"/>
    <w:rsid w:val="007518E8"/>
    <w:rsid w:val="00752C5B"/>
    <w:rsid w:val="0075329A"/>
    <w:rsid w:val="00753574"/>
    <w:rsid w:val="00755552"/>
    <w:rsid w:val="007555D8"/>
    <w:rsid w:val="00756B64"/>
    <w:rsid w:val="00756C7B"/>
    <w:rsid w:val="00757B74"/>
    <w:rsid w:val="0076370F"/>
    <w:rsid w:val="00764852"/>
    <w:rsid w:val="00770135"/>
    <w:rsid w:val="00770338"/>
    <w:rsid w:val="007723BB"/>
    <w:rsid w:val="00773461"/>
    <w:rsid w:val="00773583"/>
    <w:rsid w:val="00774F86"/>
    <w:rsid w:val="00775BDD"/>
    <w:rsid w:val="00776D8B"/>
    <w:rsid w:val="00783473"/>
    <w:rsid w:val="00784CA6"/>
    <w:rsid w:val="00785770"/>
    <w:rsid w:val="00790CB9"/>
    <w:rsid w:val="00791800"/>
    <w:rsid w:val="007931C8"/>
    <w:rsid w:val="00794057"/>
    <w:rsid w:val="00795064"/>
    <w:rsid w:val="00795D5D"/>
    <w:rsid w:val="00795E91"/>
    <w:rsid w:val="00796DD7"/>
    <w:rsid w:val="00797C50"/>
    <w:rsid w:val="007A1B1B"/>
    <w:rsid w:val="007A228E"/>
    <w:rsid w:val="007A4232"/>
    <w:rsid w:val="007B152F"/>
    <w:rsid w:val="007B1882"/>
    <w:rsid w:val="007B4B2F"/>
    <w:rsid w:val="007B59D1"/>
    <w:rsid w:val="007B61D4"/>
    <w:rsid w:val="007C0D9C"/>
    <w:rsid w:val="007C64E6"/>
    <w:rsid w:val="007C6B0E"/>
    <w:rsid w:val="007C6BDA"/>
    <w:rsid w:val="007C79FB"/>
    <w:rsid w:val="007D06F5"/>
    <w:rsid w:val="007D0E39"/>
    <w:rsid w:val="007D24AD"/>
    <w:rsid w:val="007D34EF"/>
    <w:rsid w:val="007D5251"/>
    <w:rsid w:val="007D752F"/>
    <w:rsid w:val="007E121E"/>
    <w:rsid w:val="007E17EA"/>
    <w:rsid w:val="007E2BE4"/>
    <w:rsid w:val="007E33AF"/>
    <w:rsid w:val="007E375B"/>
    <w:rsid w:val="007E48C2"/>
    <w:rsid w:val="007E4B8E"/>
    <w:rsid w:val="007E5330"/>
    <w:rsid w:val="007E6761"/>
    <w:rsid w:val="007E6A11"/>
    <w:rsid w:val="007E7871"/>
    <w:rsid w:val="007F08AA"/>
    <w:rsid w:val="007F11F1"/>
    <w:rsid w:val="007F17C9"/>
    <w:rsid w:val="007F280B"/>
    <w:rsid w:val="007F392F"/>
    <w:rsid w:val="007F4319"/>
    <w:rsid w:val="007F58DA"/>
    <w:rsid w:val="007F6EBC"/>
    <w:rsid w:val="0080178E"/>
    <w:rsid w:val="008018B9"/>
    <w:rsid w:val="0080421E"/>
    <w:rsid w:val="00804E88"/>
    <w:rsid w:val="00806AA8"/>
    <w:rsid w:val="008071F7"/>
    <w:rsid w:val="00811D19"/>
    <w:rsid w:val="00812526"/>
    <w:rsid w:val="00812CD9"/>
    <w:rsid w:val="00813FA0"/>
    <w:rsid w:val="00814247"/>
    <w:rsid w:val="00814565"/>
    <w:rsid w:val="008146D6"/>
    <w:rsid w:val="008148C0"/>
    <w:rsid w:val="00816421"/>
    <w:rsid w:val="008216DA"/>
    <w:rsid w:val="0082221D"/>
    <w:rsid w:val="0082252E"/>
    <w:rsid w:val="008225DC"/>
    <w:rsid w:val="008231A2"/>
    <w:rsid w:val="00823440"/>
    <w:rsid w:val="0082476B"/>
    <w:rsid w:val="008259FC"/>
    <w:rsid w:val="00827ABE"/>
    <w:rsid w:val="00830707"/>
    <w:rsid w:val="008313AB"/>
    <w:rsid w:val="00832C88"/>
    <w:rsid w:val="00833E94"/>
    <w:rsid w:val="008348D0"/>
    <w:rsid w:val="0083552D"/>
    <w:rsid w:val="00836754"/>
    <w:rsid w:val="0084262E"/>
    <w:rsid w:val="008437F5"/>
    <w:rsid w:val="008442B4"/>
    <w:rsid w:val="008477B2"/>
    <w:rsid w:val="00847E68"/>
    <w:rsid w:val="00850BF6"/>
    <w:rsid w:val="00851216"/>
    <w:rsid w:val="008532B3"/>
    <w:rsid w:val="00853B65"/>
    <w:rsid w:val="00855CED"/>
    <w:rsid w:val="0085647A"/>
    <w:rsid w:val="00862493"/>
    <w:rsid w:val="008626C4"/>
    <w:rsid w:val="00863D63"/>
    <w:rsid w:val="008646D3"/>
    <w:rsid w:val="00865369"/>
    <w:rsid w:val="00865382"/>
    <w:rsid w:val="008653B0"/>
    <w:rsid w:val="008658E9"/>
    <w:rsid w:val="00865AE9"/>
    <w:rsid w:val="00867FCA"/>
    <w:rsid w:val="00871922"/>
    <w:rsid w:val="00872773"/>
    <w:rsid w:val="00874D49"/>
    <w:rsid w:val="00876F30"/>
    <w:rsid w:val="008828D0"/>
    <w:rsid w:val="00882BC7"/>
    <w:rsid w:val="008838C0"/>
    <w:rsid w:val="0088429A"/>
    <w:rsid w:val="00884EDF"/>
    <w:rsid w:val="00890871"/>
    <w:rsid w:val="00890C09"/>
    <w:rsid w:val="0089151D"/>
    <w:rsid w:val="00892344"/>
    <w:rsid w:val="00892789"/>
    <w:rsid w:val="00897002"/>
    <w:rsid w:val="00897959"/>
    <w:rsid w:val="008A16BD"/>
    <w:rsid w:val="008A621A"/>
    <w:rsid w:val="008A6254"/>
    <w:rsid w:val="008A65D7"/>
    <w:rsid w:val="008A7454"/>
    <w:rsid w:val="008B1474"/>
    <w:rsid w:val="008B1DD4"/>
    <w:rsid w:val="008B3815"/>
    <w:rsid w:val="008C16CB"/>
    <w:rsid w:val="008C4614"/>
    <w:rsid w:val="008C7646"/>
    <w:rsid w:val="008D0838"/>
    <w:rsid w:val="008D1DBA"/>
    <w:rsid w:val="008D2034"/>
    <w:rsid w:val="008D4289"/>
    <w:rsid w:val="008E0B75"/>
    <w:rsid w:val="008E1E36"/>
    <w:rsid w:val="008E4FA4"/>
    <w:rsid w:val="008E5441"/>
    <w:rsid w:val="008F0D1B"/>
    <w:rsid w:val="008F2289"/>
    <w:rsid w:val="008F2641"/>
    <w:rsid w:val="008F3FAE"/>
    <w:rsid w:val="008F4138"/>
    <w:rsid w:val="008F4CD6"/>
    <w:rsid w:val="008F5BAD"/>
    <w:rsid w:val="008F5C52"/>
    <w:rsid w:val="008F6A73"/>
    <w:rsid w:val="008F6C37"/>
    <w:rsid w:val="008F7DAD"/>
    <w:rsid w:val="00900AEC"/>
    <w:rsid w:val="0090280A"/>
    <w:rsid w:val="00904F0C"/>
    <w:rsid w:val="00905C76"/>
    <w:rsid w:val="00906542"/>
    <w:rsid w:val="00906F02"/>
    <w:rsid w:val="00907353"/>
    <w:rsid w:val="0090759C"/>
    <w:rsid w:val="009102B9"/>
    <w:rsid w:val="00913DC8"/>
    <w:rsid w:val="009149BC"/>
    <w:rsid w:val="009168AC"/>
    <w:rsid w:val="00916AC1"/>
    <w:rsid w:val="00916EC8"/>
    <w:rsid w:val="0091767B"/>
    <w:rsid w:val="00917E60"/>
    <w:rsid w:val="00920287"/>
    <w:rsid w:val="00930210"/>
    <w:rsid w:val="00943A21"/>
    <w:rsid w:val="009447D9"/>
    <w:rsid w:val="00946577"/>
    <w:rsid w:val="009505E5"/>
    <w:rsid w:val="009509CF"/>
    <w:rsid w:val="00950E94"/>
    <w:rsid w:val="00951A89"/>
    <w:rsid w:val="00954DB6"/>
    <w:rsid w:val="009564B1"/>
    <w:rsid w:val="00956E12"/>
    <w:rsid w:val="0095701D"/>
    <w:rsid w:val="009609F6"/>
    <w:rsid w:val="0096149B"/>
    <w:rsid w:val="009665D5"/>
    <w:rsid w:val="009672AF"/>
    <w:rsid w:val="00967FBD"/>
    <w:rsid w:val="00970A1C"/>
    <w:rsid w:val="009715E1"/>
    <w:rsid w:val="0097319F"/>
    <w:rsid w:val="00976B23"/>
    <w:rsid w:val="0098138E"/>
    <w:rsid w:val="00982B3E"/>
    <w:rsid w:val="0098311D"/>
    <w:rsid w:val="00984486"/>
    <w:rsid w:val="00985770"/>
    <w:rsid w:val="0098698E"/>
    <w:rsid w:val="0098736F"/>
    <w:rsid w:val="009878DB"/>
    <w:rsid w:val="00990390"/>
    <w:rsid w:val="00991E9D"/>
    <w:rsid w:val="00995C6C"/>
    <w:rsid w:val="00996F85"/>
    <w:rsid w:val="00997406"/>
    <w:rsid w:val="00997520"/>
    <w:rsid w:val="00997FCC"/>
    <w:rsid w:val="009A168D"/>
    <w:rsid w:val="009A1ACB"/>
    <w:rsid w:val="009A23E0"/>
    <w:rsid w:val="009A38BF"/>
    <w:rsid w:val="009A4F28"/>
    <w:rsid w:val="009B11B8"/>
    <w:rsid w:val="009B1F3D"/>
    <w:rsid w:val="009B2634"/>
    <w:rsid w:val="009B3DB2"/>
    <w:rsid w:val="009B48A7"/>
    <w:rsid w:val="009B5250"/>
    <w:rsid w:val="009B570B"/>
    <w:rsid w:val="009B6F63"/>
    <w:rsid w:val="009C1204"/>
    <w:rsid w:val="009C27E6"/>
    <w:rsid w:val="009C3239"/>
    <w:rsid w:val="009C3CC9"/>
    <w:rsid w:val="009C5EFA"/>
    <w:rsid w:val="009C60A8"/>
    <w:rsid w:val="009C72A7"/>
    <w:rsid w:val="009D2341"/>
    <w:rsid w:val="009D2390"/>
    <w:rsid w:val="009D2647"/>
    <w:rsid w:val="009D3186"/>
    <w:rsid w:val="009E0124"/>
    <w:rsid w:val="009E1920"/>
    <w:rsid w:val="009E29A6"/>
    <w:rsid w:val="009E2AC8"/>
    <w:rsid w:val="009E2B55"/>
    <w:rsid w:val="009E39D4"/>
    <w:rsid w:val="009E3DA1"/>
    <w:rsid w:val="009E47E0"/>
    <w:rsid w:val="009E6883"/>
    <w:rsid w:val="009F2E11"/>
    <w:rsid w:val="009F4EAB"/>
    <w:rsid w:val="009F519A"/>
    <w:rsid w:val="009F6D9A"/>
    <w:rsid w:val="009F79DE"/>
    <w:rsid w:val="009F7A6F"/>
    <w:rsid w:val="00A01A67"/>
    <w:rsid w:val="00A020EC"/>
    <w:rsid w:val="00A02A03"/>
    <w:rsid w:val="00A03465"/>
    <w:rsid w:val="00A0363C"/>
    <w:rsid w:val="00A03EF7"/>
    <w:rsid w:val="00A063A6"/>
    <w:rsid w:val="00A10AB8"/>
    <w:rsid w:val="00A12196"/>
    <w:rsid w:val="00A12622"/>
    <w:rsid w:val="00A13354"/>
    <w:rsid w:val="00A14252"/>
    <w:rsid w:val="00A1456D"/>
    <w:rsid w:val="00A1681D"/>
    <w:rsid w:val="00A16D42"/>
    <w:rsid w:val="00A2318D"/>
    <w:rsid w:val="00A23595"/>
    <w:rsid w:val="00A23682"/>
    <w:rsid w:val="00A23ECB"/>
    <w:rsid w:val="00A260B6"/>
    <w:rsid w:val="00A27DF6"/>
    <w:rsid w:val="00A309FC"/>
    <w:rsid w:val="00A32CE2"/>
    <w:rsid w:val="00A337A7"/>
    <w:rsid w:val="00A348F7"/>
    <w:rsid w:val="00A3782A"/>
    <w:rsid w:val="00A37D42"/>
    <w:rsid w:val="00A40E9E"/>
    <w:rsid w:val="00A414AB"/>
    <w:rsid w:val="00A430F6"/>
    <w:rsid w:val="00A44A3E"/>
    <w:rsid w:val="00A44CAE"/>
    <w:rsid w:val="00A45B8E"/>
    <w:rsid w:val="00A47382"/>
    <w:rsid w:val="00A47602"/>
    <w:rsid w:val="00A478E4"/>
    <w:rsid w:val="00A47A76"/>
    <w:rsid w:val="00A47FF6"/>
    <w:rsid w:val="00A50F09"/>
    <w:rsid w:val="00A52897"/>
    <w:rsid w:val="00A52AF8"/>
    <w:rsid w:val="00A53D96"/>
    <w:rsid w:val="00A54452"/>
    <w:rsid w:val="00A5508A"/>
    <w:rsid w:val="00A554D1"/>
    <w:rsid w:val="00A56340"/>
    <w:rsid w:val="00A56AA6"/>
    <w:rsid w:val="00A56B6F"/>
    <w:rsid w:val="00A60F19"/>
    <w:rsid w:val="00A61715"/>
    <w:rsid w:val="00A62D50"/>
    <w:rsid w:val="00A64DCB"/>
    <w:rsid w:val="00A65D7B"/>
    <w:rsid w:val="00A66DED"/>
    <w:rsid w:val="00A67507"/>
    <w:rsid w:val="00A74046"/>
    <w:rsid w:val="00A768DD"/>
    <w:rsid w:val="00A80452"/>
    <w:rsid w:val="00A81214"/>
    <w:rsid w:val="00A81403"/>
    <w:rsid w:val="00A82B97"/>
    <w:rsid w:val="00A838EB"/>
    <w:rsid w:val="00A839C8"/>
    <w:rsid w:val="00A844C7"/>
    <w:rsid w:val="00A844F6"/>
    <w:rsid w:val="00A8466C"/>
    <w:rsid w:val="00A84A78"/>
    <w:rsid w:val="00A87085"/>
    <w:rsid w:val="00A8711A"/>
    <w:rsid w:val="00A92D4D"/>
    <w:rsid w:val="00A92F90"/>
    <w:rsid w:val="00A9477D"/>
    <w:rsid w:val="00A96D7E"/>
    <w:rsid w:val="00AA065A"/>
    <w:rsid w:val="00AA0856"/>
    <w:rsid w:val="00AA1E89"/>
    <w:rsid w:val="00AA5087"/>
    <w:rsid w:val="00AA6A0F"/>
    <w:rsid w:val="00AB187B"/>
    <w:rsid w:val="00AB2409"/>
    <w:rsid w:val="00AB2E62"/>
    <w:rsid w:val="00AB3AFB"/>
    <w:rsid w:val="00AB4034"/>
    <w:rsid w:val="00AB5048"/>
    <w:rsid w:val="00AB533C"/>
    <w:rsid w:val="00AB7888"/>
    <w:rsid w:val="00AC0047"/>
    <w:rsid w:val="00AC030F"/>
    <w:rsid w:val="00AC08DE"/>
    <w:rsid w:val="00AC3931"/>
    <w:rsid w:val="00AC42B2"/>
    <w:rsid w:val="00AC4305"/>
    <w:rsid w:val="00AC579B"/>
    <w:rsid w:val="00AC61EF"/>
    <w:rsid w:val="00AD00B1"/>
    <w:rsid w:val="00AD040E"/>
    <w:rsid w:val="00AD0A39"/>
    <w:rsid w:val="00AD2242"/>
    <w:rsid w:val="00AD23FA"/>
    <w:rsid w:val="00AD2414"/>
    <w:rsid w:val="00AD6942"/>
    <w:rsid w:val="00AE1538"/>
    <w:rsid w:val="00AE330A"/>
    <w:rsid w:val="00AE77B8"/>
    <w:rsid w:val="00AF0143"/>
    <w:rsid w:val="00AF0F6C"/>
    <w:rsid w:val="00AF2F5E"/>
    <w:rsid w:val="00AF38BF"/>
    <w:rsid w:val="00AF3F0B"/>
    <w:rsid w:val="00AF5FE3"/>
    <w:rsid w:val="00AF64CA"/>
    <w:rsid w:val="00AF7ED0"/>
    <w:rsid w:val="00B0545F"/>
    <w:rsid w:val="00B05E23"/>
    <w:rsid w:val="00B0738A"/>
    <w:rsid w:val="00B1050F"/>
    <w:rsid w:val="00B11C68"/>
    <w:rsid w:val="00B12B83"/>
    <w:rsid w:val="00B12D3A"/>
    <w:rsid w:val="00B13D0E"/>
    <w:rsid w:val="00B13DB1"/>
    <w:rsid w:val="00B13F5E"/>
    <w:rsid w:val="00B14A16"/>
    <w:rsid w:val="00B1712D"/>
    <w:rsid w:val="00B2003F"/>
    <w:rsid w:val="00B20076"/>
    <w:rsid w:val="00B210DE"/>
    <w:rsid w:val="00B21DEC"/>
    <w:rsid w:val="00B25392"/>
    <w:rsid w:val="00B30801"/>
    <w:rsid w:val="00B35308"/>
    <w:rsid w:val="00B401AE"/>
    <w:rsid w:val="00B416E4"/>
    <w:rsid w:val="00B43201"/>
    <w:rsid w:val="00B4561F"/>
    <w:rsid w:val="00B45E3B"/>
    <w:rsid w:val="00B46B82"/>
    <w:rsid w:val="00B50176"/>
    <w:rsid w:val="00B514A4"/>
    <w:rsid w:val="00B51A3A"/>
    <w:rsid w:val="00B56CDD"/>
    <w:rsid w:val="00B574A6"/>
    <w:rsid w:val="00B60DA4"/>
    <w:rsid w:val="00B667E4"/>
    <w:rsid w:val="00B66FC9"/>
    <w:rsid w:val="00B70762"/>
    <w:rsid w:val="00B7078A"/>
    <w:rsid w:val="00B7223E"/>
    <w:rsid w:val="00B722CE"/>
    <w:rsid w:val="00B74255"/>
    <w:rsid w:val="00B742A9"/>
    <w:rsid w:val="00B7472D"/>
    <w:rsid w:val="00B754CA"/>
    <w:rsid w:val="00B75B06"/>
    <w:rsid w:val="00B7614D"/>
    <w:rsid w:val="00B76935"/>
    <w:rsid w:val="00B806D4"/>
    <w:rsid w:val="00B81893"/>
    <w:rsid w:val="00B825B6"/>
    <w:rsid w:val="00B83B33"/>
    <w:rsid w:val="00B84ECC"/>
    <w:rsid w:val="00B854EC"/>
    <w:rsid w:val="00B8608C"/>
    <w:rsid w:val="00B865E1"/>
    <w:rsid w:val="00B9366F"/>
    <w:rsid w:val="00B96C1E"/>
    <w:rsid w:val="00B9793D"/>
    <w:rsid w:val="00BA1331"/>
    <w:rsid w:val="00BA710E"/>
    <w:rsid w:val="00BB070E"/>
    <w:rsid w:val="00BB27BE"/>
    <w:rsid w:val="00BB38C5"/>
    <w:rsid w:val="00BB42C6"/>
    <w:rsid w:val="00BB4878"/>
    <w:rsid w:val="00BB56D2"/>
    <w:rsid w:val="00BC11AB"/>
    <w:rsid w:val="00BC372B"/>
    <w:rsid w:val="00BC4BD2"/>
    <w:rsid w:val="00BC5C96"/>
    <w:rsid w:val="00BD1C65"/>
    <w:rsid w:val="00BD26B1"/>
    <w:rsid w:val="00BD2B04"/>
    <w:rsid w:val="00BD5F22"/>
    <w:rsid w:val="00BD6BCF"/>
    <w:rsid w:val="00BE01E8"/>
    <w:rsid w:val="00BE060B"/>
    <w:rsid w:val="00BE14B1"/>
    <w:rsid w:val="00BE1FC5"/>
    <w:rsid w:val="00BE331A"/>
    <w:rsid w:val="00BE38C1"/>
    <w:rsid w:val="00BE41B6"/>
    <w:rsid w:val="00BE5410"/>
    <w:rsid w:val="00BE5484"/>
    <w:rsid w:val="00BE64E1"/>
    <w:rsid w:val="00BF03A4"/>
    <w:rsid w:val="00BF1798"/>
    <w:rsid w:val="00BF2485"/>
    <w:rsid w:val="00BF2759"/>
    <w:rsid w:val="00BF3000"/>
    <w:rsid w:val="00BF46B2"/>
    <w:rsid w:val="00C0122E"/>
    <w:rsid w:val="00C03F78"/>
    <w:rsid w:val="00C05C42"/>
    <w:rsid w:val="00C062FD"/>
    <w:rsid w:val="00C077EC"/>
    <w:rsid w:val="00C1000D"/>
    <w:rsid w:val="00C11321"/>
    <w:rsid w:val="00C17C60"/>
    <w:rsid w:val="00C24886"/>
    <w:rsid w:val="00C27185"/>
    <w:rsid w:val="00C3124C"/>
    <w:rsid w:val="00C31707"/>
    <w:rsid w:val="00C33122"/>
    <w:rsid w:val="00C37424"/>
    <w:rsid w:val="00C37CC9"/>
    <w:rsid w:val="00C40851"/>
    <w:rsid w:val="00C40B89"/>
    <w:rsid w:val="00C413A1"/>
    <w:rsid w:val="00C438D5"/>
    <w:rsid w:val="00C43B9D"/>
    <w:rsid w:val="00C44A0F"/>
    <w:rsid w:val="00C45369"/>
    <w:rsid w:val="00C45A62"/>
    <w:rsid w:val="00C45F9E"/>
    <w:rsid w:val="00C462B8"/>
    <w:rsid w:val="00C47595"/>
    <w:rsid w:val="00C47A99"/>
    <w:rsid w:val="00C51127"/>
    <w:rsid w:val="00C547B2"/>
    <w:rsid w:val="00C6129C"/>
    <w:rsid w:val="00C67491"/>
    <w:rsid w:val="00C72F78"/>
    <w:rsid w:val="00C73797"/>
    <w:rsid w:val="00C74195"/>
    <w:rsid w:val="00C74C91"/>
    <w:rsid w:val="00C757C7"/>
    <w:rsid w:val="00C822F3"/>
    <w:rsid w:val="00C82CF7"/>
    <w:rsid w:val="00C854EE"/>
    <w:rsid w:val="00C86288"/>
    <w:rsid w:val="00C8666B"/>
    <w:rsid w:val="00C90EA1"/>
    <w:rsid w:val="00C94352"/>
    <w:rsid w:val="00C95751"/>
    <w:rsid w:val="00C95BF6"/>
    <w:rsid w:val="00C961FC"/>
    <w:rsid w:val="00CA0C9F"/>
    <w:rsid w:val="00CA2029"/>
    <w:rsid w:val="00CA26F0"/>
    <w:rsid w:val="00CA4340"/>
    <w:rsid w:val="00CA63B4"/>
    <w:rsid w:val="00CB3904"/>
    <w:rsid w:val="00CB4AE0"/>
    <w:rsid w:val="00CB720D"/>
    <w:rsid w:val="00CB75BF"/>
    <w:rsid w:val="00CC1CF2"/>
    <w:rsid w:val="00CC2206"/>
    <w:rsid w:val="00CC449E"/>
    <w:rsid w:val="00CC4F45"/>
    <w:rsid w:val="00CC4F4E"/>
    <w:rsid w:val="00CC6134"/>
    <w:rsid w:val="00CC7373"/>
    <w:rsid w:val="00CC769C"/>
    <w:rsid w:val="00CD12DB"/>
    <w:rsid w:val="00CD161C"/>
    <w:rsid w:val="00CD24A1"/>
    <w:rsid w:val="00CD3003"/>
    <w:rsid w:val="00CD4F4E"/>
    <w:rsid w:val="00CD5EE5"/>
    <w:rsid w:val="00CE09BC"/>
    <w:rsid w:val="00CE259E"/>
    <w:rsid w:val="00CE30B9"/>
    <w:rsid w:val="00CE4218"/>
    <w:rsid w:val="00CE5A1E"/>
    <w:rsid w:val="00CE5A7F"/>
    <w:rsid w:val="00CE5C38"/>
    <w:rsid w:val="00CE75B3"/>
    <w:rsid w:val="00CF07D9"/>
    <w:rsid w:val="00CF2B85"/>
    <w:rsid w:val="00CF4DF1"/>
    <w:rsid w:val="00CF528D"/>
    <w:rsid w:val="00CF5D97"/>
    <w:rsid w:val="00CF5E64"/>
    <w:rsid w:val="00CF6F28"/>
    <w:rsid w:val="00D00CCE"/>
    <w:rsid w:val="00D029E4"/>
    <w:rsid w:val="00D02CF0"/>
    <w:rsid w:val="00D03690"/>
    <w:rsid w:val="00D10746"/>
    <w:rsid w:val="00D1149C"/>
    <w:rsid w:val="00D14232"/>
    <w:rsid w:val="00D209C5"/>
    <w:rsid w:val="00D21973"/>
    <w:rsid w:val="00D24996"/>
    <w:rsid w:val="00D24C6B"/>
    <w:rsid w:val="00D31DD6"/>
    <w:rsid w:val="00D32FFC"/>
    <w:rsid w:val="00D370F6"/>
    <w:rsid w:val="00D40757"/>
    <w:rsid w:val="00D41200"/>
    <w:rsid w:val="00D417DB"/>
    <w:rsid w:val="00D41DCF"/>
    <w:rsid w:val="00D42EDC"/>
    <w:rsid w:val="00D43595"/>
    <w:rsid w:val="00D4388C"/>
    <w:rsid w:val="00D44808"/>
    <w:rsid w:val="00D450B8"/>
    <w:rsid w:val="00D45EE2"/>
    <w:rsid w:val="00D46871"/>
    <w:rsid w:val="00D4702E"/>
    <w:rsid w:val="00D47820"/>
    <w:rsid w:val="00D50B8D"/>
    <w:rsid w:val="00D51605"/>
    <w:rsid w:val="00D528E9"/>
    <w:rsid w:val="00D53440"/>
    <w:rsid w:val="00D56395"/>
    <w:rsid w:val="00D56502"/>
    <w:rsid w:val="00D60653"/>
    <w:rsid w:val="00D6085A"/>
    <w:rsid w:val="00D61949"/>
    <w:rsid w:val="00D61A80"/>
    <w:rsid w:val="00D65D2C"/>
    <w:rsid w:val="00D662AD"/>
    <w:rsid w:val="00D70FB1"/>
    <w:rsid w:val="00D72D0C"/>
    <w:rsid w:val="00D72E21"/>
    <w:rsid w:val="00D756C5"/>
    <w:rsid w:val="00D76A44"/>
    <w:rsid w:val="00D77B80"/>
    <w:rsid w:val="00D8083C"/>
    <w:rsid w:val="00D82079"/>
    <w:rsid w:val="00D82120"/>
    <w:rsid w:val="00D821B8"/>
    <w:rsid w:val="00D82A56"/>
    <w:rsid w:val="00D83518"/>
    <w:rsid w:val="00D84856"/>
    <w:rsid w:val="00D8681E"/>
    <w:rsid w:val="00D903F4"/>
    <w:rsid w:val="00D907B1"/>
    <w:rsid w:val="00D90983"/>
    <w:rsid w:val="00D91DA3"/>
    <w:rsid w:val="00D923C1"/>
    <w:rsid w:val="00D95404"/>
    <w:rsid w:val="00DA5AB2"/>
    <w:rsid w:val="00DA6AF6"/>
    <w:rsid w:val="00DA6F0F"/>
    <w:rsid w:val="00DB074C"/>
    <w:rsid w:val="00DB10A6"/>
    <w:rsid w:val="00DB1BAE"/>
    <w:rsid w:val="00DB2DF1"/>
    <w:rsid w:val="00DB3D69"/>
    <w:rsid w:val="00DB43F8"/>
    <w:rsid w:val="00DB5042"/>
    <w:rsid w:val="00DB6C9F"/>
    <w:rsid w:val="00DB7E55"/>
    <w:rsid w:val="00DC0CD0"/>
    <w:rsid w:val="00DC10F0"/>
    <w:rsid w:val="00DC64C9"/>
    <w:rsid w:val="00DC7818"/>
    <w:rsid w:val="00DD16EA"/>
    <w:rsid w:val="00DD1D58"/>
    <w:rsid w:val="00DD20AA"/>
    <w:rsid w:val="00DD20FF"/>
    <w:rsid w:val="00DD33BC"/>
    <w:rsid w:val="00DD5779"/>
    <w:rsid w:val="00DD74D2"/>
    <w:rsid w:val="00DE286D"/>
    <w:rsid w:val="00DE2C05"/>
    <w:rsid w:val="00DE30FB"/>
    <w:rsid w:val="00DE3292"/>
    <w:rsid w:val="00DE4D37"/>
    <w:rsid w:val="00DE7832"/>
    <w:rsid w:val="00DF0C90"/>
    <w:rsid w:val="00DF183E"/>
    <w:rsid w:val="00DF47A1"/>
    <w:rsid w:val="00DF563D"/>
    <w:rsid w:val="00DF5CB4"/>
    <w:rsid w:val="00DF6441"/>
    <w:rsid w:val="00E01E32"/>
    <w:rsid w:val="00E04049"/>
    <w:rsid w:val="00E061E7"/>
    <w:rsid w:val="00E06A1F"/>
    <w:rsid w:val="00E06F10"/>
    <w:rsid w:val="00E07C65"/>
    <w:rsid w:val="00E110D9"/>
    <w:rsid w:val="00E11404"/>
    <w:rsid w:val="00E114CE"/>
    <w:rsid w:val="00E11A90"/>
    <w:rsid w:val="00E132F8"/>
    <w:rsid w:val="00E13BCB"/>
    <w:rsid w:val="00E14147"/>
    <w:rsid w:val="00E1671B"/>
    <w:rsid w:val="00E170AE"/>
    <w:rsid w:val="00E21AD7"/>
    <w:rsid w:val="00E23388"/>
    <w:rsid w:val="00E271F8"/>
    <w:rsid w:val="00E27F25"/>
    <w:rsid w:val="00E35D6D"/>
    <w:rsid w:val="00E364EE"/>
    <w:rsid w:val="00E366C4"/>
    <w:rsid w:val="00E412EE"/>
    <w:rsid w:val="00E4181C"/>
    <w:rsid w:val="00E421F4"/>
    <w:rsid w:val="00E43675"/>
    <w:rsid w:val="00E459C3"/>
    <w:rsid w:val="00E45E89"/>
    <w:rsid w:val="00E45F7D"/>
    <w:rsid w:val="00E52523"/>
    <w:rsid w:val="00E52908"/>
    <w:rsid w:val="00E54054"/>
    <w:rsid w:val="00E62380"/>
    <w:rsid w:val="00E62F35"/>
    <w:rsid w:val="00E63A5E"/>
    <w:rsid w:val="00E640A3"/>
    <w:rsid w:val="00E64164"/>
    <w:rsid w:val="00E664BE"/>
    <w:rsid w:val="00E67C0D"/>
    <w:rsid w:val="00E70CDC"/>
    <w:rsid w:val="00E71004"/>
    <w:rsid w:val="00E72CE0"/>
    <w:rsid w:val="00E72F9C"/>
    <w:rsid w:val="00E749F0"/>
    <w:rsid w:val="00E76013"/>
    <w:rsid w:val="00E767B3"/>
    <w:rsid w:val="00E7685F"/>
    <w:rsid w:val="00E8028A"/>
    <w:rsid w:val="00E849C6"/>
    <w:rsid w:val="00E857D3"/>
    <w:rsid w:val="00E86AF4"/>
    <w:rsid w:val="00E87781"/>
    <w:rsid w:val="00E8799F"/>
    <w:rsid w:val="00E918E4"/>
    <w:rsid w:val="00E92BF2"/>
    <w:rsid w:val="00E92EB2"/>
    <w:rsid w:val="00E94D7E"/>
    <w:rsid w:val="00E95595"/>
    <w:rsid w:val="00EA03F3"/>
    <w:rsid w:val="00EA2107"/>
    <w:rsid w:val="00EA313E"/>
    <w:rsid w:val="00EA609B"/>
    <w:rsid w:val="00EA7A0D"/>
    <w:rsid w:val="00EB01D0"/>
    <w:rsid w:val="00EB1DE3"/>
    <w:rsid w:val="00EB4496"/>
    <w:rsid w:val="00EB48C6"/>
    <w:rsid w:val="00EB5C1D"/>
    <w:rsid w:val="00EB7012"/>
    <w:rsid w:val="00EB7B1D"/>
    <w:rsid w:val="00EC00B2"/>
    <w:rsid w:val="00EC2D0C"/>
    <w:rsid w:val="00EC5E2F"/>
    <w:rsid w:val="00EC6EAF"/>
    <w:rsid w:val="00ED13A6"/>
    <w:rsid w:val="00ED1981"/>
    <w:rsid w:val="00ED3D74"/>
    <w:rsid w:val="00ED5F00"/>
    <w:rsid w:val="00ED765B"/>
    <w:rsid w:val="00ED7BFE"/>
    <w:rsid w:val="00EE0216"/>
    <w:rsid w:val="00EE0A6D"/>
    <w:rsid w:val="00EE116A"/>
    <w:rsid w:val="00EE207B"/>
    <w:rsid w:val="00EE3E89"/>
    <w:rsid w:val="00EE49C7"/>
    <w:rsid w:val="00EE6023"/>
    <w:rsid w:val="00EE7621"/>
    <w:rsid w:val="00EE795D"/>
    <w:rsid w:val="00EF0059"/>
    <w:rsid w:val="00EF17FB"/>
    <w:rsid w:val="00EF2C84"/>
    <w:rsid w:val="00EF2EC6"/>
    <w:rsid w:val="00EF5A26"/>
    <w:rsid w:val="00F00112"/>
    <w:rsid w:val="00F01BD2"/>
    <w:rsid w:val="00F03387"/>
    <w:rsid w:val="00F03C96"/>
    <w:rsid w:val="00F0487A"/>
    <w:rsid w:val="00F07345"/>
    <w:rsid w:val="00F07CC4"/>
    <w:rsid w:val="00F07DF4"/>
    <w:rsid w:val="00F1167E"/>
    <w:rsid w:val="00F119D6"/>
    <w:rsid w:val="00F13F8C"/>
    <w:rsid w:val="00F1498E"/>
    <w:rsid w:val="00F14CFC"/>
    <w:rsid w:val="00F1605A"/>
    <w:rsid w:val="00F20BB4"/>
    <w:rsid w:val="00F20D9A"/>
    <w:rsid w:val="00F218D6"/>
    <w:rsid w:val="00F21F13"/>
    <w:rsid w:val="00F2326A"/>
    <w:rsid w:val="00F31026"/>
    <w:rsid w:val="00F320D7"/>
    <w:rsid w:val="00F32949"/>
    <w:rsid w:val="00F32C72"/>
    <w:rsid w:val="00F33D41"/>
    <w:rsid w:val="00F37D34"/>
    <w:rsid w:val="00F402C9"/>
    <w:rsid w:val="00F40301"/>
    <w:rsid w:val="00F406CA"/>
    <w:rsid w:val="00F41922"/>
    <w:rsid w:val="00F44678"/>
    <w:rsid w:val="00F45634"/>
    <w:rsid w:val="00F45884"/>
    <w:rsid w:val="00F46B73"/>
    <w:rsid w:val="00F47022"/>
    <w:rsid w:val="00F47FAB"/>
    <w:rsid w:val="00F50017"/>
    <w:rsid w:val="00F510F7"/>
    <w:rsid w:val="00F51AB1"/>
    <w:rsid w:val="00F51C65"/>
    <w:rsid w:val="00F520B9"/>
    <w:rsid w:val="00F53CDA"/>
    <w:rsid w:val="00F54366"/>
    <w:rsid w:val="00F55C38"/>
    <w:rsid w:val="00F56B17"/>
    <w:rsid w:val="00F573F9"/>
    <w:rsid w:val="00F662EA"/>
    <w:rsid w:val="00F73444"/>
    <w:rsid w:val="00F73B5A"/>
    <w:rsid w:val="00F76B88"/>
    <w:rsid w:val="00F81333"/>
    <w:rsid w:val="00F85676"/>
    <w:rsid w:val="00F862BA"/>
    <w:rsid w:val="00F90930"/>
    <w:rsid w:val="00F91EC4"/>
    <w:rsid w:val="00F927C9"/>
    <w:rsid w:val="00F93A87"/>
    <w:rsid w:val="00F93B2E"/>
    <w:rsid w:val="00F94C52"/>
    <w:rsid w:val="00F95604"/>
    <w:rsid w:val="00F9756E"/>
    <w:rsid w:val="00F975BF"/>
    <w:rsid w:val="00FA00BB"/>
    <w:rsid w:val="00FA1EA4"/>
    <w:rsid w:val="00FA2A99"/>
    <w:rsid w:val="00FA4728"/>
    <w:rsid w:val="00FA6B0F"/>
    <w:rsid w:val="00FA6DD3"/>
    <w:rsid w:val="00FA7CC3"/>
    <w:rsid w:val="00FB01FB"/>
    <w:rsid w:val="00FB2218"/>
    <w:rsid w:val="00FB6242"/>
    <w:rsid w:val="00FB6B9A"/>
    <w:rsid w:val="00FB7737"/>
    <w:rsid w:val="00FB7894"/>
    <w:rsid w:val="00FC1021"/>
    <w:rsid w:val="00FC1174"/>
    <w:rsid w:val="00FC291D"/>
    <w:rsid w:val="00FC3DC6"/>
    <w:rsid w:val="00FC742C"/>
    <w:rsid w:val="00FD0CE0"/>
    <w:rsid w:val="00FD105F"/>
    <w:rsid w:val="00FD327F"/>
    <w:rsid w:val="00FD34DD"/>
    <w:rsid w:val="00FD3F12"/>
    <w:rsid w:val="00FE0C3B"/>
    <w:rsid w:val="00FE27B4"/>
    <w:rsid w:val="00FE2EB1"/>
    <w:rsid w:val="00FE337F"/>
    <w:rsid w:val="00FE591E"/>
    <w:rsid w:val="00FE70A1"/>
    <w:rsid w:val="00FF1B18"/>
    <w:rsid w:val="00FF2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09AD126-09AE-43FD-B98D-E4EDD9B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B52"/>
    <w:rPr>
      <w:rFonts w:ascii="Calibri" w:eastAsia="Times New Roman" w:hAnsi="Calibri" w:cs="Times New Roman"/>
    </w:rPr>
  </w:style>
  <w:style w:type="paragraph" w:styleId="Titolo1">
    <w:name w:val="heading 1"/>
    <w:basedOn w:val="Normale"/>
    <w:next w:val="Normale"/>
    <w:link w:val="Titolo1Carattere"/>
    <w:uiPriority w:val="9"/>
    <w:qFormat/>
    <w:rsid w:val="00997406"/>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997406"/>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97406"/>
    <w:pPr>
      <w:keepNext/>
      <w:keepLines/>
      <w:spacing w:before="4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997406"/>
    <w:pPr>
      <w:keepNext/>
      <w:keepLines/>
      <w:spacing w:before="200" w:line="240" w:lineRule="auto"/>
      <w:jc w:val="both"/>
      <w:outlineLvl w:val="3"/>
    </w:pPr>
    <w:rPr>
      <w:rFonts w:asciiTheme="majorHAnsi" w:eastAsiaTheme="majorEastAsia" w:hAnsiTheme="majorHAnsi" w:cstheme="majorBidi"/>
      <w:b/>
      <w:bCs/>
      <w:i/>
      <w:iCs/>
      <w:color w:val="4F81BD" w:themeColor="accent1"/>
      <w:sz w:val="24"/>
    </w:rPr>
  </w:style>
  <w:style w:type="paragraph" w:styleId="Titolo5">
    <w:name w:val="heading 5"/>
    <w:basedOn w:val="Normale"/>
    <w:next w:val="Normale"/>
    <w:link w:val="Titolo5Carattere"/>
    <w:uiPriority w:val="9"/>
    <w:semiHidden/>
    <w:unhideWhenUsed/>
    <w:qFormat/>
    <w:rsid w:val="00997406"/>
    <w:pPr>
      <w:keepNext/>
      <w:keepLines/>
      <w:spacing w:before="200" w:line="240" w:lineRule="auto"/>
      <w:jc w:val="both"/>
      <w:outlineLvl w:val="4"/>
    </w:pPr>
    <w:rPr>
      <w:rFonts w:asciiTheme="majorHAnsi" w:eastAsiaTheme="majorEastAsia" w:hAnsiTheme="majorHAnsi" w:cstheme="majorBidi"/>
      <w:color w:val="243F60" w:themeColor="accent1" w:themeShade="7F"/>
      <w:sz w:val="24"/>
    </w:rPr>
  </w:style>
  <w:style w:type="paragraph" w:styleId="Titolo6">
    <w:name w:val="heading 6"/>
    <w:basedOn w:val="Normale"/>
    <w:next w:val="Normale"/>
    <w:link w:val="Titolo6Carattere"/>
    <w:uiPriority w:val="9"/>
    <w:semiHidden/>
    <w:unhideWhenUsed/>
    <w:qFormat/>
    <w:rsid w:val="00997406"/>
    <w:pPr>
      <w:keepNext/>
      <w:keepLines/>
      <w:spacing w:before="40" w:line="240" w:lineRule="auto"/>
      <w:jc w:val="both"/>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997406"/>
    <w:pPr>
      <w:keepNext/>
      <w:keepLines/>
      <w:spacing w:before="40" w:line="240" w:lineRule="auto"/>
      <w:jc w:val="both"/>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997406"/>
    <w:pPr>
      <w:keepNext/>
      <w:keepLines/>
      <w:spacing w:before="200" w:line="240" w:lineRule="auto"/>
      <w:jc w:val="both"/>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97406"/>
    <w:pPr>
      <w:keepNext/>
      <w:keepLines/>
      <w:spacing w:before="20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C822F3"/>
    <w:pPr>
      <w:ind w:left="720"/>
      <w:contextualSpacing/>
    </w:pPr>
  </w:style>
  <w:style w:type="paragraph" w:styleId="Testofumetto">
    <w:name w:val="Balloon Text"/>
    <w:basedOn w:val="Normale"/>
    <w:link w:val="TestofumettoCarattere"/>
    <w:uiPriority w:val="99"/>
    <w:semiHidden/>
    <w:unhideWhenUsed/>
    <w:rsid w:val="00D6085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85A"/>
    <w:rPr>
      <w:rFonts w:ascii="Tahoma" w:eastAsia="Times New Roman" w:hAnsi="Tahoma" w:cs="Tahoma"/>
      <w:sz w:val="16"/>
      <w:szCs w:val="16"/>
    </w:rPr>
  </w:style>
  <w:style w:type="paragraph" w:customStyle="1" w:styleId="Paragrafoelenco2">
    <w:name w:val="Paragrafo elenco2"/>
    <w:basedOn w:val="Normale"/>
    <w:rsid w:val="0059738A"/>
    <w:pPr>
      <w:ind w:left="720"/>
      <w:contextualSpacing/>
    </w:pPr>
  </w:style>
  <w:style w:type="paragraph" w:styleId="Paragrafoelenco">
    <w:name w:val="List Paragraph"/>
    <w:basedOn w:val="Normale"/>
    <w:uiPriority w:val="34"/>
    <w:qFormat/>
    <w:rsid w:val="00D56395"/>
    <w:pPr>
      <w:ind w:left="720"/>
      <w:contextualSpacing/>
    </w:pPr>
  </w:style>
  <w:style w:type="paragraph" w:styleId="Testonotaapidipagina">
    <w:name w:val="footnote text"/>
    <w:basedOn w:val="Normale"/>
    <w:link w:val="TestonotaapidipaginaCarattere"/>
    <w:uiPriority w:val="99"/>
    <w:semiHidden/>
    <w:unhideWhenUsed/>
    <w:rsid w:val="00F94C5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4C52"/>
    <w:rPr>
      <w:rFonts w:ascii="Calibri" w:eastAsia="Times New Roman" w:hAnsi="Calibri" w:cs="Times New Roman"/>
      <w:sz w:val="20"/>
      <w:szCs w:val="20"/>
    </w:rPr>
  </w:style>
  <w:style w:type="character" w:styleId="Rimandonotaapidipagina">
    <w:name w:val="footnote reference"/>
    <w:basedOn w:val="Carpredefinitoparagrafo"/>
    <w:uiPriority w:val="99"/>
    <w:semiHidden/>
    <w:unhideWhenUsed/>
    <w:rsid w:val="00F94C52"/>
    <w:rPr>
      <w:vertAlign w:val="superscript"/>
    </w:rPr>
  </w:style>
  <w:style w:type="paragraph" w:styleId="Intestazione">
    <w:name w:val="header"/>
    <w:basedOn w:val="Normale"/>
    <w:link w:val="IntestazioneCarattere"/>
    <w:uiPriority w:val="99"/>
    <w:unhideWhenUsed/>
    <w:rsid w:val="00AB40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B4034"/>
    <w:rPr>
      <w:rFonts w:ascii="Calibri" w:eastAsia="Times New Roman" w:hAnsi="Calibri" w:cs="Times New Roman"/>
    </w:rPr>
  </w:style>
  <w:style w:type="paragraph" w:styleId="Pidipagina">
    <w:name w:val="footer"/>
    <w:basedOn w:val="Normale"/>
    <w:link w:val="PidipaginaCarattere"/>
    <w:uiPriority w:val="99"/>
    <w:unhideWhenUsed/>
    <w:rsid w:val="00E857D3"/>
    <w:pPr>
      <w:tabs>
        <w:tab w:val="center" w:pos="4819"/>
        <w:tab w:val="right" w:pos="9638"/>
      </w:tabs>
      <w:spacing w:line="240" w:lineRule="auto"/>
      <w:jc w:val="right"/>
    </w:pPr>
  </w:style>
  <w:style w:type="character" w:customStyle="1" w:styleId="PidipaginaCarattere">
    <w:name w:val="Piè di pagina Carattere"/>
    <w:basedOn w:val="Carpredefinitoparagrafo"/>
    <w:link w:val="Pidipagina"/>
    <w:uiPriority w:val="99"/>
    <w:rsid w:val="00E857D3"/>
    <w:rPr>
      <w:rFonts w:ascii="Calibri" w:eastAsia="Times New Roman" w:hAnsi="Calibri" w:cs="Times New Roman"/>
    </w:rPr>
  </w:style>
  <w:style w:type="paragraph" w:styleId="Nessunaspaziatura">
    <w:name w:val="No Spacing"/>
    <w:link w:val="NessunaspaziaturaCarattere"/>
    <w:uiPriority w:val="1"/>
    <w:qFormat/>
    <w:rsid w:val="00997520"/>
    <w:pPr>
      <w:spacing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997520"/>
    <w:rPr>
      <w:rFonts w:eastAsiaTheme="minorEastAsia"/>
    </w:rPr>
  </w:style>
  <w:style w:type="character" w:styleId="Collegamentoipertestuale">
    <w:name w:val="Hyperlink"/>
    <w:basedOn w:val="Carpredefinitoparagrafo"/>
    <w:uiPriority w:val="99"/>
    <w:unhideWhenUsed/>
    <w:rsid w:val="00267675"/>
    <w:rPr>
      <w:color w:val="0000FF" w:themeColor="hyperlink"/>
      <w:u w:val="single"/>
    </w:rPr>
  </w:style>
  <w:style w:type="paragraph" w:styleId="Testonormale">
    <w:name w:val="Plain Text"/>
    <w:basedOn w:val="Normale"/>
    <w:link w:val="TestonormaleCarattere"/>
    <w:uiPriority w:val="99"/>
    <w:semiHidden/>
    <w:unhideWhenUsed/>
    <w:rsid w:val="004B01E1"/>
    <w:pPr>
      <w:spacing w:line="240" w:lineRule="auto"/>
    </w:pPr>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semiHidden/>
    <w:rsid w:val="004B01E1"/>
    <w:rPr>
      <w:rFonts w:ascii="Consolas" w:hAnsi="Consolas"/>
      <w:sz w:val="21"/>
      <w:szCs w:val="21"/>
    </w:rPr>
  </w:style>
  <w:style w:type="character" w:styleId="Collegamentovisitato">
    <w:name w:val="FollowedHyperlink"/>
    <w:basedOn w:val="Carpredefinitoparagrafo"/>
    <w:uiPriority w:val="99"/>
    <w:semiHidden/>
    <w:unhideWhenUsed/>
    <w:rsid w:val="003457E5"/>
    <w:rPr>
      <w:color w:val="800080"/>
      <w:u w:val="single"/>
    </w:rPr>
  </w:style>
  <w:style w:type="paragraph" w:customStyle="1" w:styleId="font5">
    <w:name w:val="font5"/>
    <w:basedOn w:val="Normale"/>
    <w:rsid w:val="003457E5"/>
    <w:pPr>
      <w:spacing w:before="100" w:beforeAutospacing="1" w:after="100" w:afterAutospacing="1" w:line="240" w:lineRule="auto"/>
    </w:pPr>
    <w:rPr>
      <w:rFonts w:ascii="Arial" w:hAnsi="Arial" w:cs="Arial"/>
      <w:sz w:val="20"/>
      <w:szCs w:val="20"/>
      <w:lang w:eastAsia="it-IT"/>
    </w:rPr>
  </w:style>
  <w:style w:type="paragraph" w:customStyle="1" w:styleId="font6">
    <w:name w:val="font6"/>
    <w:basedOn w:val="Normale"/>
    <w:rsid w:val="003457E5"/>
    <w:pPr>
      <w:spacing w:before="100" w:beforeAutospacing="1" w:after="100" w:afterAutospacing="1" w:line="240" w:lineRule="auto"/>
    </w:pPr>
    <w:rPr>
      <w:rFonts w:ascii="Arial" w:hAnsi="Arial" w:cs="Arial"/>
      <w:color w:val="FF0000"/>
      <w:sz w:val="20"/>
      <w:szCs w:val="20"/>
      <w:lang w:eastAsia="it-IT"/>
    </w:rPr>
  </w:style>
  <w:style w:type="paragraph" w:customStyle="1" w:styleId="font7">
    <w:name w:val="font7"/>
    <w:basedOn w:val="Normale"/>
    <w:rsid w:val="003457E5"/>
    <w:pPr>
      <w:spacing w:before="100" w:beforeAutospacing="1" w:after="100" w:afterAutospacing="1" w:line="240" w:lineRule="auto"/>
    </w:pPr>
    <w:rPr>
      <w:rFonts w:ascii="Arial" w:hAnsi="Arial" w:cs="Arial"/>
      <w:color w:val="FF0000"/>
      <w:sz w:val="20"/>
      <w:szCs w:val="20"/>
      <w:lang w:eastAsia="it-IT"/>
    </w:rPr>
  </w:style>
  <w:style w:type="paragraph" w:customStyle="1" w:styleId="font8">
    <w:name w:val="font8"/>
    <w:basedOn w:val="Normale"/>
    <w:rsid w:val="003457E5"/>
    <w:pPr>
      <w:spacing w:before="100" w:beforeAutospacing="1" w:after="100" w:afterAutospacing="1" w:line="240" w:lineRule="auto"/>
    </w:pPr>
    <w:rPr>
      <w:rFonts w:ascii="Arial" w:hAnsi="Arial" w:cs="Arial"/>
      <w:sz w:val="16"/>
      <w:szCs w:val="16"/>
      <w:lang w:eastAsia="it-IT"/>
    </w:rPr>
  </w:style>
  <w:style w:type="paragraph" w:customStyle="1" w:styleId="font9">
    <w:name w:val="font9"/>
    <w:basedOn w:val="Normale"/>
    <w:rsid w:val="003457E5"/>
    <w:pPr>
      <w:spacing w:before="100" w:beforeAutospacing="1" w:after="100" w:afterAutospacing="1" w:line="240" w:lineRule="auto"/>
    </w:pPr>
    <w:rPr>
      <w:rFonts w:ascii="Arial" w:hAnsi="Arial" w:cs="Arial"/>
      <w:color w:val="FF0000"/>
      <w:sz w:val="16"/>
      <w:szCs w:val="16"/>
      <w:lang w:eastAsia="it-IT"/>
    </w:rPr>
  </w:style>
  <w:style w:type="paragraph" w:customStyle="1" w:styleId="font10">
    <w:name w:val="font10"/>
    <w:basedOn w:val="Normale"/>
    <w:rsid w:val="003457E5"/>
    <w:pPr>
      <w:spacing w:before="100" w:beforeAutospacing="1" w:after="100" w:afterAutospacing="1" w:line="240" w:lineRule="auto"/>
    </w:pPr>
    <w:rPr>
      <w:lang w:eastAsia="it-IT"/>
    </w:rPr>
  </w:style>
  <w:style w:type="paragraph" w:customStyle="1" w:styleId="font11">
    <w:name w:val="font11"/>
    <w:basedOn w:val="Normale"/>
    <w:rsid w:val="003457E5"/>
    <w:pPr>
      <w:spacing w:before="100" w:beforeAutospacing="1" w:after="100" w:afterAutospacing="1" w:line="240" w:lineRule="auto"/>
    </w:pPr>
    <w:rPr>
      <w:color w:val="FF0000"/>
      <w:lang w:eastAsia="it-IT"/>
    </w:rPr>
  </w:style>
  <w:style w:type="paragraph" w:customStyle="1" w:styleId="font12">
    <w:name w:val="font12"/>
    <w:basedOn w:val="Normale"/>
    <w:rsid w:val="003457E5"/>
    <w:pPr>
      <w:spacing w:before="100" w:beforeAutospacing="1" w:after="100" w:afterAutospacing="1" w:line="240" w:lineRule="auto"/>
    </w:pPr>
    <w:rPr>
      <w:rFonts w:ascii="Arial" w:hAnsi="Arial" w:cs="Arial"/>
      <w:i/>
      <w:iCs/>
      <w:sz w:val="20"/>
      <w:szCs w:val="20"/>
      <w:lang w:eastAsia="it-IT"/>
    </w:rPr>
  </w:style>
  <w:style w:type="paragraph" w:customStyle="1" w:styleId="font13">
    <w:name w:val="font13"/>
    <w:basedOn w:val="Normale"/>
    <w:rsid w:val="003457E5"/>
    <w:pPr>
      <w:spacing w:before="100" w:beforeAutospacing="1" w:after="100" w:afterAutospacing="1" w:line="240" w:lineRule="auto"/>
    </w:pPr>
    <w:rPr>
      <w:rFonts w:ascii="Arial" w:hAnsi="Arial" w:cs="Arial"/>
      <w:color w:val="002060"/>
      <w:sz w:val="20"/>
      <w:szCs w:val="20"/>
      <w:lang w:eastAsia="it-IT"/>
    </w:rPr>
  </w:style>
  <w:style w:type="paragraph" w:customStyle="1" w:styleId="font14">
    <w:name w:val="font14"/>
    <w:basedOn w:val="Normale"/>
    <w:rsid w:val="003457E5"/>
    <w:pPr>
      <w:spacing w:before="100" w:beforeAutospacing="1" w:after="100" w:afterAutospacing="1" w:line="240" w:lineRule="auto"/>
    </w:pPr>
    <w:rPr>
      <w:rFonts w:ascii="Tahoma" w:hAnsi="Tahoma" w:cs="Tahoma"/>
      <w:color w:val="000000"/>
      <w:sz w:val="18"/>
      <w:szCs w:val="18"/>
      <w:lang w:eastAsia="it-IT"/>
    </w:rPr>
  </w:style>
  <w:style w:type="paragraph" w:customStyle="1" w:styleId="font15">
    <w:name w:val="font15"/>
    <w:basedOn w:val="Normale"/>
    <w:rsid w:val="003457E5"/>
    <w:pPr>
      <w:spacing w:before="100" w:beforeAutospacing="1" w:after="100" w:afterAutospacing="1" w:line="240" w:lineRule="auto"/>
    </w:pPr>
    <w:rPr>
      <w:rFonts w:ascii="Tahoma" w:hAnsi="Tahoma" w:cs="Tahoma"/>
      <w:color w:val="000000"/>
      <w:sz w:val="16"/>
      <w:szCs w:val="16"/>
      <w:lang w:eastAsia="it-IT"/>
    </w:rPr>
  </w:style>
  <w:style w:type="paragraph" w:customStyle="1" w:styleId="xl68">
    <w:name w:val="xl68"/>
    <w:basedOn w:val="Normale"/>
    <w:rsid w:val="003457E5"/>
    <w:pPr>
      <w:spacing w:before="100" w:beforeAutospacing="1" w:after="100" w:afterAutospacing="1" w:line="240" w:lineRule="auto"/>
      <w:textAlignment w:val="center"/>
    </w:pPr>
    <w:rPr>
      <w:rFonts w:ascii="Times New Roman" w:hAnsi="Times New Roman"/>
      <w:sz w:val="24"/>
      <w:szCs w:val="24"/>
      <w:lang w:eastAsia="it-IT"/>
    </w:rPr>
  </w:style>
  <w:style w:type="paragraph" w:customStyle="1" w:styleId="xl69">
    <w:name w:val="xl6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70">
    <w:name w:val="xl7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eastAsia="it-IT"/>
    </w:rPr>
  </w:style>
  <w:style w:type="paragraph" w:customStyle="1" w:styleId="xl71">
    <w:name w:val="xl7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eastAsia="it-IT"/>
    </w:rPr>
  </w:style>
  <w:style w:type="paragraph" w:customStyle="1" w:styleId="xl72">
    <w:name w:val="xl7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73">
    <w:name w:val="xl7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74">
    <w:name w:val="xl74"/>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it-IT"/>
    </w:rPr>
  </w:style>
  <w:style w:type="paragraph" w:customStyle="1" w:styleId="xl75">
    <w:name w:val="xl7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76">
    <w:name w:val="xl76"/>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it-IT"/>
    </w:rPr>
  </w:style>
  <w:style w:type="paragraph" w:customStyle="1" w:styleId="xl77">
    <w:name w:val="xl7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78">
    <w:name w:val="xl78"/>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79">
    <w:name w:val="xl7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80">
    <w:name w:val="xl8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18"/>
      <w:szCs w:val="18"/>
      <w:lang w:eastAsia="it-IT"/>
    </w:rPr>
  </w:style>
  <w:style w:type="paragraph" w:customStyle="1" w:styleId="xl81">
    <w:name w:val="xl8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82">
    <w:name w:val="xl8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83">
    <w:name w:val="xl8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it-IT"/>
    </w:rPr>
  </w:style>
  <w:style w:type="paragraph" w:customStyle="1" w:styleId="xl84">
    <w:name w:val="xl84"/>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85">
    <w:name w:val="xl8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86">
    <w:name w:val="xl86"/>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87">
    <w:name w:val="xl8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88">
    <w:name w:val="xl88"/>
    <w:basedOn w:val="Normale"/>
    <w:rsid w:val="003457E5"/>
    <w:pP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89">
    <w:name w:val="xl8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90">
    <w:name w:val="xl9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91">
    <w:name w:val="xl9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92">
    <w:name w:val="xl9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93">
    <w:name w:val="xl9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94">
    <w:name w:val="xl94"/>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95">
    <w:name w:val="xl9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96">
    <w:name w:val="xl96"/>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97">
    <w:name w:val="xl9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98">
    <w:name w:val="xl98"/>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99">
    <w:name w:val="xl9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00">
    <w:name w:val="xl10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01">
    <w:name w:val="xl10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02">
    <w:name w:val="xl10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03">
    <w:name w:val="xl10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it-IT"/>
    </w:rPr>
  </w:style>
  <w:style w:type="paragraph" w:customStyle="1" w:styleId="xl104">
    <w:name w:val="xl104"/>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105">
    <w:name w:val="xl10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106">
    <w:name w:val="xl106"/>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it-IT"/>
    </w:rPr>
  </w:style>
  <w:style w:type="paragraph" w:customStyle="1" w:styleId="xl107">
    <w:name w:val="xl10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08">
    <w:name w:val="xl108"/>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FF0000"/>
      <w:sz w:val="20"/>
      <w:szCs w:val="20"/>
      <w:lang w:eastAsia="it-IT"/>
    </w:rPr>
  </w:style>
  <w:style w:type="paragraph" w:customStyle="1" w:styleId="xl109">
    <w:name w:val="xl10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10">
    <w:name w:val="xl11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FF0000"/>
      <w:sz w:val="20"/>
      <w:szCs w:val="20"/>
      <w:lang w:eastAsia="it-IT"/>
    </w:rPr>
  </w:style>
  <w:style w:type="paragraph" w:customStyle="1" w:styleId="xl111">
    <w:name w:val="xl11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12">
    <w:name w:val="xl11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13">
    <w:name w:val="xl11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it-IT"/>
    </w:rPr>
  </w:style>
  <w:style w:type="paragraph" w:customStyle="1" w:styleId="xl114">
    <w:name w:val="xl114"/>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15">
    <w:name w:val="xl11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it-IT"/>
    </w:rPr>
  </w:style>
  <w:style w:type="paragraph" w:customStyle="1" w:styleId="xl116">
    <w:name w:val="xl116"/>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17">
    <w:name w:val="xl11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18">
    <w:name w:val="xl118"/>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19">
    <w:name w:val="xl119"/>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FF"/>
      <w:sz w:val="20"/>
      <w:szCs w:val="20"/>
      <w:lang w:eastAsia="it-IT"/>
    </w:rPr>
  </w:style>
  <w:style w:type="paragraph" w:customStyle="1" w:styleId="xl120">
    <w:name w:val="xl120"/>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21">
    <w:name w:val="xl12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sz w:val="20"/>
      <w:szCs w:val="20"/>
      <w:lang w:eastAsia="it-IT"/>
    </w:rPr>
  </w:style>
  <w:style w:type="paragraph" w:customStyle="1" w:styleId="xl122">
    <w:name w:val="xl122"/>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123">
    <w:name w:val="xl123"/>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24">
    <w:name w:val="xl124"/>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25">
    <w:name w:val="xl125"/>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126">
    <w:name w:val="xl126"/>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0"/>
      <w:szCs w:val="20"/>
      <w:lang w:eastAsia="it-IT"/>
    </w:rPr>
  </w:style>
  <w:style w:type="paragraph" w:customStyle="1" w:styleId="xl127">
    <w:name w:val="xl127"/>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28">
    <w:name w:val="xl128"/>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29">
    <w:name w:val="xl129"/>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it-IT"/>
    </w:rPr>
  </w:style>
  <w:style w:type="paragraph" w:customStyle="1" w:styleId="xl130">
    <w:name w:val="xl130"/>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31">
    <w:name w:val="xl131"/>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16"/>
      <w:szCs w:val="16"/>
      <w:lang w:eastAsia="it-IT"/>
    </w:rPr>
  </w:style>
  <w:style w:type="paragraph" w:customStyle="1" w:styleId="xl132">
    <w:name w:val="xl132"/>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6"/>
      <w:szCs w:val="16"/>
      <w:lang w:eastAsia="it-IT"/>
    </w:rPr>
  </w:style>
  <w:style w:type="paragraph" w:customStyle="1" w:styleId="xl133">
    <w:name w:val="xl133"/>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34">
    <w:name w:val="xl134"/>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eastAsia="it-IT"/>
    </w:rPr>
  </w:style>
  <w:style w:type="paragraph" w:customStyle="1" w:styleId="xl135">
    <w:name w:val="xl135"/>
    <w:basedOn w:val="Normale"/>
    <w:rsid w:val="003457E5"/>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it-IT"/>
    </w:rPr>
  </w:style>
  <w:style w:type="paragraph" w:customStyle="1" w:styleId="xl136">
    <w:name w:val="xl136"/>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it-IT"/>
    </w:rPr>
  </w:style>
  <w:style w:type="paragraph" w:customStyle="1" w:styleId="xl67">
    <w:name w:val="xl67"/>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it-IT"/>
    </w:rPr>
  </w:style>
  <w:style w:type="paragraph" w:customStyle="1" w:styleId="xl65">
    <w:name w:val="xl65"/>
    <w:basedOn w:val="Normale"/>
    <w:rsid w:val="003457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it-IT"/>
    </w:rPr>
  </w:style>
  <w:style w:type="paragraph" w:customStyle="1" w:styleId="xl66">
    <w:name w:val="xl66"/>
    <w:basedOn w:val="Normale"/>
    <w:rsid w:val="003457E5"/>
    <w:pPr>
      <w:spacing w:before="100" w:beforeAutospacing="1" w:after="100" w:afterAutospacing="1" w:line="240" w:lineRule="auto"/>
      <w:jc w:val="center"/>
      <w:textAlignment w:val="center"/>
    </w:pPr>
    <w:rPr>
      <w:rFonts w:ascii="Times New Roman" w:hAnsi="Times New Roman"/>
      <w:sz w:val="24"/>
      <w:szCs w:val="24"/>
      <w:lang w:eastAsia="it-IT"/>
    </w:rPr>
  </w:style>
  <w:style w:type="paragraph" w:customStyle="1" w:styleId="xl137">
    <w:name w:val="xl137"/>
    <w:basedOn w:val="Normale"/>
    <w:rsid w:val="003457E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lang w:eastAsia="it-IT"/>
    </w:rPr>
  </w:style>
  <w:style w:type="paragraph" w:customStyle="1" w:styleId="xl138">
    <w:name w:val="xl138"/>
    <w:basedOn w:val="Normale"/>
    <w:rsid w:val="003457E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b/>
      <w:bCs/>
      <w:sz w:val="16"/>
      <w:szCs w:val="16"/>
      <w:lang w:eastAsia="it-IT"/>
    </w:rPr>
  </w:style>
  <w:style w:type="character" w:customStyle="1" w:styleId="Titolo1Carattere">
    <w:name w:val="Titolo 1 Carattere"/>
    <w:basedOn w:val="Carpredefinitoparagrafo"/>
    <w:link w:val="Titolo1"/>
    <w:uiPriority w:val="9"/>
    <w:rsid w:val="0099740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997406"/>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997406"/>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997406"/>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uiPriority w:val="9"/>
    <w:semiHidden/>
    <w:rsid w:val="00997406"/>
    <w:rPr>
      <w:rFonts w:asciiTheme="majorHAnsi" w:eastAsiaTheme="majorEastAsia" w:hAnsiTheme="majorHAnsi" w:cstheme="majorBidi"/>
      <w:color w:val="243F60" w:themeColor="accent1" w:themeShade="7F"/>
      <w:sz w:val="24"/>
    </w:rPr>
  </w:style>
  <w:style w:type="character" w:customStyle="1" w:styleId="Titolo6Carattere">
    <w:name w:val="Titolo 6 Carattere"/>
    <w:basedOn w:val="Carpredefinitoparagrafo"/>
    <w:link w:val="Titolo6"/>
    <w:uiPriority w:val="9"/>
    <w:semiHidden/>
    <w:rsid w:val="00997406"/>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997406"/>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99740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997406"/>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997406"/>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97406"/>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997406"/>
    <w:pPr>
      <w:numPr>
        <w:ilvl w:val="1"/>
      </w:numPr>
      <w:spacing w:before="120" w:after="28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974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997406"/>
    <w:rPr>
      <w:b/>
      <w:bCs/>
    </w:rPr>
  </w:style>
  <w:style w:type="character" w:styleId="Enfasicorsivo">
    <w:name w:val="Emphasis"/>
    <w:uiPriority w:val="20"/>
    <w:qFormat/>
    <w:rsid w:val="00997406"/>
    <w:rPr>
      <w:i/>
      <w:iCs/>
    </w:rPr>
  </w:style>
  <w:style w:type="paragraph" w:styleId="Citazione">
    <w:name w:val="Quote"/>
    <w:basedOn w:val="Normale"/>
    <w:next w:val="Normale"/>
    <w:link w:val="CitazioneCarattere"/>
    <w:uiPriority w:val="29"/>
    <w:qFormat/>
    <w:rsid w:val="00997406"/>
    <w:pPr>
      <w:spacing w:before="120" w:after="280" w:line="240" w:lineRule="auto"/>
      <w:jc w:val="both"/>
    </w:pPr>
    <w:rPr>
      <w:rFonts w:asciiTheme="minorHAnsi" w:eastAsiaTheme="minorHAnsi" w:hAnsiTheme="minorHAnsi" w:cstheme="minorBidi"/>
      <w:i/>
      <w:iCs/>
      <w:color w:val="000000" w:themeColor="text1"/>
      <w:sz w:val="24"/>
    </w:rPr>
  </w:style>
  <w:style w:type="character" w:customStyle="1" w:styleId="CitazioneCarattere">
    <w:name w:val="Citazione Carattere"/>
    <w:basedOn w:val="Carpredefinitoparagrafo"/>
    <w:link w:val="Citazione"/>
    <w:uiPriority w:val="29"/>
    <w:rsid w:val="00997406"/>
    <w:rPr>
      <w:i/>
      <w:iCs/>
      <w:color w:val="000000" w:themeColor="text1"/>
      <w:sz w:val="24"/>
    </w:rPr>
  </w:style>
  <w:style w:type="paragraph" w:styleId="Citazioneintensa">
    <w:name w:val="Intense Quote"/>
    <w:basedOn w:val="Normale"/>
    <w:next w:val="Normale"/>
    <w:link w:val="CitazioneintensaCarattere"/>
    <w:uiPriority w:val="30"/>
    <w:qFormat/>
    <w:rsid w:val="00997406"/>
    <w:pPr>
      <w:pBdr>
        <w:bottom w:val="single" w:sz="4" w:space="4" w:color="4F81BD" w:themeColor="accent1"/>
      </w:pBdr>
      <w:spacing w:before="200" w:after="280" w:line="240" w:lineRule="auto"/>
      <w:ind w:left="936" w:right="936"/>
      <w:jc w:val="both"/>
    </w:pPr>
    <w:rPr>
      <w:rFonts w:asciiTheme="minorHAnsi" w:eastAsiaTheme="minorHAnsi" w:hAnsiTheme="minorHAnsi" w:cstheme="minorBidi"/>
      <w:b/>
      <w:bCs/>
      <w:i/>
      <w:iCs/>
      <w:color w:val="4F81BD" w:themeColor="accent1"/>
      <w:sz w:val="24"/>
    </w:rPr>
  </w:style>
  <w:style w:type="character" w:customStyle="1" w:styleId="CitazioneintensaCarattere">
    <w:name w:val="Citazione intensa Carattere"/>
    <w:basedOn w:val="Carpredefinitoparagrafo"/>
    <w:link w:val="Citazioneintensa"/>
    <w:uiPriority w:val="30"/>
    <w:rsid w:val="00997406"/>
    <w:rPr>
      <w:b/>
      <w:bCs/>
      <w:i/>
      <w:iCs/>
      <w:color w:val="4F81BD" w:themeColor="accent1"/>
      <w:sz w:val="24"/>
    </w:rPr>
  </w:style>
  <w:style w:type="character" w:styleId="Enfasidelicata">
    <w:name w:val="Subtle Emphasis"/>
    <w:uiPriority w:val="19"/>
    <w:qFormat/>
    <w:rsid w:val="00997406"/>
    <w:rPr>
      <w:i/>
      <w:iCs/>
      <w:color w:val="808080" w:themeColor="text1" w:themeTint="7F"/>
    </w:rPr>
  </w:style>
  <w:style w:type="character" w:styleId="Enfasiintensa">
    <w:name w:val="Intense Emphasis"/>
    <w:uiPriority w:val="21"/>
    <w:qFormat/>
    <w:rsid w:val="00997406"/>
    <w:rPr>
      <w:b/>
      <w:bCs/>
      <w:i/>
      <w:iCs/>
      <w:color w:val="4F81BD" w:themeColor="accent1"/>
    </w:rPr>
  </w:style>
  <w:style w:type="character" w:styleId="Riferimentodelicato">
    <w:name w:val="Subtle Reference"/>
    <w:uiPriority w:val="31"/>
    <w:qFormat/>
    <w:rsid w:val="00997406"/>
    <w:rPr>
      <w:smallCaps/>
      <w:color w:val="C0504D" w:themeColor="accent2"/>
      <w:u w:val="single"/>
    </w:rPr>
  </w:style>
  <w:style w:type="character" w:styleId="Riferimentointenso">
    <w:name w:val="Intense Reference"/>
    <w:basedOn w:val="Carpredefinitoparagrafo"/>
    <w:uiPriority w:val="32"/>
    <w:qFormat/>
    <w:rsid w:val="00997406"/>
    <w:rPr>
      <w:b/>
      <w:bCs/>
      <w:smallCaps/>
      <w:color w:val="C0504D" w:themeColor="accent2"/>
      <w:spacing w:val="5"/>
      <w:u w:val="single"/>
    </w:rPr>
  </w:style>
  <w:style w:type="character" w:styleId="Titolodellibro">
    <w:name w:val="Book Title"/>
    <w:basedOn w:val="Carpredefinitoparagrafo"/>
    <w:uiPriority w:val="33"/>
    <w:qFormat/>
    <w:rsid w:val="00997406"/>
    <w:rPr>
      <w:b/>
      <w:bCs/>
      <w:smallCaps/>
      <w:spacing w:val="5"/>
    </w:rPr>
  </w:style>
  <w:style w:type="paragraph" w:styleId="Titolosommario">
    <w:name w:val="TOC Heading"/>
    <w:basedOn w:val="Titolo1"/>
    <w:next w:val="Normale"/>
    <w:uiPriority w:val="39"/>
    <w:semiHidden/>
    <w:unhideWhenUsed/>
    <w:qFormat/>
    <w:rsid w:val="00997406"/>
    <w:pPr>
      <w:spacing w:before="480"/>
      <w:outlineLvl w:val="9"/>
    </w:pPr>
    <w:rPr>
      <w:b/>
      <w:bCs/>
      <w:sz w:val="28"/>
      <w:szCs w:val="28"/>
    </w:rPr>
  </w:style>
  <w:style w:type="paragraph" w:styleId="Didascalia">
    <w:name w:val="caption"/>
    <w:basedOn w:val="Normale"/>
    <w:next w:val="Normale"/>
    <w:uiPriority w:val="35"/>
    <w:semiHidden/>
    <w:unhideWhenUsed/>
    <w:qFormat/>
    <w:rsid w:val="00997406"/>
    <w:pPr>
      <w:spacing w:after="200" w:line="240" w:lineRule="auto"/>
      <w:jc w:val="both"/>
    </w:pPr>
    <w:rPr>
      <w:rFonts w:asciiTheme="minorHAnsi" w:eastAsiaTheme="minorHAnsi" w:hAnsiTheme="minorHAnsi" w:cstheme="minorBidi"/>
      <w:b/>
      <w:bCs/>
      <w:color w:val="4F81BD" w:themeColor="accent1"/>
      <w:sz w:val="18"/>
      <w:szCs w:val="18"/>
    </w:rPr>
  </w:style>
  <w:style w:type="paragraph" w:customStyle="1" w:styleId="FORMTITOLO2">
    <w:name w:val="FORM TITOLO 2"/>
    <w:basedOn w:val="Titolo2"/>
    <w:uiPriority w:val="99"/>
    <w:qFormat/>
    <w:rsid w:val="00997406"/>
    <w:pPr>
      <w:keepLines w:val="0"/>
      <w:numPr>
        <w:ilvl w:val="1"/>
        <w:numId w:val="13"/>
      </w:numPr>
      <w:spacing w:before="360"/>
    </w:pPr>
    <w:rPr>
      <w:rFonts w:ascii="Garamond" w:eastAsia="Calibri" w:hAnsi="Garamond" w:cs="Times New Roman"/>
      <w:b/>
      <w:color w:val="auto"/>
      <w:sz w:val="28"/>
      <w:szCs w:val="28"/>
      <w:lang w:eastAsia="ar-SA"/>
    </w:rPr>
  </w:style>
  <w:style w:type="paragraph" w:customStyle="1" w:styleId="FORMTITOLOTABELLA">
    <w:name w:val="FORM TITOLO TABELLA"/>
    <w:basedOn w:val="Titolo6"/>
    <w:uiPriority w:val="99"/>
    <w:qFormat/>
    <w:rsid w:val="00997406"/>
    <w:pPr>
      <w:keepNext w:val="0"/>
      <w:keepLines w:val="0"/>
      <w:numPr>
        <w:ilvl w:val="5"/>
        <w:numId w:val="13"/>
      </w:numPr>
      <w:tabs>
        <w:tab w:val="left" w:pos="851"/>
      </w:tabs>
      <w:spacing w:before="0"/>
    </w:pPr>
    <w:rPr>
      <w:rFonts w:ascii="Garamond" w:eastAsia="Calibri" w:hAnsi="Garamond" w:cs="Times New Roman"/>
      <w:i/>
      <w:iCs/>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81">
      <w:bodyDiv w:val="1"/>
      <w:marLeft w:val="0"/>
      <w:marRight w:val="0"/>
      <w:marTop w:val="0"/>
      <w:marBottom w:val="0"/>
      <w:divBdr>
        <w:top w:val="none" w:sz="0" w:space="0" w:color="auto"/>
        <w:left w:val="none" w:sz="0" w:space="0" w:color="auto"/>
        <w:bottom w:val="none" w:sz="0" w:space="0" w:color="auto"/>
        <w:right w:val="none" w:sz="0" w:space="0" w:color="auto"/>
      </w:divBdr>
      <w:divsChild>
        <w:div w:id="1955139443">
          <w:marLeft w:val="547"/>
          <w:marRight w:val="0"/>
          <w:marTop w:val="86"/>
          <w:marBottom w:val="0"/>
          <w:divBdr>
            <w:top w:val="none" w:sz="0" w:space="0" w:color="auto"/>
            <w:left w:val="none" w:sz="0" w:space="0" w:color="auto"/>
            <w:bottom w:val="none" w:sz="0" w:space="0" w:color="auto"/>
            <w:right w:val="none" w:sz="0" w:space="0" w:color="auto"/>
          </w:divBdr>
        </w:div>
        <w:div w:id="769620360">
          <w:marLeft w:val="547"/>
          <w:marRight w:val="0"/>
          <w:marTop w:val="86"/>
          <w:marBottom w:val="0"/>
          <w:divBdr>
            <w:top w:val="none" w:sz="0" w:space="0" w:color="auto"/>
            <w:left w:val="none" w:sz="0" w:space="0" w:color="auto"/>
            <w:bottom w:val="none" w:sz="0" w:space="0" w:color="auto"/>
            <w:right w:val="none" w:sz="0" w:space="0" w:color="auto"/>
          </w:divBdr>
        </w:div>
        <w:div w:id="1980958984">
          <w:marLeft w:val="547"/>
          <w:marRight w:val="0"/>
          <w:marTop w:val="86"/>
          <w:marBottom w:val="0"/>
          <w:divBdr>
            <w:top w:val="none" w:sz="0" w:space="0" w:color="auto"/>
            <w:left w:val="none" w:sz="0" w:space="0" w:color="auto"/>
            <w:bottom w:val="none" w:sz="0" w:space="0" w:color="auto"/>
            <w:right w:val="none" w:sz="0" w:space="0" w:color="auto"/>
          </w:divBdr>
        </w:div>
      </w:divsChild>
    </w:div>
    <w:div w:id="14775107">
      <w:bodyDiv w:val="1"/>
      <w:marLeft w:val="0"/>
      <w:marRight w:val="0"/>
      <w:marTop w:val="0"/>
      <w:marBottom w:val="0"/>
      <w:divBdr>
        <w:top w:val="none" w:sz="0" w:space="0" w:color="auto"/>
        <w:left w:val="none" w:sz="0" w:space="0" w:color="auto"/>
        <w:bottom w:val="none" w:sz="0" w:space="0" w:color="auto"/>
        <w:right w:val="none" w:sz="0" w:space="0" w:color="auto"/>
      </w:divBdr>
    </w:div>
    <w:div w:id="54011892">
      <w:bodyDiv w:val="1"/>
      <w:marLeft w:val="0"/>
      <w:marRight w:val="0"/>
      <w:marTop w:val="0"/>
      <w:marBottom w:val="0"/>
      <w:divBdr>
        <w:top w:val="none" w:sz="0" w:space="0" w:color="auto"/>
        <w:left w:val="none" w:sz="0" w:space="0" w:color="auto"/>
        <w:bottom w:val="none" w:sz="0" w:space="0" w:color="auto"/>
        <w:right w:val="none" w:sz="0" w:space="0" w:color="auto"/>
      </w:divBdr>
      <w:divsChild>
        <w:div w:id="1982153853">
          <w:marLeft w:val="547"/>
          <w:marRight w:val="0"/>
          <w:marTop w:val="82"/>
          <w:marBottom w:val="0"/>
          <w:divBdr>
            <w:top w:val="none" w:sz="0" w:space="0" w:color="auto"/>
            <w:left w:val="none" w:sz="0" w:space="0" w:color="auto"/>
            <w:bottom w:val="none" w:sz="0" w:space="0" w:color="auto"/>
            <w:right w:val="none" w:sz="0" w:space="0" w:color="auto"/>
          </w:divBdr>
        </w:div>
      </w:divsChild>
    </w:div>
    <w:div w:id="77290976">
      <w:bodyDiv w:val="1"/>
      <w:marLeft w:val="0"/>
      <w:marRight w:val="0"/>
      <w:marTop w:val="0"/>
      <w:marBottom w:val="0"/>
      <w:divBdr>
        <w:top w:val="none" w:sz="0" w:space="0" w:color="auto"/>
        <w:left w:val="none" w:sz="0" w:space="0" w:color="auto"/>
        <w:bottom w:val="none" w:sz="0" w:space="0" w:color="auto"/>
        <w:right w:val="none" w:sz="0" w:space="0" w:color="auto"/>
      </w:divBdr>
    </w:div>
    <w:div w:id="90973216">
      <w:bodyDiv w:val="1"/>
      <w:marLeft w:val="0"/>
      <w:marRight w:val="0"/>
      <w:marTop w:val="0"/>
      <w:marBottom w:val="0"/>
      <w:divBdr>
        <w:top w:val="none" w:sz="0" w:space="0" w:color="auto"/>
        <w:left w:val="none" w:sz="0" w:space="0" w:color="auto"/>
        <w:bottom w:val="none" w:sz="0" w:space="0" w:color="auto"/>
        <w:right w:val="none" w:sz="0" w:space="0" w:color="auto"/>
      </w:divBdr>
      <w:divsChild>
        <w:div w:id="735856361">
          <w:marLeft w:val="547"/>
          <w:marRight w:val="0"/>
          <w:marTop w:val="0"/>
          <w:marBottom w:val="120"/>
          <w:divBdr>
            <w:top w:val="none" w:sz="0" w:space="0" w:color="auto"/>
            <w:left w:val="none" w:sz="0" w:space="0" w:color="auto"/>
            <w:bottom w:val="none" w:sz="0" w:space="0" w:color="auto"/>
            <w:right w:val="none" w:sz="0" w:space="0" w:color="auto"/>
          </w:divBdr>
        </w:div>
      </w:divsChild>
    </w:div>
    <w:div w:id="152649078">
      <w:bodyDiv w:val="1"/>
      <w:marLeft w:val="0"/>
      <w:marRight w:val="0"/>
      <w:marTop w:val="0"/>
      <w:marBottom w:val="0"/>
      <w:divBdr>
        <w:top w:val="none" w:sz="0" w:space="0" w:color="auto"/>
        <w:left w:val="none" w:sz="0" w:space="0" w:color="auto"/>
        <w:bottom w:val="none" w:sz="0" w:space="0" w:color="auto"/>
        <w:right w:val="none" w:sz="0" w:space="0" w:color="auto"/>
      </w:divBdr>
    </w:div>
    <w:div w:id="241305339">
      <w:bodyDiv w:val="1"/>
      <w:marLeft w:val="0"/>
      <w:marRight w:val="0"/>
      <w:marTop w:val="0"/>
      <w:marBottom w:val="0"/>
      <w:divBdr>
        <w:top w:val="none" w:sz="0" w:space="0" w:color="auto"/>
        <w:left w:val="none" w:sz="0" w:space="0" w:color="auto"/>
        <w:bottom w:val="none" w:sz="0" w:space="0" w:color="auto"/>
        <w:right w:val="none" w:sz="0" w:space="0" w:color="auto"/>
      </w:divBdr>
    </w:div>
    <w:div w:id="244657929">
      <w:bodyDiv w:val="1"/>
      <w:marLeft w:val="0"/>
      <w:marRight w:val="0"/>
      <w:marTop w:val="0"/>
      <w:marBottom w:val="0"/>
      <w:divBdr>
        <w:top w:val="none" w:sz="0" w:space="0" w:color="auto"/>
        <w:left w:val="none" w:sz="0" w:space="0" w:color="auto"/>
        <w:bottom w:val="none" w:sz="0" w:space="0" w:color="auto"/>
        <w:right w:val="none" w:sz="0" w:space="0" w:color="auto"/>
      </w:divBdr>
    </w:div>
    <w:div w:id="356003149">
      <w:bodyDiv w:val="1"/>
      <w:marLeft w:val="0"/>
      <w:marRight w:val="0"/>
      <w:marTop w:val="0"/>
      <w:marBottom w:val="0"/>
      <w:divBdr>
        <w:top w:val="none" w:sz="0" w:space="0" w:color="auto"/>
        <w:left w:val="none" w:sz="0" w:space="0" w:color="auto"/>
        <w:bottom w:val="none" w:sz="0" w:space="0" w:color="auto"/>
        <w:right w:val="none" w:sz="0" w:space="0" w:color="auto"/>
      </w:divBdr>
    </w:div>
    <w:div w:id="488596158">
      <w:bodyDiv w:val="1"/>
      <w:marLeft w:val="0"/>
      <w:marRight w:val="0"/>
      <w:marTop w:val="0"/>
      <w:marBottom w:val="0"/>
      <w:divBdr>
        <w:top w:val="none" w:sz="0" w:space="0" w:color="auto"/>
        <w:left w:val="none" w:sz="0" w:space="0" w:color="auto"/>
        <w:bottom w:val="none" w:sz="0" w:space="0" w:color="auto"/>
        <w:right w:val="none" w:sz="0" w:space="0" w:color="auto"/>
      </w:divBdr>
    </w:div>
    <w:div w:id="489561710">
      <w:bodyDiv w:val="1"/>
      <w:marLeft w:val="0"/>
      <w:marRight w:val="0"/>
      <w:marTop w:val="0"/>
      <w:marBottom w:val="0"/>
      <w:divBdr>
        <w:top w:val="none" w:sz="0" w:space="0" w:color="auto"/>
        <w:left w:val="none" w:sz="0" w:space="0" w:color="auto"/>
        <w:bottom w:val="none" w:sz="0" w:space="0" w:color="auto"/>
        <w:right w:val="none" w:sz="0" w:space="0" w:color="auto"/>
      </w:divBdr>
    </w:div>
    <w:div w:id="637077205">
      <w:bodyDiv w:val="1"/>
      <w:marLeft w:val="0"/>
      <w:marRight w:val="0"/>
      <w:marTop w:val="0"/>
      <w:marBottom w:val="0"/>
      <w:divBdr>
        <w:top w:val="none" w:sz="0" w:space="0" w:color="auto"/>
        <w:left w:val="none" w:sz="0" w:space="0" w:color="auto"/>
        <w:bottom w:val="none" w:sz="0" w:space="0" w:color="auto"/>
        <w:right w:val="none" w:sz="0" w:space="0" w:color="auto"/>
      </w:divBdr>
    </w:div>
    <w:div w:id="711811197">
      <w:bodyDiv w:val="1"/>
      <w:marLeft w:val="0"/>
      <w:marRight w:val="0"/>
      <w:marTop w:val="0"/>
      <w:marBottom w:val="0"/>
      <w:divBdr>
        <w:top w:val="none" w:sz="0" w:space="0" w:color="auto"/>
        <w:left w:val="none" w:sz="0" w:space="0" w:color="auto"/>
        <w:bottom w:val="none" w:sz="0" w:space="0" w:color="auto"/>
        <w:right w:val="none" w:sz="0" w:space="0" w:color="auto"/>
      </w:divBdr>
    </w:div>
    <w:div w:id="798576160">
      <w:bodyDiv w:val="1"/>
      <w:marLeft w:val="0"/>
      <w:marRight w:val="0"/>
      <w:marTop w:val="0"/>
      <w:marBottom w:val="0"/>
      <w:divBdr>
        <w:top w:val="none" w:sz="0" w:space="0" w:color="auto"/>
        <w:left w:val="none" w:sz="0" w:space="0" w:color="auto"/>
        <w:bottom w:val="none" w:sz="0" w:space="0" w:color="auto"/>
        <w:right w:val="none" w:sz="0" w:space="0" w:color="auto"/>
      </w:divBdr>
    </w:div>
    <w:div w:id="835389688">
      <w:bodyDiv w:val="1"/>
      <w:marLeft w:val="0"/>
      <w:marRight w:val="0"/>
      <w:marTop w:val="0"/>
      <w:marBottom w:val="0"/>
      <w:divBdr>
        <w:top w:val="none" w:sz="0" w:space="0" w:color="auto"/>
        <w:left w:val="none" w:sz="0" w:space="0" w:color="auto"/>
        <w:bottom w:val="none" w:sz="0" w:space="0" w:color="auto"/>
        <w:right w:val="none" w:sz="0" w:space="0" w:color="auto"/>
      </w:divBdr>
    </w:div>
    <w:div w:id="969479156">
      <w:bodyDiv w:val="1"/>
      <w:marLeft w:val="0"/>
      <w:marRight w:val="0"/>
      <w:marTop w:val="0"/>
      <w:marBottom w:val="0"/>
      <w:divBdr>
        <w:top w:val="none" w:sz="0" w:space="0" w:color="auto"/>
        <w:left w:val="none" w:sz="0" w:space="0" w:color="auto"/>
        <w:bottom w:val="none" w:sz="0" w:space="0" w:color="auto"/>
        <w:right w:val="none" w:sz="0" w:space="0" w:color="auto"/>
      </w:divBdr>
    </w:div>
    <w:div w:id="982392402">
      <w:bodyDiv w:val="1"/>
      <w:marLeft w:val="0"/>
      <w:marRight w:val="0"/>
      <w:marTop w:val="0"/>
      <w:marBottom w:val="0"/>
      <w:divBdr>
        <w:top w:val="none" w:sz="0" w:space="0" w:color="auto"/>
        <w:left w:val="none" w:sz="0" w:space="0" w:color="auto"/>
        <w:bottom w:val="none" w:sz="0" w:space="0" w:color="auto"/>
        <w:right w:val="none" w:sz="0" w:space="0" w:color="auto"/>
      </w:divBdr>
    </w:div>
    <w:div w:id="1087658428">
      <w:bodyDiv w:val="1"/>
      <w:marLeft w:val="0"/>
      <w:marRight w:val="0"/>
      <w:marTop w:val="0"/>
      <w:marBottom w:val="0"/>
      <w:divBdr>
        <w:top w:val="none" w:sz="0" w:space="0" w:color="auto"/>
        <w:left w:val="none" w:sz="0" w:space="0" w:color="auto"/>
        <w:bottom w:val="none" w:sz="0" w:space="0" w:color="auto"/>
        <w:right w:val="none" w:sz="0" w:space="0" w:color="auto"/>
      </w:divBdr>
    </w:div>
    <w:div w:id="1151674081">
      <w:bodyDiv w:val="1"/>
      <w:marLeft w:val="0"/>
      <w:marRight w:val="0"/>
      <w:marTop w:val="0"/>
      <w:marBottom w:val="0"/>
      <w:divBdr>
        <w:top w:val="none" w:sz="0" w:space="0" w:color="auto"/>
        <w:left w:val="none" w:sz="0" w:space="0" w:color="auto"/>
        <w:bottom w:val="none" w:sz="0" w:space="0" w:color="auto"/>
        <w:right w:val="none" w:sz="0" w:space="0" w:color="auto"/>
      </w:divBdr>
    </w:div>
    <w:div w:id="1202785831">
      <w:bodyDiv w:val="1"/>
      <w:marLeft w:val="0"/>
      <w:marRight w:val="0"/>
      <w:marTop w:val="0"/>
      <w:marBottom w:val="0"/>
      <w:divBdr>
        <w:top w:val="none" w:sz="0" w:space="0" w:color="auto"/>
        <w:left w:val="none" w:sz="0" w:space="0" w:color="auto"/>
        <w:bottom w:val="none" w:sz="0" w:space="0" w:color="auto"/>
        <w:right w:val="none" w:sz="0" w:space="0" w:color="auto"/>
      </w:divBdr>
      <w:divsChild>
        <w:div w:id="1076130543">
          <w:marLeft w:val="547"/>
          <w:marRight w:val="0"/>
          <w:marTop w:val="86"/>
          <w:marBottom w:val="0"/>
          <w:divBdr>
            <w:top w:val="none" w:sz="0" w:space="0" w:color="auto"/>
            <w:left w:val="none" w:sz="0" w:space="0" w:color="auto"/>
            <w:bottom w:val="none" w:sz="0" w:space="0" w:color="auto"/>
            <w:right w:val="none" w:sz="0" w:space="0" w:color="auto"/>
          </w:divBdr>
        </w:div>
        <w:div w:id="1755392231">
          <w:marLeft w:val="547"/>
          <w:marRight w:val="0"/>
          <w:marTop w:val="86"/>
          <w:marBottom w:val="0"/>
          <w:divBdr>
            <w:top w:val="none" w:sz="0" w:space="0" w:color="auto"/>
            <w:left w:val="none" w:sz="0" w:space="0" w:color="auto"/>
            <w:bottom w:val="none" w:sz="0" w:space="0" w:color="auto"/>
            <w:right w:val="none" w:sz="0" w:space="0" w:color="auto"/>
          </w:divBdr>
        </w:div>
        <w:div w:id="802893589">
          <w:marLeft w:val="547"/>
          <w:marRight w:val="0"/>
          <w:marTop w:val="86"/>
          <w:marBottom w:val="0"/>
          <w:divBdr>
            <w:top w:val="none" w:sz="0" w:space="0" w:color="auto"/>
            <w:left w:val="none" w:sz="0" w:space="0" w:color="auto"/>
            <w:bottom w:val="none" w:sz="0" w:space="0" w:color="auto"/>
            <w:right w:val="none" w:sz="0" w:space="0" w:color="auto"/>
          </w:divBdr>
        </w:div>
      </w:divsChild>
    </w:div>
    <w:div w:id="1217664393">
      <w:bodyDiv w:val="1"/>
      <w:marLeft w:val="0"/>
      <w:marRight w:val="0"/>
      <w:marTop w:val="0"/>
      <w:marBottom w:val="0"/>
      <w:divBdr>
        <w:top w:val="none" w:sz="0" w:space="0" w:color="auto"/>
        <w:left w:val="none" w:sz="0" w:space="0" w:color="auto"/>
        <w:bottom w:val="none" w:sz="0" w:space="0" w:color="auto"/>
        <w:right w:val="none" w:sz="0" w:space="0" w:color="auto"/>
      </w:divBdr>
    </w:div>
    <w:div w:id="1230848004">
      <w:bodyDiv w:val="1"/>
      <w:marLeft w:val="0"/>
      <w:marRight w:val="0"/>
      <w:marTop w:val="0"/>
      <w:marBottom w:val="0"/>
      <w:divBdr>
        <w:top w:val="none" w:sz="0" w:space="0" w:color="auto"/>
        <w:left w:val="none" w:sz="0" w:space="0" w:color="auto"/>
        <w:bottom w:val="none" w:sz="0" w:space="0" w:color="auto"/>
        <w:right w:val="none" w:sz="0" w:space="0" w:color="auto"/>
      </w:divBdr>
    </w:div>
    <w:div w:id="1244147228">
      <w:bodyDiv w:val="1"/>
      <w:marLeft w:val="0"/>
      <w:marRight w:val="0"/>
      <w:marTop w:val="0"/>
      <w:marBottom w:val="0"/>
      <w:divBdr>
        <w:top w:val="none" w:sz="0" w:space="0" w:color="auto"/>
        <w:left w:val="none" w:sz="0" w:space="0" w:color="auto"/>
        <w:bottom w:val="none" w:sz="0" w:space="0" w:color="auto"/>
        <w:right w:val="none" w:sz="0" w:space="0" w:color="auto"/>
      </w:divBdr>
    </w:div>
    <w:div w:id="1305038807">
      <w:bodyDiv w:val="1"/>
      <w:marLeft w:val="0"/>
      <w:marRight w:val="0"/>
      <w:marTop w:val="0"/>
      <w:marBottom w:val="0"/>
      <w:divBdr>
        <w:top w:val="none" w:sz="0" w:space="0" w:color="auto"/>
        <w:left w:val="none" w:sz="0" w:space="0" w:color="auto"/>
        <w:bottom w:val="none" w:sz="0" w:space="0" w:color="auto"/>
        <w:right w:val="none" w:sz="0" w:space="0" w:color="auto"/>
      </w:divBdr>
    </w:div>
    <w:div w:id="1308122613">
      <w:bodyDiv w:val="1"/>
      <w:marLeft w:val="0"/>
      <w:marRight w:val="0"/>
      <w:marTop w:val="0"/>
      <w:marBottom w:val="0"/>
      <w:divBdr>
        <w:top w:val="none" w:sz="0" w:space="0" w:color="auto"/>
        <w:left w:val="none" w:sz="0" w:space="0" w:color="auto"/>
        <w:bottom w:val="none" w:sz="0" w:space="0" w:color="auto"/>
        <w:right w:val="none" w:sz="0" w:space="0" w:color="auto"/>
      </w:divBdr>
    </w:div>
    <w:div w:id="1319840849">
      <w:bodyDiv w:val="1"/>
      <w:marLeft w:val="0"/>
      <w:marRight w:val="0"/>
      <w:marTop w:val="0"/>
      <w:marBottom w:val="0"/>
      <w:divBdr>
        <w:top w:val="none" w:sz="0" w:space="0" w:color="auto"/>
        <w:left w:val="none" w:sz="0" w:space="0" w:color="auto"/>
        <w:bottom w:val="none" w:sz="0" w:space="0" w:color="auto"/>
        <w:right w:val="none" w:sz="0" w:space="0" w:color="auto"/>
      </w:divBdr>
    </w:div>
    <w:div w:id="1320187401">
      <w:bodyDiv w:val="1"/>
      <w:marLeft w:val="0"/>
      <w:marRight w:val="0"/>
      <w:marTop w:val="0"/>
      <w:marBottom w:val="0"/>
      <w:divBdr>
        <w:top w:val="none" w:sz="0" w:space="0" w:color="auto"/>
        <w:left w:val="none" w:sz="0" w:space="0" w:color="auto"/>
        <w:bottom w:val="none" w:sz="0" w:space="0" w:color="auto"/>
        <w:right w:val="none" w:sz="0" w:space="0" w:color="auto"/>
      </w:divBdr>
      <w:divsChild>
        <w:div w:id="1211306201">
          <w:marLeft w:val="547"/>
          <w:marRight w:val="0"/>
          <w:marTop w:val="86"/>
          <w:marBottom w:val="0"/>
          <w:divBdr>
            <w:top w:val="none" w:sz="0" w:space="0" w:color="auto"/>
            <w:left w:val="none" w:sz="0" w:space="0" w:color="auto"/>
            <w:bottom w:val="none" w:sz="0" w:space="0" w:color="auto"/>
            <w:right w:val="none" w:sz="0" w:space="0" w:color="auto"/>
          </w:divBdr>
        </w:div>
      </w:divsChild>
    </w:div>
    <w:div w:id="1327897096">
      <w:bodyDiv w:val="1"/>
      <w:marLeft w:val="0"/>
      <w:marRight w:val="0"/>
      <w:marTop w:val="0"/>
      <w:marBottom w:val="0"/>
      <w:divBdr>
        <w:top w:val="none" w:sz="0" w:space="0" w:color="auto"/>
        <w:left w:val="none" w:sz="0" w:space="0" w:color="auto"/>
        <w:bottom w:val="none" w:sz="0" w:space="0" w:color="auto"/>
        <w:right w:val="none" w:sz="0" w:space="0" w:color="auto"/>
      </w:divBdr>
    </w:div>
    <w:div w:id="1365596577">
      <w:bodyDiv w:val="1"/>
      <w:marLeft w:val="0"/>
      <w:marRight w:val="0"/>
      <w:marTop w:val="0"/>
      <w:marBottom w:val="0"/>
      <w:divBdr>
        <w:top w:val="none" w:sz="0" w:space="0" w:color="auto"/>
        <w:left w:val="none" w:sz="0" w:space="0" w:color="auto"/>
        <w:bottom w:val="none" w:sz="0" w:space="0" w:color="auto"/>
        <w:right w:val="none" w:sz="0" w:space="0" w:color="auto"/>
      </w:divBdr>
    </w:div>
    <w:div w:id="1406875113">
      <w:bodyDiv w:val="1"/>
      <w:marLeft w:val="0"/>
      <w:marRight w:val="0"/>
      <w:marTop w:val="0"/>
      <w:marBottom w:val="0"/>
      <w:divBdr>
        <w:top w:val="none" w:sz="0" w:space="0" w:color="auto"/>
        <w:left w:val="none" w:sz="0" w:space="0" w:color="auto"/>
        <w:bottom w:val="none" w:sz="0" w:space="0" w:color="auto"/>
        <w:right w:val="none" w:sz="0" w:space="0" w:color="auto"/>
      </w:divBdr>
    </w:div>
    <w:div w:id="1549877888">
      <w:bodyDiv w:val="1"/>
      <w:marLeft w:val="0"/>
      <w:marRight w:val="0"/>
      <w:marTop w:val="0"/>
      <w:marBottom w:val="0"/>
      <w:divBdr>
        <w:top w:val="none" w:sz="0" w:space="0" w:color="auto"/>
        <w:left w:val="none" w:sz="0" w:space="0" w:color="auto"/>
        <w:bottom w:val="none" w:sz="0" w:space="0" w:color="auto"/>
        <w:right w:val="none" w:sz="0" w:space="0" w:color="auto"/>
      </w:divBdr>
    </w:div>
    <w:div w:id="1569419062">
      <w:bodyDiv w:val="1"/>
      <w:marLeft w:val="0"/>
      <w:marRight w:val="0"/>
      <w:marTop w:val="0"/>
      <w:marBottom w:val="0"/>
      <w:divBdr>
        <w:top w:val="none" w:sz="0" w:space="0" w:color="auto"/>
        <w:left w:val="none" w:sz="0" w:space="0" w:color="auto"/>
        <w:bottom w:val="none" w:sz="0" w:space="0" w:color="auto"/>
        <w:right w:val="none" w:sz="0" w:space="0" w:color="auto"/>
      </w:divBdr>
    </w:div>
    <w:div w:id="1579821263">
      <w:bodyDiv w:val="1"/>
      <w:marLeft w:val="0"/>
      <w:marRight w:val="0"/>
      <w:marTop w:val="0"/>
      <w:marBottom w:val="0"/>
      <w:divBdr>
        <w:top w:val="none" w:sz="0" w:space="0" w:color="auto"/>
        <w:left w:val="none" w:sz="0" w:space="0" w:color="auto"/>
        <w:bottom w:val="none" w:sz="0" w:space="0" w:color="auto"/>
        <w:right w:val="none" w:sz="0" w:space="0" w:color="auto"/>
      </w:divBdr>
    </w:div>
    <w:div w:id="1651405660">
      <w:bodyDiv w:val="1"/>
      <w:marLeft w:val="0"/>
      <w:marRight w:val="0"/>
      <w:marTop w:val="0"/>
      <w:marBottom w:val="0"/>
      <w:divBdr>
        <w:top w:val="none" w:sz="0" w:space="0" w:color="auto"/>
        <w:left w:val="none" w:sz="0" w:space="0" w:color="auto"/>
        <w:bottom w:val="none" w:sz="0" w:space="0" w:color="auto"/>
        <w:right w:val="none" w:sz="0" w:space="0" w:color="auto"/>
      </w:divBdr>
    </w:div>
    <w:div w:id="1664234537">
      <w:bodyDiv w:val="1"/>
      <w:marLeft w:val="0"/>
      <w:marRight w:val="0"/>
      <w:marTop w:val="0"/>
      <w:marBottom w:val="0"/>
      <w:divBdr>
        <w:top w:val="none" w:sz="0" w:space="0" w:color="auto"/>
        <w:left w:val="none" w:sz="0" w:space="0" w:color="auto"/>
        <w:bottom w:val="none" w:sz="0" w:space="0" w:color="auto"/>
        <w:right w:val="none" w:sz="0" w:space="0" w:color="auto"/>
      </w:divBdr>
      <w:divsChild>
        <w:div w:id="155540362">
          <w:marLeft w:val="547"/>
          <w:marRight w:val="0"/>
          <w:marTop w:val="96"/>
          <w:marBottom w:val="0"/>
          <w:divBdr>
            <w:top w:val="none" w:sz="0" w:space="0" w:color="auto"/>
            <w:left w:val="none" w:sz="0" w:space="0" w:color="auto"/>
            <w:bottom w:val="none" w:sz="0" w:space="0" w:color="auto"/>
            <w:right w:val="none" w:sz="0" w:space="0" w:color="auto"/>
          </w:divBdr>
        </w:div>
      </w:divsChild>
    </w:div>
    <w:div w:id="1667904526">
      <w:bodyDiv w:val="1"/>
      <w:marLeft w:val="0"/>
      <w:marRight w:val="0"/>
      <w:marTop w:val="0"/>
      <w:marBottom w:val="0"/>
      <w:divBdr>
        <w:top w:val="none" w:sz="0" w:space="0" w:color="auto"/>
        <w:left w:val="none" w:sz="0" w:space="0" w:color="auto"/>
        <w:bottom w:val="none" w:sz="0" w:space="0" w:color="auto"/>
        <w:right w:val="none" w:sz="0" w:space="0" w:color="auto"/>
      </w:divBdr>
    </w:div>
    <w:div w:id="1701513604">
      <w:bodyDiv w:val="1"/>
      <w:marLeft w:val="0"/>
      <w:marRight w:val="0"/>
      <w:marTop w:val="0"/>
      <w:marBottom w:val="0"/>
      <w:divBdr>
        <w:top w:val="none" w:sz="0" w:space="0" w:color="auto"/>
        <w:left w:val="none" w:sz="0" w:space="0" w:color="auto"/>
        <w:bottom w:val="none" w:sz="0" w:space="0" w:color="auto"/>
        <w:right w:val="none" w:sz="0" w:space="0" w:color="auto"/>
      </w:divBdr>
    </w:div>
    <w:div w:id="1732195879">
      <w:bodyDiv w:val="1"/>
      <w:marLeft w:val="0"/>
      <w:marRight w:val="0"/>
      <w:marTop w:val="0"/>
      <w:marBottom w:val="0"/>
      <w:divBdr>
        <w:top w:val="none" w:sz="0" w:space="0" w:color="auto"/>
        <w:left w:val="none" w:sz="0" w:space="0" w:color="auto"/>
        <w:bottom w:val="none" w:sz="0" w:space="0" w:color="auto"/>
        <w:right w:val="none" w:sz="0" w:space="0" w:color="auto"/>
      </w:divBdr>
    </w:div>
    <w:div w:id="1782450227">
      <w:bodyDiv w:val="1"/>
      <w:marLeft w:val="0"/>
      <w:marRight w:val="0"/>
      <w:marTop w:val="0"/>
      <w:marBottom w:val="0"/>
      <w:divBdr>
        <w:top w:val="none" w:sz="0" w:space="0" w:color="auto"/>
        <w:left w:val="none" w:sz="0" w:space="0" w:color="auto"/>
        <w:bottom w:val="none" w:sz="0" w:space="0" w:color="auto"/>
        <w:right w:val="none" w:sz="0" w:space="0" w:color="auto"/>
      </w:divBdr>
    </w:div>
    <w:div w:id="1856766520">
      <w:bodyDiv w:val="1"/>
      <w:marLeft w:val="0"/>
      <w:marRight w:val="0"/>
      <w:marTop w:val="0"/>
      <w:marBottom w:val="0"/>
      <w:divBdr>
        <w:top w:val="none" w:sz="0" w:space="0" w:color="auto"/>
        <w:left w:val="none" w:sz="0" w:space="0" w:color="auto"/>
        <w:bottom w:val="none" w:sz="0" w:space="0" w:color="auto"/>
        <w:right w:val="none" w:sz="0" w:space="0" w:color="auto"/>
      </w:divBdr>
    </w:div>
    <w:div w:id="1869950373">
      <w:bodyDiv w:val="1"/>
      <w:marLeft w:val="0"/>
      <w:marRight w:val="0"/>
      <w:marTop w:val="0"/>
      <w:marBottom w:val="0"/>
      <w:divBdr>
        <w:top w:val="none" w:sz="0" w:space="0" w:color="auto"/>
        <w:left w:val="none" w:sz="0" w:space="0" w:color="auto"/>
        <w:bottom w:val="none" w:sz="0" w:space="0" w:color="auto"/>
        <w:right w:val="none" w:sz="0" w:space="0" w:color="auto"/>
      </w:divBdr>
      <w:divsChild>
        <w:div w:id="251863025">
          <w:marLeft w:val="547"/>
          <w:marRight w:val="0"/>
          <w:marTop w:val="96"/>
          <w:marBottom w:val="0"/>
          <w:divBdr>
            <w:top w:val="none" w:sz="0" w:space="0" w:color="auto"/>
            <w:left w:val="none" w:sz="0" w:space="0" w:color="auto"/>
            <w:bottom w:val="none" w:sz="0" w:space="0" w:color="auto"/>
            <w:right w:val="none" w:sz="0" w:space="0" w:color="auto"/>
          </w:divBdr>
        </w:div>
      </w:divsChild>
    </w:div>
    <w:div w:id="1892575039">
      <w:bodyDiv w:val="1"/>
      <w:marLeft w:val="0"/>
      <w:marRight w:val="0"/>
      <w:marTop w:val="0"/>
      <w:marBottom w:val="0"/>
      <w:divBdr>
        <w:top w:val="none" w:sz="0" w:space="0" w:color="auto"/>
        <w:left w:val="none" w:sz="0" w:space="0" w:color="auto"/>
        <w:bottom w:val="none" w:sz="0" w:space="0" w:color="auto"/>
        <w:right w:val="none" w:sz="0" w:space="0" w:color="auto"/>
      </w:divBdr>
    </w:div>
    <w:div w:id="1934236770">
      <w:bodyDiv w:val="1"/>
      <w:marLeft w:val="0"/>
      <w:marRight w:val="0"/>
      <w:marTop w:val="0"/>
      <w:marBottom w:val="0"/>
      <w:divBdr>
        <w:top w:val="none" w:sz="0" w:space="0" w:color="auto"/>
        <w:left w:val="none" w:sz="0" w:space="0" w:color="auto"/>
        <w:bottom w:val="none" w:sz="0" w:space="0" w:color="auto"/>
        <w:right w:val="none" w:sz="0" w:space="0" w:color="auto"/>
      </w:divBdr>
    </w:div>
    <w:div w:id="1974673666">
      <w:bodyDiv w:val="1"/>
      <w:marLeft w:val="0"/>
      <w:marRight w:val="0"/>
      <w:marTop w:val="0"/>
      <w:marBottom w:val="0"/>
      <w:divBdr>
        <w:top w:val="none" w:sz="0" w:space="0" w:color="auto"/>
        <w:left w:val="none" w:sz="0" w:space="0" w:color="auto"/>
        <w:bottom w:val="none" w:sz="0" w:space="0" w:color="auto"/>
        <w:right w:val="none" w:sz="0" w:space="0" w:color="auto"/>
      </w:divBdr>
    </w:div>
    <w:div w:id="1996757915">
      <w:bodyDiv w:val="1"/>
      <w:marLeft w:val="0"/>
      <w:marRight w:val="0"/>
      <w:marTop w:val="0"/>
      <w:marBottom w:val="0"/>
      <w:divBdr>
        <w:top w:val="none" w:sz="0" w:space="0" w:color="auto"/>
        <w:left w:val="none" w:sz="0" w:space="0" w:color="auto"/>
        <w:bottom w:val="none" w:sz="0" w:space="0" w:color="auto"/>
        <w:right w:val="none" w:sz="0" w:space="0" w:color="auto"/>
      </w:divBdr>
    </w:div>
    <w:div w:id="2002002511">
      <w:bodyDiv w:val="1"/>
      <w:marLeft w:val="0"/>
      <w:marRight w:val="0"/>
      <w:marTop w:val="0"/>
      <w:marBottom w:val="0"/>
      <w:divBdr>
        <w:top w:val="none" w:sz="0" w:space="0" w:color="auto"/>
        <w:left w:val="none" w:sz="0" w:space="0" w:color="auto"/>
        <w:bottom w:val="none" w:sz="0" w:space="0" w:color="auto"/>
        <w:right w:val="none" w:sz="0" w:space="0" w:color="auto"/>
      </w:divBdr>
    </w:div>
    <w:div w:id="2004502222">
      <w:bodyDiv w:val="1"/>
      <w:marLeft w:val="0"/>
      <w:marRight w:val="0"/>
      <w:marTop w:val="0"/>
      <w:marBottom w:val="0"/>
      <w:divBdr>
        <w:top w:val="none" w:sz="0" w:space="0" w:color="auto"/>
        <w:left w:val="none" w:sz="0" w:space="0" w:color="auto"/>
        <w:bottom w:val="none" w:sz="0" w:space="0" w:color="auto"/>
        <w:right w:val="none" w:sz="0" w:space="0" w:color="auto"/>
      </w:divBdr>
      <w:divsChild>
        <w:div w:id="947005814">
          <w:marLeft w:val="547"/>
          <w:marRight w:val="0"/>
          <w:marTop w:val="86"/>
          <w:marBottom w:val="0"/>
          <w:divBdr>
            <w:top w:val="none" w:sz="0" w:space="0" w:color="auto"/>
            <w:left w:val="none" w:sz="0" w:space="0" w:color="auto"/>
            <w:bottom w:val="none" w:sz="0" w:space="0" w:color="auto"/>
            <w:right w:val="none" w:sz="0" w:space="0" w:color="auto"/>
          </w:divBdr>
        </w:div>
        <w:div w:id="904409408">
          <w:marLeft w:val="547"/>
          <w:marRight w:val="0"/>
          <w:marTop w:val="86"/>
          <w:marBottom w:val="0"/>
          <w:divBdr>
            <w:top w:val="none" w:sz="0" w:space="0" w:color="auto"/>
            <w:left w:val="none" w:sz="0" w:space="0" w:color="auto"/>
            <w:bottom w:val="none" w:sz="0" w:space="0" w:color="auto"/>
            <w:right w:val="none" w:sz="0" w:space="0" w:color="auto"/>
          </w:divBdr>
        </w:div>
      </w:divsChild>
    </w:div>
    <w:div w:id="2092391038">
      <w:bodyDiv w:val="1"/>
      <w:marLeft w:val="0"/>
      <w:marRight w:val="0"/>
      <w:marTop w:val="0"/>
      <w:marBottom w:val="0"/>
      <w:divBdr>
        <w:top w:val="none" w:sz="0" w:space="0" w:color="auto"/>
        <w:left w:val="none" w:sz="0" w:space="0" w:color="auto"/>
        <w:bottom w:val="none" w:sz="0" w:space="0" w:color="auto"/>
        <w:right w:val="none" w:sz="0" w:space="0" w:color="auto"/>
      </w:divBdr>
    </w:div>
    <w:div w:id="21219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cuments\Contrattazione_sociale\2016\elaborazioni_cap2_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cuments\Contrattazione_sociale\2016\elaborazioni_cap2_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documenti_raccolti!$B$29</c:f>
              <c:strCache>
                <c:ptCount val="1"/>
                <c:pt idx="0">
                  <c:v>accordi, piattaforme, delibere</c:v>
                </c:pt>
              </c:strCache>
            </c:strRef>
          </c:tx>
          <c:invertIfNegative val="0"/>
          <c:dLbls>
            <c:spPr>
              <a:noFill/>
              <a:ln>
                <a:noFill/>
              </a:ln>
              <a:effectLst/>
            </c:spPr>
            <c:txPr>
              <a:bodyPr/>
              <a:lstStyle/>
              <a:p>
                <a:pPr>
                  <a:defRPr sz="1200" b="1" i="0" u="none" strike="noStrike" baseline="0">
                    <a:solidFill>
                      <a:srgbClr val="000000"/>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documenti_raccolti!$A$30:$A$37</c:f>
              <c:numCache>
                <c:formatCode>General</c:formatCode>
                <c:ptCount val="8"/>
                <c:pt idx="0">
                  <c:v>2009</c:v>
                </c:pt>
                <c:pt idx="1">
                  <c:v>2010</c:v>
                </c:pt>
                <c:pt idx="2">
                  <c:v>2011</c:v>
                </c:pt>
                <c:pt idx="3">
                  <c:v>2012</c:v>
                </c:pt>
                <c:pt idx="4">
                  <c:v>2013</c:v>
                </c:pt>
                <c:pt idx="5">
                  <c:v>2014</c:v>
                </c:pt>
                <c:pt idx="6">
                  <c:v>2015</c:v>
                </c:pt>
                <c:pt idx="7">
                  <c:v>2016</c:v>
                </c:pt>
              </c:numCache>
            </c:numRef>
          </c:cat>
          <c:val>
            <c:numRef>
              <c:f>documenti_raccolti!$B$30:$B$37</c:f>
              <c:numCache>
                <c:formatCode>General</c:formatCode>
                <c:ptCount val="8"/>
                <c:pt idx="0">
                  <c:v>92</c:v>
                </c:pt>
                <c:pt idx="1">
                  <c:v>88</c:v>
                </c:pt>
                <c:pt idx="2">
                  <c:v>142</c:v>
                </c:pt>
                <c:pt idx="3">
                  <c:v>159</c:v>
                </c:pt>
                <c:pt idx="4">
                  <c:v>124</c:v>
                </c:pt>
                <c:pt idx="5">
                  <c:v>68</c:v>
                </c:pt>
                <c:pt idx="6">
                  <c:v>87</c:v>
                </c:pt>
                <c:pt idx="7">
                  <c:v>68</c:v>
                </c:pt>
              </c:numCache>
            </c:numRef>
          </c:val>
        </c:ser>
        <c:ser>
          <c:idx val="1"/>
          <c:order val="1"/>
          <c:tx>
            <c:strRef>
              <c:f>documenti_raccolti!$C$29</c:f>
              <c:strCache>
                <c:ptCount val="1"/>
                <c:pt idx="0">
                  <c:v>altra documentazione</c:v>
                </c:pt>
              </c:strCache>
            </c:strRef>
          </c:tx>
          <c:invertIfNegative val="0"/>
          <c:dLbls>
            <c:spPr>
              <a:noFill/>
              <a:ln>
                <a:noFill/>
              </a:ln>
              <a:effectLst/>
            </c:spPr>
            <c:txPr>
              <a:bodyPr/>
              <a:lstStyle/>
              <a:p>
                <a:pPr>
                  <a:defRPr sz="1200" b="1" i="0" u="none" strike="noStrike" baseline="0">
                    <a:solidFill>
                      <a:srgbClr val="000000"/>
                    </a:solidFill>
                    <a:latin typeface="Calibri"/>
                    <a:ea typeface="Calibri"/>
                    <a:cs typeface="Calibri"/>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documenti_raccolti!$A$30:$A$37</c:f>
              <c:numCache>
                <c:formatCode>General</c:formatCode>
                <c:ptCount val="8"/>
                <c:pt idx="0">
                  <c:v>2009</c:v>
                </c:pt>
                <c:pt idx="1">
                  <c:v>2010</c:v>
                </c:pt>
                <c:pt idx="2">
                  <c:v>2011</c:v>
                </c:pt>
                <c:pt idx="3">
                  <c:v>2012</c:v>
                </c:pt>
                <c:pt idx="4">
                  <c:v>2013</c:v>
                </c:pt>
                <c:pt idx="5">
                  <c:v>2014</c:v>
                </c:pt>
                <c:pt idx="6">
                  <c:v>2015</c:v>
                </c:pt>
                <c:pt idx="7">
                  <c:v>2016</c:v>
                </c:pt>
              </c:numCache>
            </c:numRef>
          </c:cat>
          <c:val>
            <c:numRef>
              <c:f>documenti_raccolti!$C$30:$C$37</c:f>
              <c:numCache>
                <c:formatCode>General</c:formatCode>
                <c:ptCount val="8"/>
                <c:pt idx="0">
                  <c:v>0</c:v>
                </c:pt>
                <c:pt idx="1">
                  <c:v>0</c:v>
                </c:pt>
                <c:pt idx="2">
                  <c:v>0</c:v>
                </c:pt>
                <c:pt idx="3">
                  <c:v>15</c:v>
                </c:pt>
                <c:pt idx="4">
                  <c:v>24</c:v>
                </c:pt>
                <c:pt idx="5">
                  <c:v>12</c:v>
                </c:pt>
                <c:pt idx="6">
                  <c:v>56</c:v>
                </c:pt>
                <c:pt idx="7">
                  <c:v>28</c:v>
                </c:pt>
              </c:numCache>
            </c:numRef>
          </c:val>
        </c:ser>
        <c:dLbls>
          <c:showLegendKey val="0"/>
          <c:showVal val="1"/>
          <c:showCatName val="0"/>
          <c:showSerName val="0"/>
          <c:showPercent val="0"/>
          <c:showBubbleSize val="0"/>
        </c:dLbls>
        <c:gapWidth val="75"/>
        <c:shape val="box"/>
        <c:axId val="471610120"/>
        <c:axId val="471607768"/>
        <c:axId val="0"/>
      </c:bar3DChart>
      <c:catAx>
        <c:axId val="471610120"/>
        <c:scaling>
          <c:orientation val="minMax"/>
        </c:scaling>
        <c:delete val="0"/>
        <c:axPos val="b"/>
        <c:numFmt formatCode="General" sourceLinked="1"/>
        <c:majorTickMark val="none"/>
        <c:minorTickMark val="none"/>
        <c:tickLblPos val="nextTo"/>
        <c:txPr>
          <a:bodyPr rot="0" vert="horz"/>
          <a:lstStyle/>
          <a:p>
            <a:pPr>
              <a:defRPr sz="1200" b="1" i="0" u="none" strike="noStrike" baseline="0">
                <a:solidFill>
                  <a:srgbClr val="000000"/>
                </a:solidFill>
                <a:latin typeface="Calibri"/>
                <a:ea typeface="Calibri"/>
                <a:cs typeface="Calibri"/>
              </a:defRPr>
            </a:pPr>
            <a:endParaRPr lang="it-IT"/>
          </a:p>
        </c:txPr>
        <c:crossAx val="471607768"/>
        <c:crosses val="autoZero"/>
        <c:auto val="1"/>
        <c:lblAlgn val="ctr"/>
        <c:lblOffset val="100"/>
        <c:noMultiLvlLbl val="0"/>
      </c:catAx>
      <c:valAx>
        <c:axId val="471607768"/>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it-IT"/>
          </a:p>
        </c:txPr>
        <c:crossAx val="471610120"/>
        <c:crosses val="autoZero"/>
        <c:crossBetween val="between"/>
      </c:valAx>
      <c:spPr>
        <a:noFill/>
        <a:ln w="25400">
          <a:noFill/>
        </a:ln>
      </c:spPr>
    </c:plotArea>
    <c:legend>
      <c:legendPos val="b"/>
      <c:layout/>
      <c:overlay val="0"/>
      <c:txPr>
        <a:bodyPr/>
        <a:lstStyle/>
        <a:p>
          <a:pPr>
            <a:defRPr sz="1100" b="0" i="0" u="none" strike="noStrike" baseline="0">
              <a:solidFill>
                <a:srgbClr val="000000"/>
              </a:solidFill>
              <a:latin typeface="Calibri"/>
              <a:ea typeface="Calibri"/>
              <a:cs typeface="Calibri"/>
            </a:defRPr>
          </a:pPr>
          <a:endParaRPr lang="it-IT"/>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100" b="1" i="0" u="none" strike="noStrike" baseline="0">
                    <a:solidFill>
                      <a:srgbClr val="000000"/>
                    </a:solidFill>
                    <a:latin typeface="Calibri"/>
                    <a:ea typeface="Calibri"/>
                    <a:cs typeface="Calibri"/>
                  </a:defRPr>
                </a:pPr>
                <a:endParaRPr lang="it-IT"/>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documenti_raccolti!$A$8:$A$11</c:f>
              <c:strCache>
                <c:ptCount val="4"/>
                <c:pt idx="0">
                  <c:v>Accordo</c:v>
                </c:pt>
                <c:pt idx="1">
                  <c:v>Delibera</c:v>
                </c:pt>
                <c:pt idx="2">
                  <c:v>Piattaforma</c:v>
                </c:pt>
                <c:pt idx="3">
                  <c:v>Altro materiale</c:v>
                </c:pt>
              </c:strCache>
            </c:strRef>
          </c:cat>
          <c:val>
            <c:numRef>
              <c:f>documenti_raccolti!$B$8:$B$11</c:f>
              <c:numCache>
                <c:formatCode>0%</c:formatCode>
                <c:ptCount val="4"/>
                <c:pt idx="0">
                  <c:v>0.6145833333333337</c:v>
                </c:pt>
                <c:pt idx="1">
                  <c:v>2.0833333333333412E-2</c:v>
                </c:pt>
                <c:pt idx="2">
                  <c:v>7.2916666666666824E-2</c:v>
                </c:pt>
                <c:pt idx="3">
                  <c:v>0.29166666666667262</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6C541-DD18-47AA-94BF-C1F0B27E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15990</Words>
  <Characters>91145</Characters>
  <Application>Microsoft Office Word</Application>
  <DocSecurity>4</DocSecurity>
  <Lines>759</Lines>
  <Paragraphs>213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cp:lastModifiedBy>
  <cp:revision>2</cp:revision>
  <cp:lastPrinted>2017-07-16T14:36:00Z</cp:lastPrinted>
  <dcterms:created xsi:type="dcterms:W3CDTF">2018-10-26T13:15:00Z</dcterms:created>
  <dcterms:modified xsi:type="dcterms:W3CDTF">2018-10-26T13:15:00Z</dcterms:modified>
</cp:coreProperties>
</file>