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4C" w:rsidRDefault="004E3D4C" w:rsidP="004E3D4C">
      <w:pPr>
        <w:keepNext/>
      </w:pPr>
      <w:bookmarkStart w:id="0" w:name="_GoBack"/>
      <w:bookmarkEnd w:id="0"/>
      <w:r w:rsidRPr="00A950EA">
        <w:rPr>
          <w:noProof/>
          <w:lang w:eastAsia="it-IT"/>
        </w:rPr>
        <w:drawing>
          <wp:inline distT="0" distB="0" distL="0" distR="0" wp14:anchorId="51C28FC1" wp14:editId="3011BCA0">
            <wp:extent cx="1238250" cy="1238250"/>
            <wp:effectExtent l="19050" t="0" r="0" b="0"/>
            <wp:docPr id="17" name="fbPhotoImage" descr="https://fbcdn-sphotos-d-a.akamaihd.net/hphotos-ak-xft1/v/t1.0-9/1534349_1533138666959866_3110444129154330398_n.jpg?oh=c4ec1ddd60edb951b78d3c2e2bce9b36&amp;oe=55DC60B5&amp;__gda__=1441021759_0b134af60bee0bd33f36b38191984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fbcdn-sphotos-d-a.akamaihd.net/hphotos-ak-xft1/v/t1.0-9/1534349_1533138666959866_3110444129154330398_n.jpg?oh=c4ec1ddd60edb951b78d3c2e2bce9b36&amp;oe=55DC60B5&amp;__gda__=1441021759_0b134af60bee0bd33f36b38191984923"/>
                    <pic:cNvPicPr>
                      <a:picLocks noChangeAspect="1" noChangeArrowheads="1"/>
                    </pic:cNvPicPr>
                  </pic:nvPicPr>
                  <pic:blipFill>
                    <a:blip r:embed="rId8" cstate="print"/>
                    <a:srcRect/>
                    <a:stretch>
                      <a:fillRect/>
                    </a:stretch>
                  </pic:blipFill>
                  <pic:spPr bwMode="auto">
                    <a:xfrm>
                      <a:off x="0" y="0"/>
                      <a:ext cx="1240084" cy="1240084"/>
                    </a:xfrm>
                    <a:prstGeom prst="rect">
                      <a:avLst/>
                    </a:prstGeom>
                    <a:noFill/>
                    <a:ln w="9525">
                      <a:noFill/>
                      <a:miter lim="800000"/>
                      <a:headEnd/>
                      <a:tailEnd/>
                    </a:ln>
                  </pic:spPr>
                </pic:pic>
              </a:graphicData>
            </a:graphic>
          </wp:inline>
        </w:drawing>
      </w:r>
      <w:r w:rsidRPr="00B147E2">
        <w:rPr>
          <w:noProof/>
          <w:lang w:eastAsia="it-IT"/>
        </w:rPr>
        <w:drawing>
          <wp:inline distT="0" distB="0" distL="0" distR="0" wp14:anchorId="337E13FA" wp14:editId="06D12D19">
            <wp:extent cx="1380348" cy="1380348"/>
            <wp:effectExtent l="19050" t="0" r="0" b="0"/>
            <wp:docPr id="7" name="fbPhotoImage" descr="https://scontent-ams.xx.fbcdn.net/hphotos-xpf1/v/t1.0-9/p720x720/1505468_770058583078281_4721241616217669040_n.jpg?oh=845ad8f0f916b09b9cf1c95c7c8b0ac1&amp;oe=559744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scontent-ams.xx.fbcdn.net/hphotos-xpf1/v/t1.0-9/p720x720/1505468_770058583078281_4721241616217669040_n.jpg?oh=845ad8f0f916b09b9cf1c95c7c8b0ac1&amp;oe=559744FC"/>
                    <pic:cNvPicPr>
                      <a:picLocks noChangeAspect="1" noChangeArrowheads="1"/>
                    </pic:cNvPicPr>
                  </pic:nvPicPr>
                  <pic:blipFill>
                    <a:blip r:embed="rId9" cstate="print"/>
                    <a:srcRect/>
                    <a:stretch>
                      <a:fillRect/>
                    </a:stretch>
                  </pic:blipFill>
                  <pic:spPr bwMode="auto">
                    <a:xfrm>
                      <a:off x="0" y="0"/>
                      <a:ext cx="1384139" cy="1384139"/>
                    </a:xfrm>
                    <a:prstGeom prst="rect">
                      <a:avLst/>
                    </a:prstGeom>
                    <a:noFill/>
                    <a:ln w="9525">
                      <a:noFill/>
                      <a:miter lim="800000"/>
                      <a:headEnd/>
                      <a:tailEnd/>
                    </a:ln>
                  </pic:spPr>
                </pic:pic>
              </a:graphicData>
            </a:graphic>
          </wp:inline>
        </w:drawing>
      </w:r>
      <w:r>
        <w:rPr>
          <w:noProof/>
          <w:lang w:eastAsia="it-IT"/>
        </w:rPr>
        <w:drawing>
          <wp:inline distT="0" distB="0" distL="0" distR="0" wp14:anchorId="21BBD24E" wp14:editId="3D7FB2FB">
            <wp:extent cx="884593" cy="1338176"/>
            <wp:effectExtent l="19050" t="0" r="0" b="0"/>
            <wp:docPr id="3" name="Immagine 1" descr="C:\Users\user\AppData\Local\Microsoft\Windows\Temporary Internet Files\Content.Outlook\KC459MFH\logo fp tosc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KC459MFH\logo fp toscana.gif"/>
                    <pic:cNvPicPr>
                      <a:picLocks noChangeAspect="1" noChangeArrowheads="1"/>
                    </pic:cNvPicPr>
                  </pic:nvPicPr>
                  <pic:blipFill>
                    <a:blip r:embed="rId10" cstate="print"/>
                    <a:srcRect/>
                    <a:stretch>
                      <a:fillRect/>
                    </a:stretch>
                  </pic:blipFill>
                  <pic:spPr bwMode="auto">
                    <a:xfrm>
                      <a:off x="0" y="0"/>
                      <a:ext cx="889181" cy="1345117"/>
                    </a:xfrm>
                    <a:prstGeom prst="rect">
                      <a:avLst/>
                    </a:prstGeom>
                    <a:noFill/>
                    <a:ln w="9525">
                      <a:noFill/>
                      <a:miter lim="800000"/>
                      <a:headEnd/>
                      <a:tailEnd/>
                    </a:ln>
                  </pic:spPr>
                </pic:pic>
              </a:graphicData>
            </a:graphic>
          </wp:inline>
        </w:drawing>
      </w:r>
    </w:p>
    <w:p w:rsidR="004E3D4C" w:rsidRDefault="004E3D4C" w:rsidP="004E3D4C">
      <w:r>
        <w:rPr>
          <w:noProof/>
          <w:lang w:eastAsia="it-IT"/>
        </w:rPr>
        <w:drawing>
          <wp:anchor distT="0" distB="0" distL="114300" distR="114300" simplePos="0" relativeHeight="251659264" behindDoc="0" locked="0" layoutInCell="1" allowOverlap="1" wp14:anchorId="67022D4F" wp14:editId="59911FA4">
            <wp:simplePos x="0" y="0"/>
            <wp:positionH relativeFrom="column">
              <wp:posOffset>312420</wp:posOffset>
            </wp:positionH>
            <wp:positionV relativeFrom="paragraph">
              <wp:posOffset>338455</wp:posOffset>
            </wp:positionV>
            <wp:extent cx="1083310" cy="785495"/>
            <wp:effectExtent l="19050" t="0" r="2540" b="0"/>
            <wp:wrapTopAndBottom/>
            <wp:docPr id="2" name="Immagine 2" descr="G:\PERSONAL\Marcello\Loghi ires\logo senza scrit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ERSONAL\Marcello\Loghi ires\logo senza scritta.tif"/>
                    <pic:cNvPicPr>
                      <a:picLocks noChangeAspect="1" noChangeArrowheads="1"/>
                    </pic:cNvPicPr>
                  </pic:nvPicPr>
                  <pic:blipFill>
                    <a:blip r:embed="rId11" cstate="print"/>
                    <a:srcRect/>
                    <a:stretch>
                      <a:fillRect/>
                    </a:stretch>
                  </pic:blipFill>
                  <pic:spPr bwMode="auto">
                    <a:xfrm>
                      <a:off x="0" y="0"/>
                      <a:ext cx="1083310" cy="785495"/>
                    </a:xfrm>
                    <a:prstGeom prst="rect">
                      <a:avLst/>
                    </a:prstGeom>
                    <a:noFill/>
                    <a:ln w="9525">
                      <a:noFill/>
                      <a:miter lim="800000"/>
                      <a:headEnd/>
                      <a:tailEnd/>
                    </a:ln>
                  </pic:spPr>
                </pic:pic>
              </a:graphicData>
            </a:graphic>
          </wp:anchor>
        </w:drawing>
      </w:r>
    </w:p>
    <w:p w:rsidR="004E3D4C" w:rsidRDefault="004E3D4C" w:rsidP="004E3D4C"/>
    <w:p w:rsidR="004E3D4C" w:rsidRDefault="004E3D4C" w:rsidP="004E3D4C"/>
    <w:p w:rsidR="004E3D4C" w:rsidRDefault="004E3D4C" w:rsidP="004E3D4C"/>
    <w:p w:rsidR="004E3D4C" w:rsidRDefault="004E3D4C" w:rsidP="004E3D4C"/>
    <w:p w:rsidR="004E3D4C" w:rsidRDefault="004E3D4C" w:rsidP="004E3D4C"/>
    <w:p w:rsidR="004E3D4C" w:rsidRDefault="004E3D4C" w:rsidP="004E3D4C"/>
    <w:p w:rsidR="004E3D4C" w:rsidRDefault="004E3D4C" w:rsidP="004E3D4C">
      <w:pPr>
        <w:jc w:val="center"/>
        <w:rPr>
          <w:sz w:val="56"/>
          <w:szCs w:val="56"/>
        </w:rPr>
      </w:pPr>
      <w:r w:rsidRPr="00E27FA1">
        <w:rPr>
          <w:sz w:val="56"/>
          <w:szCs w:val="56"/>
        </w:rPr>
        <w:t>Qu</w:t>
      </w:r>
      <w:r>
        <w:rPr>
          <w:sz w:val="56"/>
          <w:szCs w:val="56"/>
        </w:rPr>
        <w:t>into</w:t>
      </w:r>
      <w:r w:rsidRPr="00E27FA1">
        <w:rPr>
          <w:sz w:val="56"/>
          <w:szCs w:val="56"/>
        </w:rPr>
        <w:t xml:space="preserve"> rapporto sulla contrattazione sociale in Toscana</w:t>
      </w:r>
    </w:p>
    <w:p w:rsidR="004E3D4C" w:rsidRPr="00AF2B11" w:rsidRDefault="004E3D4C" w:rsidP="004E3D4C">
      <w:pPr>
        <w:jc w:val="center"/>
        <w:rPr>
          <w:sz w:val="40"/>
          <w:szCs w:val="40"/>
        </w:rPr>
      </w:pPr>
      <w:r w:rsidRPr="00AF2B11">
        <w:rPr>
          <w:sz w:val="40"/>
          <w:szCs w:val="40"/>
        </w:rPr>
        <w:t>(bozza)</w:t>
      </w:r>
    </w:p>
    <w:p w:rsidR="004E3D4C" w:rsidRDefault="004E3D4C" w:rsidP="004E3D4C">
      <w:pPr>
        <w:rPr>
          <w:sz w:val="24"/>
          <w:szCs w:val="24"/>
        </w:rPr>
      </w:pPr>
    </w:p>
    <w:p w:rsidR="004E3D4C" w:rsidRDefault="004E3D4C" w:rsidP="004E3D4C">
      <w:pPr>
        <w:rPr>
          <w:sz w:val="24"/>
          <w:szCs w:val="24"/>
        </w:rPr>
      </w:pPr>
    </w:p>
    <w:p w:rsidR="004E3D4C" w:rsidRPr="00E27FA1" w:rsidRDefault="004E3D4C" w:rsidP="004E3D4C">
      <w:pPr>
        <w:rPr>
          <w:sz w:val="24"/>
          <w:szCs w:val="24"/>
        </w:rPr>
      </w:pPr>
    </w:p>
    <w:p w:rsidR="004E3D4C" w:rsidRDefault="004E3D4C" w:rsidP="004E3D4C"/>
    <w:p w:rsidR="004E3D4C" w:rsidRPr="00E27FA1" w:rsidRDefault="004E3D4C" w:rsidP="004E3D4C">
      <w:pPr>
        <w:jc w:val="center"/>
        <w:rPr>
          <w:sz w:val="32"/>
          <w:szCs w:val="32"/>
        </w:rPr>
      </w:pPr>
      <w:r>
        <w:rPr>
          <w:sz w:val="32"/>
          <w:szCs w:val="32"/>
        </w:rPr>
        <w:t xml:space="preserve">a cura di Patrizia Costantini </w:t>
      </w:r>
      <w:r>
        <w:rPr>
          <w:sz w:val="32"/>
          <w:szCs w:val="32"/>
        </w:rPr>
        <w:t>(</w:t>
      </w:r>
      <w:r>
        <w:rPr>
          <w:sz w:val="32"/>
          <w:szCs w:val="32"/>
        </w:rPr>
        <w:t>IRES Toscana</w:t>
      </w:r>
      <w:r>
        <w:rPr>
          <w:sz w:val="32"/>
          <w:szCs w:val="32"/>
        </w:rPr>
        <w:t>)</w:t>
      </w:r>
    </w:p>
    <w:p w:rsidR="004E3D4C" w:rsidRDefault="004E3D4C" w:rsidP="004E3D4C"/>
    <w:p w:rsidR="004E3D4C" w:rsidRDefault="004E3D4C">
      <w:pPr>
        <w:rPr>
          <w:rFonts w:ascii="Century Gothic" w:hAnsi="Century Gothic"/>
          <w:b/>
          <w:sz w:val="28"/>
          <w:szCs w:val="28"/>
        </w:rPr>
      </w:pPr>
    </w:p>
    <w:p w:rsidR="004E3D4C" w:rsidRDefault="004E3D4C">
      <w:pPr>
        <w:rPr>
          <w:rFonts w:ascii="Century Gothic" w:hAnsi="Century Gothic"/>
          <w:b/>
          <w:sz w:val="28"/>
          <w:szCs w:val="28"/>
        </w:rPr>
      </w:pPr>
      <w:r>
        <w:rPr>
          <w:rFonts w:ascii="Century Gothic" w:hAnsi="Century Gothic"/>
          <w:b/>
          <w:sz w:val="28"/>
          <w:szCs w:val="28"/>
        </w:rPr>
        <w:br w:type="page"/>
      </w:r>
    </w:p>
    <w:p w:rsidR="00D61A80" w:rsidRPr="00E221AE" w:rsidRDefault="00D61A80" w:rsidP="00D61A80">
      <w:pPr>
        <w:autoSpaceDE w:val="0"/>
        <w:autoSpaceDN w:val="0"/>
        <w:adjustRightInd w:val="0"/>
        <w:spacing w:line="240" w:lineRule="auto"/>
        <w:jc w:val="both"/>
        <w:rPr>
          <w:rFonts w:ascii="Century Gothic" w:hAnsi="Century Gothic"/>
          <w:b/>
          <w:sz w:val="28"/>
          <w:szCs w:val="28"/>
        </w:rPr>
      </w:pPr>
      <w:r w:rsidRPr="00E221AE">
        <w:rPr>
          <w:rFonts w:ascii="Century Gothic" w:hAnsi="Century Gothic"/>
          <w:b/>
          <w:sz w:val="28"/>
          <w:szCs w:val="28"/>
        </w:rPr>
        <w:lastRenderedPageBreak/>
        <w:t>1. METODOLOGIA</w:t>
      </w:r>
    </w:p>
    <w:p w:rsidR="00D61A80" w:rsidRPr="0035601B" w:rsidRDefault="00D61A80" w:rsidP="00D61A80">
      <w:pPr>
        <w:autoSpaceDE w:val="0"/>
        <w:autoSpaceDN w:val="0"/>
        <w:adjustRightInd w:val="0"/>
        <w:spacing w:line="240" w:lineRule="auto"/>
        <w:jc w:val="both"/>
        <w:rPr>
          <w:rFonts w:ascii="Century Gothic" w:hAnsi="Century Gothic"/>
          <w:b/>
        </w:rPr>
      </w:pPr>
    </w:p>
    <w:p w:rsidR="00D61A80" w:rsidRPr="00193F0D" w:rsidRDefault="00D61A80" w:rsidP="00193F0D">
      <w:pPr>
        <w:pStyle w:val="Paragrafoelenco"/>
        <w:numPr>
          <w:ilvl w:val="1"/>
          <w:numId w:val="5"/>
        </w:numPr>
        <w:jc w:val="both"/>
        <w:rPr>
          <w:rFonts w:ascii="Century Gothic" w:hAnsi="Century Gothic"/>
          <w:b/>
        </w:rPr>
      </w:pPr>
      <w:r w:rsidRPr="00193F0D">
        <w:rPr>
          <w:rFonts w:ascii="Century Gothic" w:hAnsi="Century Gothic"/>
          <w:b/>
        </w:rPr>
        <w:t>Le coordinate del database sulla contrattazione sociale in Toscana</w:t>
      </w:r>
    </w:p>
    <w:p w:rsidR="003B1217" w:rsidRPr="003B1217" w:rsidRDefault="003B1217" w:rsidP="003B1217">
      <w:pPr>
        <w:jc w:val="both"/>
        <w:rPr>
          <w:rFonts w:ascii="Century Gothic" w:hAnsi="Century Gothic"/>
          <w:b/>
        </w:rPr>
      </w:pPr>
    </w:p>
    <w:p w:rsidR="00D61A80" w:rsidRDefault="00D61A80" w:rsidP="00D61A80">
      <w:pPr>
        <w:jc w:val="both"/>
        <w:rPr>
          <w:rFonts w:ascii="Century Gothic" w:hAnsi="Century Gothic"/>
        </w:rPr>
      </w:pPr>
      <w:r w:rsidRPr="001168CC">
        <w:rPr>
          <w:rFonts w:ascii="Century Gothic" w:hAnsi="Century Gothic"/>
        </w:rPr>
        <w:t>Questo q</w:t>
      </w:r>
      <w:r w:rsidR="00B75B06">
        <w:rPr>
          <w:rFonts w:ascii="Century Gothic" w:hAnsi="Century Gothic"/>
        </w:rPr>
        <w:t>uinto</w:t>
      </w:r>
      <w:r w:rsidRPr="001168CC">
        <w:rPr>
          <w:rFonts w:ascii="Century Gothic" w:hAnsi="Century Gothic"/>
        </w:rPr>
        <w:t xml:space="preserve"> rapporto sulla contrattazione </w:t>
      </w:r>
      <w:r>
        <w:rPr>
          <w:rFonts w:ascii="Century Gothic" w:hAnsi="Century Gothic"/>
        </w:rPr>
        <w:t xml:space="preserve">sociale </w:t>
      </w:r>
      <w:r w:rsidRPr="001168CC">
        <w:rPr>
          <w:rFonts w:ascii="Century Gothic" w:hAnsi="Century Gothic"/>
        </w:rPr>
        <w:t xml:space="preserve">territoriale in </w:t>
      </w:r>
      <w:r>
        <w:rPr>
          <w:rFonts w:ascii="Century Gothic" w:hAnsi="Century Gothic"/>
        </w:rPr>
        <w:t>T</w:t>
      </w:r>
      <w:r w:rsidRPr="001168CC">
        <w:rPr>
          <w:rFonts w:ascii="Century Gothic" w:hAnsi="Century Gothic"/>
        </w:rPr>
        <w:t>oscana analizza</w:t>
      </w:r>
      <w:r>
        <w:rPr>
          <w:rFonts w:ascii="Century Gothic" w:hAnsi="Century Gothic"/>
          <w:i/>
        </w:rPr>
        <w:t xml:space="preserve"> </w:t>
      </w:r>
      <w:r w:rsidRPr="0035601B">
        <w:rPr>
          <w:rFonts w:ascii="Century Gothic" w:hAnsi="Century Gothic"/>
        </w:rPr>
        <w:t>i documenti di contrattazion</w:t>
      </w:r>
      <w:r>
        <w:rPr>
          <w:rFonts w:ascii="Century Gothic" w:hAnsi="Century Gothic"/>
        </w:rPr>
        <w:t xml:space="preserve">e territoriale siglati </w:t>
      </w:r>
      <w:r w:rsidRPr="0035601B">
        <w:rPr>
          <w:rFonts w:ascii="Century Gothic" w:hAnsi="Century Gothic"/>
        </w:rPr>
        <w:t xml:space="preserve">dalle delegazioni sindacali </w:t>
      </w:r>
      <w:r>
        <w:rPr>
          <w:rFonts w:ascii="Century Gothic" w:hAnsi="Century Gothic"/>
        </w:rPr>
        <w:t>d</w:t>
      </w:r>
      <w:r w:rsidRPr="0035601B">
        <w:rPr>
          <w:rFonts w:ascii="Century Gothic" w:hAnsi="Century Gothic"/>
        </w:rPr>
        <w:t>a un lato (Confederazione, Sindacato dei Pensionati o altre categorie</w:t>
      </w:r>
      <w:r>
        <w:rPr>
          <w:rFonts w:ascii="Century Gothic" w:hAnsi="Century Gothic"/>
        </w:rPr>
        <w:t>)</w:t>
      </w:r>
      <w:r w:rsidRPr="0035601B">
        <w:rPr>
          <w:rFonts w:ascii="Century Gothic" w:hAnsi="Century Gothic"/>
        </w:rPr>
        <w:t xml:space="preserve"> e interlocutori istituzionali dall’altro (prevalentemente enti locali in forma singola o associata, comuni, unioni di comuni, ma anche Socie</w:t>
      </w:r>
      <w:r>
        <w:rPr>
          <w:rFonts w:ascii="Century Gothic" w:hAnsi="Century Gothic"/>
        </w:rPr>
        <w:t>tà della Salute, Asl e Regione) nel territorio regionale toscano nel corso del 201</w:t>
      </w:r>
      <w:r w:rsidR="00B75B06">
        <w:rPr>
          <w:rFonts w:ascii="Century Gothic" w:hAnsi="Century Gothic"/>
        </w:rPr>
        <w:t>5</w:t>
      </w:r>
      <w:r>
        <w:rPr>
          <w:rFonts w:ascii="Century Gothic" w:hAnsi="Century Gothic"/>
        </w:rPr>
        <w:t xml:space="preserve">. La metodologia è simile a quella degli anni precedenti, in particolare </w:t>
      </w:r>
      <w:r w:rsidR="00B75B06">
        <w:rPr>
          <w:rFonts w:ascii="Century Gothic" w:hAnsi="Century Gothic"/>
        </w:rPr>
        <w:t>a partire dal</w:t>
      </w:r>
      <w:r>
        <w:rPr>
          <w:rFonts w:ascii="Century Gothic" w:hAnsi="Century Gothic"/>
        </w:rPr>
        <w:t xml:space="preserve"> 2013. Infatti </w:t>
      </w:r>
      <w:r w:rsidR="00B75B06">
        <w:rPr>
          <w:rFonts w:ascii="Century Gothic" w:hAnsi="Century Gothic"/>
        </w:rPr>
        <w:t>dal</w:t>
      </w:r>
      <w:r>
        <w:rPr>
          <w:rFonts w:ascii="Century Gothic" w:hAnsi="Century Gothic"/>
        </w:rPr>
        <w:t xml:space="preserve"> 2013, </w:t>
      </w:r>
      <w:r w:rsidR="00B75B06">
        <w:rPr>
          <w:rFonts w:ascii="Century Gothic" w:hAnsi="Century Gothic"/>
        </w:rPr>
        <w:t xml:space="preserve">si prende come riferimento </w:t>
      </w:r>
      <w:r>
        <w:rPr>
          <w:rFonts w:ascii="Century Gothic" w:hAnsi="Century Gothic"/>
        </w:rPr>
        <w:t>l</w:t>
      </w:r>
      <w:r w:rsidR="00B75B06">
        <w:rPr>
          <w:rFonts w:ascii="Century Gothic" w:hAnsi="Century Gothic"/>
        </w:rPr>
        <w:t>’</w:t>
      </w:r>
      <w:r>
        <w:rPr>
          <w:rFonts w:ascii="Century Gothic" w:hAnsi="Century Gothic"/>
        </w:rPr>
        <w:t xml:space="preserve">anno solare e i </w:t>
      </w:r>
      <w:r w:rsidRPr="0062358F">
        <w:rPr>
          <w:rFonts w:ascii="Century Gothic" w:hAnsi="Century Gothic"/>
        </w:rPr>
        <w:t xml:space="preserve">documenti analizzati </w:t>
      </w:r>
      <w:r w:rsidR="002E76A9">
        <w:rPr>
          <w:rFonts w:ascii="Century Gothic" w:hAnsi="Century Gothic"/>
        </w:rPr>
        <w:t>in questo rapporto afferiscono</w:t>
      </w:r>
      <w:r w:rsidR="00B75B06">
        <w:rPr>
          <w:rFonts w:ascii="Century Gothic" w:hAnsi="Century Gothic"/>
        </w:rPr>
        <w:t xml:space="preserve"> principalmente </w:t>
      </w:r>
      <w:r w:rsidR="002E76A9">
        <w:rPr>
          <w:rFonts w:ascii="Century Gothic" w:hAnsi="Century Gothic"/>
        </w:rPr>
        <w:t>a</w:t>
      </w:r>
      <w:r w:rsidR="00B75B06">
        <w:rPr>
          <w:rFonts w:ascii="Century Gothic" w:hAnsi="Century Gothic"/>
        </w:rPr>
        <w:t>l 2015</w:t>
      </w:r>
      <w:r>
        <w:rPr>
          <w:rFonts w:ascii="Century Gothic" w:hAnsi="Century Gothic"/>
        </w:rPr>
        <w:t xml:space="preserve">. </w:t>
      </w:r>
      <w:r w:rsidR="00B75B06">
        <w:rPr>
          <w:rFonts w:ascii="Century Gothic" w:hAnsi="Century Gothic"/>
        </w:rPr>
        <w:t xml:space="preserve">Sono presenti anche degli accordi siglati alla fine del 2014, che, quindi, riguardano i bilanci preventivi 2015. </w:t>
      </w:r>
    </w:p>
    <w:p w:rsidR="00D61A80" w:rsidRDefault="00D61A80" w:rsidP="00D61A80">
      <w:pPr>
        <w:jc w:val="both"/>
        <w:rPr>
          <w:rFonts w:ascii="Century Gothic" w:hAnsi="Century Gothic"/>
        </w:rPr>
      </w:pPr>
      <w:r>
        <w:rPr>
          <w:rFonts w:ascii="Century Gothic" w:hAnsi="Century Gothic"/>
        </w:rPr>
        <w:t xml:space="preserve">I documenti sono suddivisi in quattro macrocategorie principali: accordi e verbali di incontro, piattaforme, </w:t>
      </w:r>
      <w:r w:rsidRPr="00D81127">
        <w:rPr>
          <w:rFonts w:ascii="Century Gothic" w:hAnsi="Century Gothic"/>
        </w:rPr>
        <w:t>delibere</w:t>
      </w:r>
      <w:r>
        <w:rPr>
          <w:rFonts w:ascii="Century Gothic" w:hAnsi="Century Gothic"/>
        </w:rPr>
        <w:t>,</w:t>
      </w:r>
      <w:r w:rsidRPr="00D81127">
        <w:rPr>
          <w:rFonts w:ascii="Century Gothic" w:hAnsi="Century Gothic"/>
        </w:rPr>
        <w:t xml:space="preserve"> </w:t>
      </w:r>
      <w:r>
        <w:rPr>
          <w:rFonts w:ascii="Century Gothic" w:hAnsi="Century Gothic"/>
        </w:rPr>
        <w:t>materiale documentale</w:t>
      </w:r>
      <w:r w:rsidRPr="00D81127">
        <w:rPr>
          <w:rFonts w:ascii="Century Gothic" w:hAnsi="Century Gothic"/>
        </w:rPr>
        <w:t xml:space="preserve"> </w:t>
      </w:r>
      <w:r>
        <w:rPr>
          <w:rFonts w:ascii="Century Gothic" w:hAnsi="Century Gothic"/>
        </w:rPr>
        <w:t>di altro tipo</w:t>
      </w:r>
      <w:r w:rsidRPr="00D81127">
        <w:rPr>
          <w:rFonts w:ascii="Century Gothic" w:hAnsi="Century Gothic"/>
        </w:rPr>
        <w:t xml:space="preserve"> come dichiarazioni, comunicati sindacali, le</w:t>
      </w:r>
      <w:r>
        <w:rPr>
          <w:rFonts w:ascii="Century Gothic" w:hAnsi="Century Gothic"/>
        </w:rPr>
        <w:t>ttere e richieste di incontro. La lettura dei documenti di quest’ultima</w:t>
      </w:r>
      <w:r w:rsidRPr="00D81127">
        <w:rPr>
          <w:rFonts w:ascii="Century Gothic" w:hAnsi="Century Gothic"/>
        </w:rPr>
        <w:t xml:space="preserve"> categoria</w:t>
      </w:r>
      <w:r w:rsidR="00615351">
        <w:rPr>
          <w:rFonts w:ascii="Century Gothic" w:hAnsi="Century Gothic"/>
        </w:rPr>
        <w:t xml:space="preserve"> </w:t>
      </w:r>
      <w:r>
        <w:rPr>
          <w:rFonts w:ascii="Century Gothic" w:hAnsi="Century Gothic"/>
        </w:rPr>
        <w:t>consente</w:t>
      </w:r>
      <w:r w:rsidRPr="00D81127">
        <w:rPr>
          <w:rFonts w:ascii="Century Gothic" w:hAnsi="Century Gothic"/>
        </w:rPr>
        <w:t xml:space="preserve"> </w:t>
      </w:r>
      <w:r>
        <w:rPr>
          <w:rFonts w:ascii="Century Gothic" w:hAnsi="Century Gothic"/>
        </w:rPr>
        <w:t xml:space="preserve">di acquisire utili informazioni </w:t>
      </w:r>
      <w:r w:rsidRPr="00D81127">
        <w:rPr>
          <w:rFonts w:ascii="Century Gothic" w:hAnsi="Century Gothic"/>
        </w:rPr>
        <w:t xml:space="preserve">per comprendere </w:t>
      </w:r>
      <w:r>
        <w:rPr>
          <w:rFonts w:ascii="Century Gothic" w:hAnsi="Century Gothic"/>
        </w:rPr>
        <w:t>il percorso negoziale dal punto di vista delle</w:t>
      </w:r>
      <w:r w:rsidRPr="00D81127">
        <w:rPr>
          <w:rFonts w:ascii="Century Gothic" w:hAnsi="Century Gothic"/>
        </w:rPr>
        <w:t xml:space="preserve"> difficoltà</w:t>
      </w:r>
      <w:r>
        <w:rPr>
          <w:rFonts w:ascii="Century Gothic" w:hAnsi="Century Gothic"/>
        </w:rPr>
        <w:t xml:space="preserve"> e delle posizioni</w:t>
      </w:r>
      <w:r w:rsidRPr="00D81127">
        <w:rPr>
          <w:rFonts w:ascii="Century Gothic" w:hAnsi="Century Gothic"/>
        </w:rPr>
        <w:t xml:space="preserve"> dei principali </w:t>
      </w:r>
      <w:r>
        <w:rPr>
          <w:rFonts w:ascii="Century Gothic" w:hAnsi="Century Gothic"/>
        </w:rPr>
        <w:t>soggetti</w:t>
      </w:r>
      <w:r w:rsidRPr="00D81127">
        <w:rPr>
          <w:rFonts w:ascii="Century Gothic" w:hAnsi="Century Gothic"/>
        </w:rPr>
        <w:t xml:space="preserve"> coinvolti nella contrattazione</w:t>
      </w:r>
      <w:r>
        <w:rPr>
          <w:rFonts w:ascii="Century Gothic" w:hAnsi="Century Gothic"/>
        </w:rPr>
        <w:t xml:space="preserve"> sociale</w:t>
      </w:r>
      <w:r w:rsidRPr="00D81127">
        <w:rPr>
          <w:rFonts w:ascii="Century Gothic" w:hAnsi="Century Gothic"/>
        </w:rPr>
        <w:t>.</w:t>
      </w:r>
    </w:p>
    <w:p w:rsidR="00D61A80" w:rsidRPr="00D81127" w:rsidRDefault="003B1217" w:rsidP="00D61A80">
      <w:pPr>
        <w:jc w:val="both"/>
        <w:rPr>
          <w:rFonts w:ascii="Century Gothic" w:hAnsi="Century Gothic"/>
        </w:rPr>
      </w:pPr>
      <w:r>
        <w:rPr>
          <w:rFonts w:ascii="Century Gothic" w:hAnsi="Century Gothic"/>
        </w:rPr>
        <w:t>Si ricorda che il</w:t>
      </w:r>
      <w:r w:rsidR="00D61A80">
        <w:rPr>
          <w:rFonts w:ascii="Century Gothic" w:hAnsi="Century Gothic"/>
        </w:rPr>
        <w:t xml:space="preserve"> data base toscano sulla contrattazione sociale raccoglie dati quantitativi e qualitativi. I dati quantitativi </w:t>
      </w:r>
      <w:r w:rsidR="00D61A80" w:rsidRPr="00D81127">
        <w:rPr>
          <w:rFonts w:ascii="Century Gothic" w:hAnsi="Century Gothic"/>
        </w:rPr>
        <w:t xml:space="preserve">riguardano </w:t>
      </w:r>
      <w:r w:rsidR="00D61A80" w:rsidRPr="00E221AE">
        <w:rPr>
          <w:rFonts w:ascii="Century Gothic" w:hAnsi="Century Gothic"/>
        </w:rPr>
        <w:t>gli accordi</w:t>
      </w:r>
      <w:r w:rsidR="00D61A80" w:rsidRPr="00D81127">
        <w:rPr>
          <w:rFonts w:ascii="Century Gothic" w:hAnsi="Century Gothic"/>
        </w:rPr>
        <w:t xml:space="preserve"> sottoscritti nei comuni della regione classificati per soggetti firmatari, </w:t>
      </w:r>
      <w:r w:rsidR="00D61A80">
        <w:rPr>
          <w:rFonts w:ascii="Century Gothic" w:hAnsi="Century Gothic"/>
        </w:rPr>
        <w:t xml:space="preserve">tipologia, livello dell’accordo, data ed esercizio di riferimento. </w:t>
      </w:r>
    </w:p>
    <w:p w:rsidR="00D61A80" w:rsidRPr="0035601B" w:rsidRDefault="00D61A80" w:rsidP="00D61A80">
      <w:pPr>
        <w:jc w:val="both"/>
        <w:rPr>
          <w:rFonts w:ascii="Century Gothic" w:hAnsi="Century Gothic"/>
        </w:rPr>
      </w:pPr>
      <w:r w:rsidRPr="00D81127">
        <w:rPr>
          <w:rFonts w:ascii="Century Gothic" w:hAnsi="Century Gothic"/>
        </w:rPr>
        <w:t>L’analisi qualitativa, relativa agli argomenti trattati dai vari accordi</w:t>
      </w:r>
      <w:r>
        <w:rPr>
          <w:rFonts w:ascii="Century Gothic" w:hAnsi="Century Gothic"/>
        </w:rPr>
        <w:t>,</w:t>
      </w:r>
      <w:r w:rsidRPr="00D81127">
        <w:rPr>
          <w:rFonts w:ascii="Century Gothic" w:hAnsi="Century Gothic"/>
        </w:rPr>
        <w:t xml:space="preserve"> si svolge, come di </w:t>
      </w:r>
      <w:r>
        <w:rPr>
          <w:rFonts w:ascii="Century Gothic" w:hAnsi="Century Gothic"/>
        </w:rPr>
        <w:t>consueto,</w:t>
      </w:r>
      <w:r w:rsidRPr="00D81127">
        <w:rPr>
          <w:rFonts w:ascii="Century Gothic" w:hAnsi="Century Gothic"/>
        </w:rPr>
        <w:t xml:space="preserve"> in </w:t>
      </w:r>
      <w:r>
        <w:rPr>
          <w:rFonts w:ascii="Century Gothic" w:hAnsi="Century Gothic"/>
        </w:rPr>
        <w:t xml:space="preserve">linea </w:t>
      </w:r>
      <w:r w:rsidRPr="00D81127">
        <w:rPr>
          <w:rFonts w:ascii="Century Gothic" w:hAnsi="Century Gothic"/>
        </w:rPr>
        <w:t>con l’osservatorio nazio</w:t>
      </w:r>
      <w:r>
        <w:rPr>
          <w:rFonts w:ascii="Century Gothic" w:hAnsi="Century Gothic"/>
        </w:rPr>
        <w:t>nale</w:t>
      </w:r>
      <w:r w:rsidRPr="00D81127">
        <w:rPr>
          <w:rFonts w:ascii="Century Gothic" w:hAnsi="Century Gothic"/>
        </w:rPr>
        <w:t xml:space="preserve"> sulla contrattazione sociale, seguendo la stessa classificazione dei temi adottata a livello nazionale. Si tratta come </w:t>
      </w:r>
      <w:r>
        <w:rPr>
          <w:rFonts w:ascii="Century Gothic" w:hAnsi="Century Gothic"/>
        </w:rPr>
        <w:t xml:space="preserve">è noto di 11 macroaree </w:t>
      </w:r>
      <w:r w:rsidRPr="000561A0">
        <w:rPr>
          <w:rFonts w:ascii="Century Gothic" w:hAnsi="Century Gothic"/>
        </w:rPr>
        <w:t>negoziali (relazioni tra le parti e strumenti di partecipazione, la pubblica amministrazione e il bilancio comunale, per arrivare poi ai temi centrali: assistenza socio-sanitaria, il lavoro, sviluppo e occupazione, politiche fiscali e tariffarie, pari opportunità e lotta alle discriminazioni, politiche abitative e del territorio, infanzia, questioni giovanili, istruzione, iniziative culturali e di socializzazione)</w:t>
      </w:r>
      <w:r>
        <w:rPr>
          <w:rFonts w:ascii="Century Gothic" w:hAnsi="Century Gothic"/>
        </w:rPr>
        <w:t>.</w:t>
      </w:r>
    </w:p>
    <w:p w:rsidR="00615351" w:rsidRDefault="00D61A80" w:rsidP="00D61A80">
      <w:pPr>
        <w:jc w:val="both"/>
        <w:rPr>
          <w:rFonts w:ascii="Century Gothic" w:hAnsi="Century Gothic"/>
        </w:rPr>
      </w:pPr>
      <w:r>
        <w:rPr>
          <w:rFonts w:ascii="Century Gothic" w:hAnsi="Century Gothic"/>
        </w:rPr>
        <w:t xml:space="preserve">Come evidenziato in precedenti rapporti a livello regionale, </w:t>
      </w:r>
      <w:r w:rsidRPr="009F07B3">
        <w:rPr>
          <w:rFonts w:ascii="Century Gothic" w:hAnsi="Century Gothic"/>
        </w:rPr>
        <w:t xml:space="preserve">la classificazione per argomenti </w:t>
      </w:r>
      <w:r>
        <w:rPr>
          <w:rFonts w:ascii="Century Gothic" w:hAnsi="Century Gothic"/>
        </w:rPr>
        <w:t xml:space="preserve">può </w:t>
      </w:r>
      <w:r w:rsidRPr="0035601B">
        <w:rPr>
          <w:rFonts w:ascii="Century Gothic" w:hAnsi="Century Gothic"/>
        </w:rPr>
        <w:t>presenta</w:t>
      </w:r>
      <w:r>
        <w:rPr>
          <w:rFonts w:ascii="Century Gothic" w:hAnsi="Century Gothic"/>
        </w:rPr>
        <w:t>re</w:t>
      </w:r>
      <w:r w:rsidRPr="0035601B">
        <w:rPr>
          <w:rFonts w:ascii="Century Gothic" w:hAnsi="Century Gothic"/>
        </w:rPr>
        <w:t xml:space="preserve"> </w:t>
      </w:r>
      <w:r w:rsidRPr="00E221AE">
        <w:rPr>
          <w:rFonts w:ascii="Century Gothic" w:hAnsi="Century Gothic"/>
        </w:rPr>
        <w:t>limiti</w:t>
      </w:r>
      <w:r w:rsidRPr="0035601B">
        <w:rPr>
          <w:rFonts w:ascii="Century Gothic" w:hAnsi="Century Gothic"/>
        </w:rPr>
        <w:t xml:space="preserve"> evidenti se ci si </w:t>
      </w:r>
      <w:r w:rsidRPr="00E221AE">
        <w:rPr>
          <w:rFonts w:ascii="Century Gothic" w:hAnsi="Century Gothic"/>
        </w:rPr>
        <w:t>ferma</w:t>
      </w:r>
      <w:r w:rsidRPr="0035601B">
        <w:rPr>
          <w:rFonts w:ascii="Century Gothic" w:hAnsi="Century Gothic"/>
        </w:rPr>
        <w:t xml:space="preserve"> a contare quante volte un determinato argome</w:t>
      </w:r>
      <w:r>
        <w:rPr>
          <w:rFonts w:ascii="Century Gothic" w:hAnsi="Century Gothic"/>
        </w:rPr>
        <w:t>nto ricorre negli accordi senza entrare nel merito della trattazione</w:t>
      </w:r>
      <w:r w:rsidRPr="0035601B">
        <w:rPr>
          <w:rFonts w:ascii="Century Gothic" w:hAnsi="Century Gothic"/>
        </w:rPr>
        <w:t xml:space="preserve">. </w:t>
      </w:r>
    </w:p>
    <w:p w:rsidR="00D61A80" w:rsidRDefault="00D61A80" w:rsidP="00D61A80">
      <w:pPr>
        <w:jc w:val="both"/>
        <w:rPr>
          <w:rFonts w:ascii="Century Gothic" w:hAnsi="Century Gothic"/>
        </w:rPr>
      </w:pPr>
      <w:r>
        <w:rPr>
          <w:rFonts w:ascii="Century Gothic" w:hAnsi="Century Gothic"/>
        </w:rPr>
        <w:t xml:space="preserve">In alcuni casi i punti trattati possono essere il risultato di un’effettiva negoziazione tra le parti in cui sono contemplati dei successivi momenti di verifica dell’attuazione delle intese. In altri casi gli accordi riguardano l’esposizione da parte dell’amministrazione delle scelte di bilancio a cui il sindacato dà il proprio consenso, rivolge delle critiche o chiede integrazioni. Alcuni accordi, infatti, sono la semplice ratifica di ciò che è stato deciso dall’amministrazione. </w:t>
      </w:r>
    </w:p>
    <w:p w:rsidR="00D61A80" w:rsidRDefault="00D61A80" w:rsidP="00D61A80">
      <w:pPr>
        <w:jc w:val="both"/>
        <w:rPr>
          <w:rFonts w:ascii="Century Gothic" w:hAnsi="Century Gothic"/>
        </w:rPr>
      </w:pPr>
      <w:r>
        <w:rPr>
          <w:rFonts w:ascii="Century Gothic" w:hAnsi="Century Gothic"/>
        </w:rPr>
        <w:t xml:space="preserve">La parte più strettamente tematica degli accordi mostra diversi livelli di specificazione. Infatti una materia può essere affrontata in maniera generica con delle semplici affermazioni di principio oppure possono essere descritte nel dettaglio le misure di intervento. Prendiamo ad esempio un tema centrale come quello della lotta contro l’evasione fiscale che compare </w:t>
      </w:r>
      <w:r w:rsidR="002E76A9">
        <w:rPr>
          <w:rFonts w:ascii="Century Gothic" w:hAnsi="Century Gothic"/>
        </w:rPr>
        <w:t xml:space="preserve">in </w:t>
      </w:r>
      <w:r w:rsidR="00615351">
        <w:rPr>
          <w:rFonts w:ascii="Century Gothic" w:hAnsi="Century Gothic"/>
        </w:rPr>
        <w:t xml:space="preserve">una </w:t>
      </w:r>
      <w:r w:rsidR="002E76A9">
        <w:rPr>
          <w:rFonts w:ascii="Century Gothic" w:hAnsi="Century Gothic"/>
        </w:rPr>
        <w:t>parte</w:t>
      </w:r>
      <w:r>
        <w:rPr>
          <w:rFonts w:ascii="Century Gothic" w:hAnsi="Century Gothic"/>
        </w:rPr>
        <w:t xml:space="preserve"> </w:t>
      </w:r>
      <w:r w:rsidR="00615351">
        <w:rPr>
          <w:rFonts w:ascii="Century Gothic" w:hAnsi="Century Gothic"/>
        </w:rPr>
        <w:t xml:space="preserve">rilevante </w:t>
      </w:r>
      <w:r>
        <w:rPr>
          <w:rFonts w:ascii="Century Gothic" w:hAnsi="Century Gothic"/>
        </w:rPr>
        <w:t xml:space="preserve">degli accordi. In alcune intese si </w:t>
      </w:r>
      <w:r>
        <w:rPr>
          <w:rFonts w:ascii="Century Gothic" w:hAnsi="Century Gothic"/>
        </w:rPr>
        <w:lastRenderedPageBreak/>
        <w:t>tratta solo di affermazioni generiche collegate con l’intento di destinare le somme eventualmente recuperate alla spesa sociale. In altri accordi è presente anche una ampia descrizione delle attività anti-evasione all’interno di un piano di coordinamento nazionale e regionale. Infine, in alcuni casi, è riferito pure il risultato di precedenti attività anti-evasione con l’indicazione delle somme recuperate e della loro destinazione.</w:t>
      </w:r>
    </w:p>
    <w:p w:rsidR="00D61A80" w:rsidRDefault="00D61A80" w:rsidP="00D61A80">
      <w:pPr>
        <w:jc w:val="both"/>
        <w:rPr>
          <w:rFonts w:ascii="Century Gothic" w:hAnsi="Century Gothic"/>
        </w:rPr>
      </w:pPr>
      <w:r>
        <w:rPr>
          <w:rFonts w:ascii="Century Gothic" w:hAnsi="Century Gothic"/>
        </w:rPr>
        <w:t>Per questo in Toscana è stata fatta la scelta</w:t>
      </w:r>
      <w:r w:rsidRPr="0035601B">
        <w:rPr>
          <w:rFonts w:ascii="Century Gothic" w:hAnsi="Century Gothic"/>
          <w:i/>
        </w:rPr>
        <w:t xml:space="preserve"> </w:t>
      </w:r>
      <w:r w:rsidRPr="0035601B">
        <w:rPr>
          <w:rFonts w:ascii="Century Gothic" w:hAnsi="Century Gothic"/>
        </w:rPr>
        <w:t xml:space="preserve">di andare oltre </w:t>
      </w:r>
      <w:r w:rsidRPr="00927E4B">
        <w:rPr>
          <w:rFonts w:ascii="Century Gothic" w:hAnsi="Century Gothic"/>
        </w:rPr>
        <w:t xml:space="preserve">la semplice elaborazione di dati </w:t>
      </w:r>
      <w:r w:rsidRPr="0035601B">
        <w:rPr>
          <w:rFonts w:ascii="Century Gothic" w:hAnsi="Century Gothic"/>
        </w:rPr>
        <w:t xml:space="preserve">statistici sulle caratteristiche degli accordi, tendendo a </w:t>
      </w:r>
      <w:r>
        <w:rPr>
          <w:rFonts w:ascii="Century Gothic" w:hAnsi="Century Gothic"/>
        </w:rPr>
        <w:t>offrire</w:t>
      </w:r>
      <w:r w:rsidRPr="0035601B">
        <w:rPr>
          <w:rFonts w:ascii="Century Gothic" w:hAnsi="Century Gothic"/>
        </w:rPr>
        <w:t xml:space="preserve"> </w:t>
      </w:r>
      <w:r w:rsidRPr="00E221AE">
        <w:rPr>
          <w:rFonts w:ascii="Century Gothic" w:hAnsi="Century Gothic"/>
        </w:rPr>
        <w:t>una mappatura</w:t>
      </w:r>
      <w:r w:rsidRPr="0035601B">
        <w:rPr>
          <w:rFonts w:ascii="Century Gothic" w:hAnsi="Century Gothic"/>
        </w:rPr>
        <w:t xml:space="preserve"> dei contenuti negoziali. Il sindacalista può</w:t>
      </w:r>
      <w:r>
        <w:rPr>
          <w:rFonts w:ascii="Century Gothic" w:hAnsi="Century Gothic"/>
        </w:rPr>
        <w:t>,</w:t>
      </w:r>
      <w:r w:rsidRPr="0035601B">
        <w:rPr>
          <w:rFonts w:ascii="Century Gothic" w:hAnsi="Century Gothic"/>
        </w:rPr>
        <w:t xml:space="preserve"> quindi</w:t>
      </w:r>
      <w:r>
        <w:rPr>
          <w:rFonts w:ascii="Century Gothic" w:hAnsi="Century Gothic"/>
        </w:rPr>
        <w:t>,</w:t>
      </w:r>
      <w:r w:rsidRPr="0035601B">
        <w:rPr>
          <w:rFonts w:ascii="Century Gothic" w:hAnsi="Century Gothic"/>
        </w:rPr>
        <w:t xml:space="preserve"> </w:t>
      </w:r>
      <w:r>
        <w:rPr>
          <w:rFonts w:ascii="Century Gothic" w:hAnsi="Century Gothic"/>
        </w:rPr>
        <w:t xml:space="preserve">a seconda dell’argomento che interessa, </w:t>
      </w:r>
      <w:r w:rsidRPr="0035601B">
        <w:rPr>
          <w:rFonts w:ascii="Century Gothic" w:hAnsi="Century Gothic"/>
        </w:rPr>
        <w:t xml:space="preserve">individuare direttamente </w:t>
      </w:r>
      <w:r>
        <w:rPr>
          <w:rFonts w:ascii="Century Gothic" w:hAnsi="Century Gothic"/>
        </w:rPr>
        <w:t>il</w:t>
      </w:r>
      <w:r w:rsidRPr="0035601B">
        <w:rPr>
          <w:rFonts w:ascii="Century Gothic" w:hAnsi="Century Gothic"/>
        </w:rPr>
        <w:t xml:space="preserve"> brano </w:t>
      </w:r>
      <w:r>
        <w:rPr>
          <w:rFonts w:ascii="Century Gothic" w:hAnsi="Century Gothic"/>
        </w:rPr>
        <w:t xml:space="preserve">specifico </w:t>
      </w:r>
      <w:r w:rsidRPr="0035601B">
        <w:rPr>
          <w:rFonts w:ascii="Century Gothic" w:hAnsi="Century Gothic"/>
        </w:rPr>
        <w:t xml:space="preserve">dell’accordo o degli accordi realizzati precedentemente nel suo comune, nella sua provincia o in altre province, sul modello di quanto realizzato in Emilia Romagna. </w:t>
      </w:r>
      <w:r>
        <w:rPr>
          <w:rFonts w:ascii="Century Gothic" w:hAnsi="Century Gothic"/>
        </w:rPr>
        <w:t xml:space="preserve">In questo modo è consentito di </w:t>
      </w:r>
      <w:r w:rsidRPr="0035601B">
        <w:rPr>
          <w:rFonts w:ascii="Century Gothic" w:hAnsi="Century Gothic"/>
        </w:rPr>
        <w:t>“acceder</w:t>
      </w:r>
      <w:r w:rsidR="006629D2">
        <w:rPr>
          <w:rFonts w:ascii="Century Gothic" w:hAnsi="Century Gothic"/>
        </w:rPr>
        <w:t>e</w:t>
      </w:r>
      <w:r w:rsidRPr="0035601B">
        <w:rPr>
          <w:rFonts w:ascii="Century Gothic" w:hAnsi="Century Gothic"/>
        </w:rPr>
        <w:t xml:space="preserve"> </w:t>
      </w:r>
      <w:r>
        <w:rPr>
          <w:rFonts w:ascii="Century Gothic" w:hAnsi="Century Gothic"/>
        </w:rPr>
        <w:t xml:space="preserve">ai </w:t>
      </w:r>
      <w:r w:rsidRPr="0035601B">
        <w:rPr>
          <w:rFonts w:ascii="Century Gothic" w:hAnsi="Century Gothic"/>
        </w:rPr>
        <w:t xml:space="preserve">testi </w:t>
      </w:r>
      <w:r w:rsidRPr="00E221AE">
        <w:rPr>
          <w:rFonts w:ascii="Century Gothic" w:hAnsi="Century Gothic"/>
        </w:rPr>
        <w:t>in modo mirato</w:t>
      </w:r>
      <w:r w:rsidRPr="0035601B">
        <w:rPr>
          <w:rFonts w:ascii="Century Gothic" w:hAnsi="Century Gothic"/>
        </w:rPr>
        <w:t xml:space="preserve">, sulla base di semplici interrogazioni che associano a singole voci o materie ad esempio specifiche caratteristiche degli attori </w:t>
      </w:r>
      <w:r w:rsidR="00AA5087">
        <w:rPr>
          <w:rFonts w:ascii="Century Gothic" w:hAnsi="Century Gothic"/>
        </w:rPr>
        <w:t>negoziali”</w:t>
      </w:r>
      <w:r w:rsidR="00AA5087">
        <w:rPr>
          <w:rStyle w:val="Rimandonotaapidipagina"/>
          <w:rFonts w:ascii="Century Gothic" w:hAnsi="Century Gothic"/>
        </w:rPr>
        <w:footnoteReference w:id="1"/>
      </w:r>
      <w:r w:rsidR="00AA5087">
        <w:rPr>
          <w:rFonts w:ascii="Century Gothic" w:hAnsi="Century Gothic"/>
        </w:rPr>
        <w:t xml:space="preserve">, </w:t>
      </w:r>
      <w:r w:rsidRPr="0035601B">
        <w:rPr>
          <w:rFonts w:ascii="Century Gothic" w:hAnsi="Century Gothic"/>
        </w:rPr>
        <w:t>senza dover scorrere tutto l’accordo potendo selezionar</w:t>
      </w:r>
      <w:r>
        <w:rPr>
          <w:rFonts w:ascii="Century Gothic" w:hAnsi="Century Gothic"/>
        </w:rPr>
        <w:t xml:space="preserve">e l’argomento che interessa, </w:t>
      </w:r>
      <w:r w:rsidRPr="0035601B">
        <w:rPr>
          <w:rFonts w:ascii="Century Gothic" w:hAnsi="Century Gothic"/>
        </w:rPr>
        <w:t>mantenendo al contempo la massima integrazione con il sistema di archiviazione dell’Osservatorio Nazionale sulla contrattazione sociale</w:t>
      </w:r>
      <w:r>
        <w:rPr>
          <w:rFonts w:ascii="Century Gothic" w:hAnsi="Century Gothic"/>
        </w:rPr>
        <w:t>, dato che viene utilizzato lo stesso schema di classificazione</w:t>
      </w:r>
      <w:r w:rsidRPr="0035601B">
        <w:rPr>
          <w:rFonts w:ascii="Century Gothic" w:hAnsi="Century Gothic"/>
        </w:rPr>
        <w:t xml:space="preserve">. </w:t>
      </w:r>
    </w:p>
    <w:p w:rsidR="00D61A80" w:rsidRDefault="00D61A80" w:rsidP="00D61A80">
      <w:pPr>
        <w:jc w:val="both"/>
        <w:rPr>
          <w:rFonts w:ascii="Century Gothic" w:hAnsi="Century Gothic"/>
        </w:rPr>
      </w:pPr>
      <w:r>
        <w:rPr>
          <w:rFonts w:ascii="Century Gothic" w:hAnsi="Century Gothic"/>
        </w:rPr>
        <w:t xml:space="preserve">Questo tipo </w:t>
      </w:r>
      <w:r w:rsidRPr="00E221AE">
        <w:rPr>
          <w:rFonts w:ascii="Century Gothic" w:hAnsi="Century Gothic"/>
        </w:rPr>
        <w:t>di impostazione va nella direzione di un’analisi qualitativa rivolta ad individuare le best practice, degli schemi di riferimento che possono essere dei preziosi strumenti da utilizzare nel percorso negoziale.</w:t>
      </w:r>
      <w:r>
        <w:rPr>
          <w:rFonts w:ascii="Century Gothic" w:hAnsi="Century Gothic"/>
        </w:rPr>
        <w:t xml:space="preserve"> Come rilevato in </w:t>
      </w:r>
      <w:r w:rsidRPr="00E221AE">
        <w:rPr>
          <w:rFonts w:ascii="Century Gothic" w:hAnsi="Century Gothic"/>
        </w:rPr>
        <w:t xml:space="preserve">precedenti rapporti, l’obiettivo è quello di costituire un contenitore di informazioni (testi di accordo e caratteristiche degli attori), </w:t>
      </w:r>
      <w:r w:rsidRPr="000561A0">
        <w:rPr>
          <w:rFonts w:ascii="Century Gothic" w:hAnsi="Century Gothic"/>
        </w:rPr>
        <w:t xml:space="preserve">utile non solo per scopi di ricerca da parte di un gruppo ristretto di esperti, ma fruibile dall’intera organizzazione sindacale, </w:t>
      </w:r>
      <w:r w:rsidRPr="00C54EB0">
        <w:rPr>
          <w:rFonts w:ascii="Century Gothic" w:hAnsi="Century Gothic"/>
        </w:rPr>
        <w:t>dalla delegazione trattante, al sindacato dei pensionati, dalla Funzione Pubblica alle categorie degli attivi.</w:t>
      </w:r>
      <w:r>
        <w:rPr>
          <w:rFonts w:ascii="Century Gothic" w:hAnsi="Century Gothic"/>
        </w:rPr>
        <w:t xml:space="preserve"> Tale contenitore informativo può </w:t>
      </w:r>
      <w:r w:rsidRPr="00E221AE">
        <w:rPr>
          <w:rFonts w:ascii="Century Gothic" w:hAnsi="Century Gothic"/>
        </w:rPr>
        <w:t>consentire uno scambio delle esperienze di ciascun territorio, evidenziando risultati raggiunti</w:t>
      </w:r>
      <w:r>
        <w:rPr>
          <w:rFonts w:ascii="Century Gothic" w:hAnsi="Century Gothic"/>
        </w:rPr>
        <w:t xml:space="preserve"> e </w:t>
      </w:r>
      <w:r w:rsidRPr="00E221AE">
        <w:rPr>
          <w:rFonts w:ascii="Century Gothic" w:hAnsi="Century Gothic"/>
        </w:rPr>
        <w:t xml:space="preserve">difficoltà incontrate, al fine di individuare delle soluzioni </w:t>
      </w:r>
      <w:r>
        <w:rPr>
          <w:rFonts w:ascii="Century Gothic" w:hAnsi="Century Gothic"/>
        </w:rPr>
        <w:t xml:space="preserve">comuni </w:t>
      </w:r>
      <w:r w:rsidRPr="00E221AE">
        <w:rPr>
          <w:rFonts w:ascii="Century Gothic" w:hAnsi="Century Gothic"/>
        </w:rPr>
        <w:t>che poi possono essere adattate alle specificità di ogni area.</w:t>
      </w:r>
    </w:p>
    <w:p w:rsidR="00D61A80" w:rsidRDefault="00D61A80" w:rsidP="00D61A80">
      <w:pPr>
        <w:jc w:val="both"/>
        <w:rPr>
          <w:rFonts w:ascii="Century Gothic" w:hAnsi="Century Gothic"/>
        </w:rPr>
      </w:pPr>
    </w:p>
    <w:p w:rsidR="00D61A80" w:rsidRDefault="00D61A80" w:rsidP="00D61A80">
      <w:pPr>
        <w:jc w:val="both"/>
        <w:rPr>
          <w:rFonts w:ascii="Century Gothic" w:hAnsi="Century Gothic"/>
          <w:b/>
        </w:rPr>
      </w:pPr>
      <w:r>
        <w:rPr>
          <w:rFonts w:ascii="Century Gothic" w:hAnsi="Century Gothic"/>
          <w:b/>
        </w:rPr>
        <w:t>1</w:t>
      </w:r>
      <w:r w:rsidRPr="0035601B">
        <w:rPr>
          <w:rFonts w:ascii="Century Gothic" w:hAnsi="Century Gothic"/>
          <w:b/>
        </w:rPr>
        <w:t xml:space="preserve">.2. I documenti raccolti </w:t>
      </w:r>
    </w:p>
    <w:p w:rsidR="003B1217" w:rsidRPr="0035601B" w:rsidRDefault="003B1217" w:rsidP="00D61A80">
      <w:pPr>
        <w:jc w:val="both"/>
        <w:rPr>
          <w:rFonts w:ascii="Century Gothic" w:hAnsi="Century Gothic"/>
          <w:b/>
        </w:rPr>
      </w:pPr>
    </w:p>
    <w:p w:rsidR="00D61A80" w:rsidRPr="0035601B" w:rsidRDefault="00D61A80" w:rsidP="00D61A80">
      <w:pPr>
        <w:jc w:val="both"/>
        <w:rPr>
          <w:rFonts w:ascii="Century Gothic" w:hAnsi="Century Gothic"/>
        </w:rPr>
      </w:pPr>
      <w:r>
        <w:rPr>
          <w:rFonts w:ascii="Century Gothic" w:hAnsi="Century Gothic"/>
        </w:rPr>
        <w:t xml:space="preserve"> Come negli anni passati i documenti sono stati suddivisi in tre categorie principali</w:t>
      </w:r>
      <w:r w:rsidRPr="0035601B">
        <w:rPr>
          <w:rFonts w:ascii="Century Gothic" w:hAnsi="Century Gothic"/>
        </w:rPr>
        <w:t xml:space="preserve">: </w:t>
      </w:r>
      <w:r w:rsidRPr="0035601B">
        <w:rPr>
          <w:rFonts w:ascii="Century Gothic" w:hAnsi="Century Gothic"/>
          <w:b/>
        </w:rPr>
        <w:t>le piattaforme</w:t>
      </w:r>
      <w:r w:rsidRPr="0035601B">
        <w:rPr>
          <w:rFonts w:ascii="Century Gothic" w:hAnsi="Century Gothic"/>
        </w:rPr>
        <w:t xml:space="preserve">, </w:t>
      </w:r>
      <w:r w:rsidRPr="0035601B">
        <w:rPr>
          <w:rFonts w:ascii="Century Gothic" w:hAnsi="Century Gothic"/>
          <w:b/>
        </w:rPr>
        <w:t>gli accordi</w:t>
      </w:r>
      <w:r>
        <w:rPr>
          <w:rFonts w:ascii="Century Gothic" w:hAnsi="Century Gothic"/>
          <w:b/>
        </w:rPr>
        <w:t xml:space="preserve">, </w:t>
      </w:r>
      <w:r w:rsidRPr="0035601B">
        <w:rPr>
          <w:rFonts w:ascii="Century Gothic" w:hAnsi="Century Gothic"/>
          <w:b/>
        </w:rPr>
        <w:t>le delibere.</w:t>
      </w:r>
    </w:p>
    <w:p w:rsidR="00D61A80" w:rsidRDefault="00D61A80" w:rsidP="00D61A80">
      <w:pPr>
        <w:jc w:val="both"/>
        <w:rPr>
          <w:rFonts w:ascii="Century Gothic" w:hAnsi="Century Gothic"/>
        </w:rPr>
      </w:pPr>
      <w:r w:rsidRPr="0035601B">
        <w:rPr>
          <w:rFonts w:ascii="Century Gothic" w:hAnsi="Century Gothic"/>
        </w:rPr>
        <w:t xml:space="preserve">Come </w:t>
      </w:r>
      <w:r>
        <w:rPr>
          <w:rFonts w:ascii="Century Gothic" w:hAnsi="Century Gothic"/>
        </w:rPr>
        <w:t xml:space="preserve">è stato più volte </w:t>
      </w:r>
      <w:r w:rsidRPr="0035601B">
        <w:rPr>
          <w:rFonts w:ascii="Century Gothic" w:hAnsi="Century Gothic"/>
        </w:rPr>
        <w:t>spiega</w:t>
      </w:r>
      <w:r>
        <w:rPr>
          <w:rFonts w:ascii="Century Gothic" w:hAnsi="Century Gothic"/>
        </w:rPr>
        <w:t>to,</w:t>
      </w:r>
      <w:r w:rsidRPr="0035601B">
        <w:rPr>
          <w:rFonts w:ascii="Century Gothic" w:hAnsi="Century Gothic"/>
        </w:rPr>
        <w:t xml:space="preserve"> queste tre tipologie </w:t>
      </w:r>
      <w:r>
        <w:rPr>
          <w:rFonts w:ascii="Century Gothic" w:hAnsi="Century Gothic"/>
        </w:rPr>
        <w:t xml:space="preserve">si </w:t>
      </w:r>
      <w:r w:rsidR="003B1217">
        <w:rPr>
          <w:rFonts w:ascii="Century Gothic" w:hAnsi="Century Gothic"/>
        </w:rPr>
        <w:t xml:space="preserve">dovrebbero </w:t>
      </w:r>
      <w:r>
        <w:rPr>
          <w:rFonts w:ascii="Century Gothic" w:hAnsi="Century Gothic"/>
        </w:rPr>
        <w:t>colloca</w:t>
      </w:r>
      <w:r w:rsidR="003B1217">
        <w:rPr>
          <w:rFonts w:ascii="Century Gothic" w:hAnsi="Century Gothic"/>
        </w:rPr>
        <w:t>re, almeno a livello ideale,</w:t>
      </w:r>
      <w:r>
        <w:rPr>
          <w:rFonts w:ascii="Century Gothic" w:hAnsi="Century Gothic"/>
        </w:rPr>
        <w:t xml:space="preserve"> in modo consequenziale all’interno del processo della contrattazione sociale</w:t>
      </w:r>
      <w:r w:rsidRPr="0035601B">
        <w:rPr>
          <w:rFonts w:ascii="Century Gothic" w:hAnsi="Century Gothic"/>
        </w:rPr>
        <w:t xml:space="preserve">. </w:t>
      </w:r>
      <w:r w:rsidRPr="008B3815">
        <w:rPr>
          <w:rFonts w:ascii="Century Gothic" w:hAnsi="Century Gothic"/>
        </w:rPr>
        <w:t xml:space="preserve">Al centro si trova l’insieme degli </w:t>
      </w:r>
      <w:r w:rsidRPr="008B3815">
        <w:rPr>
          <w:rFonts w:ascii="Century Gothic" w:hAnsi="Century Gothic"/>
          <w:b/>
        </w:rPr>
        <w:t>accordi</w:t>
      </w:r>
      <w:r w:rsidRPr="008B3815">
        <w:rPr>
          <w:rFonts w:ascii="Century Gothic" w:hAnsi="Century Gothic"/>
        </w:rPr>
        <w:t xml:space="preserve">, che comprende “tutte le varie forme di documenti conclusivi di un percorso negoziale, sia che questo giunga al suo termine con la redazione di un documento di intesa centrato su una molteplicità di punti precedentemente discussi e negoziati, sia che rappresenti in ogni caso un’ultima tappa del negoziato, non corrispondente alla totalità dei temi posti in avvio del processo negoziale. In sostanza sotto la voce accordi ritroviamo diverse varietà di denominazioni (Accordi, Intese, Protocolli di intesa, Verbali di intesa) che non è possibile collocare semplicemente lungo una linea compresa tra maggiore e minore completezza e ampiezza tematica e procedurale; spesso, difatti, tali espressioni sono utilizzate come </w:t>
      </w:r>
      <w:r w:rsidRPr="008B3815">
        <w:rPr>
          <w:rFonts w:ascii="Century Gothic" w:hAnsi="Century Gothic"/>
        </w:rPr>
        <w:lastRenderedPageBreak/>
        <w:t>sinonimi”.</w:t>
      </w:r>
      <w:r w:rsidRPr="008B3815">
        <w:rPr>
          <w:rStyle w:val="Rimandonotaapidipagina"/>
          <w:rFonts w:ascii="Century Gothic" w:hAnsi="Century Gothic"/>
        </w:rPr>
        <w:footnoteReference w:id="2"/>
      </w:r>
      <w:r w:rsidRPr="008B3815">
        <w:rPr>
          <w:rFonts w:ascii="Century Gothic" w:hAnsi="Century Gothic"/>
        </w:rPr>
        <w:t xml:space="preserve"> </w:t>
      </w:r>
      <w:r>
        <w:rPr>
          <w:rFonts w:ascii="Century Gothic" w:hAnsi="Century Gothic"/>
        </w:rPr>
        <w:t xml:space="preserve">Inoltre, in molti casi, un verbale di incontro può essere assimilabile a un accordo vero e proprio, mentre in altri casi mantiene il significato originario. La stessa denominazione data a un documento può avere un significato diverso a seconda delle provincie. </w:t>
      </w:r>
    </w:p>
    <w:p w:rsidR="00D61A80" w:rsidRPr="0035601B" w:rsidRDefault="00D61A80" w:rsidP="00D61A80">
      <w:pPr>
        <w:jc w:val="both"/>
        <w:rPr>
          <w:rFonts w:ascii="Century Gothic" w:hAnsi="Century Gothic"/>
        </w:rPr>
      </w:pPr>
      <w:r w:rsidRPr="0035601B">
        <w:rPr>
          <w:rFonts w:ascii="Century Gothic" w:hAnsi="Century Gothic"/>
          <w:b/>
        </w:rPr>
        <w:t xml:space="preserve">Le piattaforme </w:t>
      </w:r>
      <w:r w:rsidRPr="0035601B">
        <w:rPr>
          <w:rFonts w:ascii="Century Gothic" w:hAnsi="Century Gothic"/>
        </w:rPr>
        <w:t xml:space="preserve">precedono </w:t>
      </w:r>
      <w:r>
        <w:rPr>
          <w:rFonts w:ascii="Century Gothic" w:hAnsi="Century Gothic"/>
        </w:rPr>
        <w:t xml:space="preserve">gli accordi e </w:t>
      </w:r>
      <w:r w:rsidRPr="0035601B">
        <w:rPr>
          <w:rFonts w:ascii="Century Gothic" w:hAnsi="Century Gothic"/>
        </w:rPr>
        <w:t xml:space="preserve">sono importanti per comprendere </w:t>
      </w:r>
      <w:r>
        <w:rPr>
          <w:rFonts w:ascii="Century Gothic" w:hAnsi="Century Gothic"/>
        </w:rPr>
        <w:t>vari aspetti:</w:t>
      </w:r>
      <w:r w:rsidRPr="0035601B">
        <w:rPr>
          <w:rFonts w:ascii="Century Gothic" w:hAnsi="Century Gothic"/>
        </w:rPr>
        <w:t xml:space="preserve"> il punto di partenza del sindacato, il grado di coinvolgimento della base sindacale, il mandato e la rappresentatività, </w:t>
      </w:r>
      <w:r>
        <w:rPr>
          <w:rFonts w:ascii="Century Gothic" w:hAnsi="Century Gothic"/>
        </w:rPr>
        <w:t>l’apporto dato</w:t>
      </w:r>
      <w:r w:rsidRPr="0035601B">
        <w:rPr>
          <w:rFonts w:ascii="Century Gothic" w:hAnsi="Century Gothic"/>
        </w:rPr>
        <w:t xml:space="preserve"> d</w:t>
      </w:r>
      <w:r>
        <w:rPr>
          <w:rFonts w:ascii="Century Gothic" w:hAnsi="Century Gothic"/>
        </w:rPr>
        <w:t>a</w:t>
      </w:r>
      <w:r w:rsidRPr="0035601B">
        <w:rPr>
          <w:rFonts w:ascii="Century Gothic" w:hAnsi="Century Gothic"/>
        </w:rPr>
        <w:t xml:space="preserve">l sindacato rispetto </w:t>
      </w:r>
      <w:r>
        <w:rPr>
          <w:rFonts w:ascii="Century Gothic" w:hAnsi="Century Gothic"/>
        </w:rPr>
        <w:t>al</w:t>
      </w:r>
      <w:r w:rsidRPr="0035601B">
        <w:rPr>
          <w:rFonts w:ascii="Century Gothic" w:hAnsi="Century Gothic"/>
        </w:rPr>
        <w:t>la norma</w:t>
      </w:r>
      <w:r>
        <w:rPr>
          <w:rFonts w:ascii="Century Gothic" w:hAnsi="Century Gothic"/>
        </w:rPr>
        <w:t>l</w:t>
      </w:r>
      <w:r w:rsidRPr="0035601B">
        <w:rPr>
          <w:rFonts w:ascii="Century Gothic" w:hAnsi="Century Gothic"/>
        </w:rPr>
        <w:t>e attività amministrativa dell’ente locale di riferimento</w:t>
      </w:r>
      <w:r>
        <w:rPr>
          <w:rFonts w:ascii="Century Gothic" w:hAnsi="Century Gothic"/>
        </w:rPr>
        <w:t>; la concretezza degli obiettivi</w:t>
      </w:r>
      <w:r w:rsidRPr="0035601B">
        <w:rPr>
          <w:rFonts w:ascii="Century Gothic" w:hAnsi="Century Gothic"/>
        </w:rPr>
        <w:t xml:space="preserve">. Le piattaforme possono essere di durata annuale ma anche coprire un’intera legislatura. </w:t>
      </w:r>
    </w:p>
    <w:p w:rsidR="003B1217" w:rsidRDefault="003A249D" w:rsidP="00D61A80">
      <w:pPr>
        <w:jc w:val="both"/>
        <w:rPr>
          <w:rFonts w:ascii="Century Gothic" w:hAnsi="Century Gothic"/>
        </w:rPr>
      </w:pPr>
      <w:r>
        <w:rPr>
          <w:rFonts w:ascii="Century Gothic" w:hAnsi="Century Gothic"/>
        </w:rPr>
        <w:t xml:space="preserve">Rispetto ai documenti considerati </w:t>
      </w:r>
      <w:r w:rsidR="003B1217">
        <w:rPr>
          <w:rFonts w:ascii="Century Gothic" w:hAnsi="Century Gothic"/>
        </w:rPr>
        <w:t xml:space="preserve">dall’osservatorio a livello nazionale, in Toscana sono </w:t>
      </w:r>
      <w:r>
        <w:rPr>
          <w:rFonts w:ascii="Century Gothic" w:hAnsi="Century Gothic"/>
        </w:rPr>
        <w:t>archiviate</w:t>
      </w:r>
      <w:r w:rsidR="003B1217">
        <w:rPr>
          <w:rFonts w:ascii="Century Gothic" w:hAnsi="Century Gothic"/>
        </w:rPr>
        <w:t xml:space="preserve"> anche </w:t>
      </w:r>
      <w:r w:rsidR="003B1217">
        <w:rPr>
          <w:rFonts w:ascii="Century Gothic" w:hAnsi="Century Gothic"/>
          <w:b/>
        </w:rPr>
        <w:t xml:space="preserve">le </w:t>
      </w:r>
      <w:r w:rsidR="00D61A80" w:rsidRPr="0035601B">
        <w:rPr>
          <w:rFonts w:ascii="Century Gothic" w:hAnsi="Century Gothic"/>
          <w:b/>
        </w:rPr>
        <w:t>delibere</w:t>
      </w:r>
      <w:r w:rsidR="00D61A80" w:rsidRPr="0035601B">
        <w:rPr>
          <w:rFonts w:ascii="Century Gothic" w:hAnsi="Century Gothic"/>
        </w:rPr>
        <w:t xml:space="preserve">, </w:t>
      </w:r>
      <w:r w:rsidR="003B1217">
        <w:rPr>
          <w:rFonts w:ascii="Century Gothic" w:hAnsi="Century Gothic"/>
        </w:rPr>
        <w:t xml:space="preserve">che, almeno a livello teorico, dovrebbero costituire </w:t>
      </w:r>
      <w:r w:rsidR="00D61A80" w:rsidRPr="0035601B">
        <w:rPr>
          <w:rFonts w:ascii="Century Gothic" w:hAnsi="Century Gothic"/>
        </w:rPr>
        <w:t>il punto di arrivo della contrattazione, la formalizzazione degli impegni in un atto che vincola direttamente l’amministrazione agli impegni presi in sede negoziale</w:t>
      </w:r>
      <w:r w:rsidR="003B1217">
        <w:rPr>
          <w:rFonts w:ascii="Century Gothic" w:hAnsi="Century Gothic"/>
        </w:rPr>
        <w:t>.</w:t>
      </w:r>
    </w:p>
    <w:p w:rsidR="006B0317" w:rsidRDefault="00D61A80" w:rsidP="00D61A80">
      <w:pPr>
        <w:jc w:val="both"/>
        <w:rPr>
          <w:rFonts w:ascii="Century Gothic" w:hAnsi="Century Gothic"/>
        </w:rPr>
      </w:pPr>
      <w:r>
        <w:rPr>
          <w:rFonts w:ascii="Century Gothic" w:hAnsi="Century Gothic"/>
        </w:rPr>
        <w:t>Come già rilevato, o</w:t>
      </w:r>
      <w:r w:rsidRPr="0035601B">
        <w:rPr>
          <w:rFonts w:ascii="Century Gothic" w:hAnsi="Century Gothic"/>
        </w:rPr>
        <w:t>ltre alle tre tipologie principali</w:t>
      </w:r>
      <w:r>
        <w:rPr>
          <w:rFonts w:ascii="Century Gothic" w:hAnsi="Century Gothic"/>
        </w:rPr>
        <w:t>,</w:t>
      </w:r>
      <w:r w:rsidRPr="0035601B">
        <w:rPr>
          <w:rFonts w:ascii="Century Gothic" w:hAnsi="Century Gothic"/>
        </w:rPr>
        <w:t xml:space="preserve"> </w:t>
      </w:r>
      <w:r>
        <w:rPr>
          <w:rFonts w:ascii="Century Gothic" w:hAnsi="Century Gothic"/>
        </w:rPr>
        <w:t xml:space="preserve">sono raccolti </w:t>
      </w:r>
      <w:r w:rsidRPr="0035601B">
        <w:rPr>
          <w:rFonts w:ascii="Century Gothic" w:hAnsi="Century Gothic"/>
        </w:rPr>
        <w:t>altri ti</w:t>
      </w:r>
      <w:r>
        <w:rPr>
          <w:rFonts w:ascii="Century Gothic" w:hAnsi="Century Gothic"/>
        </w:rPr>
        <w:t xml:space="preserve">pi di documentazione, utili per comprendere la contrattazione sociale, che sono stati raggruppati in </w:t>
      </w:r>
      <w:r w:rsidRPr="00E221AE">
        <w:rPr>
          <w:rFonts w:ascii="Century Gothic" w:hAnsi="Century Gothic"/>
        </w:rPr>
        <w:t>un’unica categoria residuale</w:t>
      </w:r>
      <w:r>
        <w:rPr>
          <w:rFonts w:ascii="Century Gothic" w:hAnsi="Century Gothic"/>
        </w:rPr>
        <w:t>: comunicati sindacali, comunicati stampa, richieste di incontro, verbali di incontro</w:t>
      </w:r>
      <w:r w:rsidR="006B0317">
        <w:rPr>
          <w:rFonts w:ascii="Century Gothic" w:hAnsi="Century Gothic"/>
        </w:rPr>
        <w:t xml:space="preserve">, verbali e comunicati di istituzioni, </w:t>
      </w:r>
      <w:r w:rsidR="006B0317" w:rsidRPr="006B0317">
        <w:rPr>
          <w:rFonts w:ascii="Century Gothic" w:hAnsi="Century Gothic"/>
        </w:rPr>
        <w:t>convenzioni, progetti</w:t>
      </w:r>
      <w:r>
        <w:rPr>
          <w:rFonts w:ascii="Century Gothic" w:hAnsi="Century Gothic"/>
        </w:rPr>
        <w:t xml:space="preserve">. </w:t>
      </w:r>
    </w:p>
    <w:p w:rsidR="00D61A80" w:rsidRDefault="00D61A80" w:rsidP="00D61A80"/>
    <w:p w:rsidR="00D61A80" w:rsidRDefault="00D61A80">
      <w:pPr>
        <w:rPr>
          <w:rFonts w:ascii="Century Gothic" w:hAnsi="Century Gothic"/>
          <w:b/>
          <w:sz w:val="28"/>
          <w:szCs w:val="28"/>
        </w:rPr>
      </w:pPr>
      <w:r>
        <w:rPr>
          <w:rFonts w:ascii="Century Gothic" w:hAnsi="Century Gothic"/>
          <w:b/>
          <w:sz w:val="28"/>
          <w:szCs w:val="28"/>
        </w:rPr>
        <w:br w:type="page"/>
      </w:r>
    </w:p>
    <w:p w:rsidR="00462B52" w:rsidRPr="00462B52" w:rsidRDefault="006A175D" w:rsidP="00EF17FB">
      <w:pPr>
        <w:tabs>
          <w:tab w:val="left" w:pos="8222"/>
        </w:tabs>
        <w:jc w:val="both"/>
        <w:rPr>
          <w:rFonts w:ascii="Century Gothic" w:hAnsi="Century Gothic"/>
          <w:b/>
          <w:sz w:val="28"/>
          <w:szCs w:val="28"/>
        </w:rPr>
      </w:pPr>
      <w:r>
        <w:rPr>
          <w:rFonts w:ascii="Century Gothic" w:hAnsi="Century Gothic"/>
          <w:b/>
          <w:sz w:val="28"/>
          <w:szCs w:val="28"/>
        </w:rPr>
        <w:lastRenderedPageBreak/>
        <w:t xml:space="preserve">2. </w:t>
      </w:r>
      <w:r w:rsidR="00C45369">
        <w:rPr>
          <w:rFonts w:ascii="Century Gothic" w:hAnsi="Century Gothic"/>
          <w:b/>
          <w:sz w:val="28"/>
          <w:szCs w:val="28"/>
        </w:rPr>
        <w:t>I DATI</w:t>
      </w:r>
    </w:p>
    <w:p w:rsidR="00462B52" w:rsidRPr="0035601B" w:rsidRDefault="00462B52" w:rsidP="00462B52">
      <w:pPr>
        <w:jc w:val="both"/>
        <w:rPr>
          <w:rFonts w:ascii="Century Gothic" w:hAnsi="Century Gothic"/>
        </w:rPr>
      </w:pPr>
    </w:p>
    <w:p w:rsidR="00C45369" w:rsidRDefault="006A175D" w:rsidP="00C45369">
      <w:pPr>
        <w:jc w:val="both"/>
        <w:rPr>
          <w:rFonts w:ascii="Century Gothic" w:hAnsi="Century Gothic" w:cs="Calibri"/>
          <w:b/>
        </w:rPr>
      </w:pPr>
      <w:r>
        <w:rPr>
          <w:rFonts w:ascii="Century Gothic" w:hAnsi="Century Gothic" w:cs="Calibri"/>
          <w:b/>
        </w:rPr>
        <w:t>2.</w:t>
      </w:r>
      <w:r w:rsidR="00C45369" w:rsidRPr="0035601B">
        <w:rPr>
          <w:rFonts w:ascii="Century Gothic" w:hAnsi="Century Gothic" w:cs="Calibri"/>
          <w:b/>
        </w:rPr>
        <w:t>1. Documenti: caratteristiche e tipologie</w:t>
      </w:r>
    </w:p>
    <w:p w:rsidR="000E6CB4" w:rsidRDefault="000E6CB4" w:rsidP="00462B52">
      <w:pPr>
        <w:jc w:val="both"/>
        <w:rPr>
          <w:rFonts w:ascii="Century Gothic" w:hAnsi="Century Gothic"/>
        </w:rPr>
      </w:pPr>
    </w:p>
    <w:p w:rsidR="00A54452" w:rsidRDefault="000E6CB4" w:rsidP="00884EDF">
      <w:pPr>
        <w:jc w:val="both"/>
        <w:rPr>
          <w:rFonts w:ascii="Century Gothic" w:hAnsi="Century Gothic"/>
        </w:rPr>
      </w:pPr>
      <w:r>
        <w:rPr>
          <w:rFonts w:ascii="Century Gothic" w:hAnsi="Century Gothic"/>
        </w:rPr>
        <w:t xml:space="preserve">Nel </w:t>
      </w:r>
      <w:r w:rsidR="00F47FAB">
        <w:rPr>
          <w:rFonts w:ascii="Century Gothic" w:hAnsi="Century Gothic"/>
        </w:rPr>
        <w:t>precedente rapporto</w:t>
      </w:r>
      <w:r>
        <w:rPr>
          <w:rFonts w:ascii="Century Gothic" w:hAnsi="Century Gothic"/>
        </w:rPr>
        <w:t xml:space="preserve"> era stato </w:t>
      </w:r>
      <w:r w:rsidR="00F47FAB">
        <w:rPr>
          <w:rFonts w:ascii="Century Gothic" w:hAnsi="Century Gothic"/>
        </w:rPr>
        <w:t>spiegat</w:t>
      </w:r>
      <w:r w:rsidR="009C3239">
        <w:rPr>
          <w:rFonts w:ascii="Century Gothic" w:hAnsi="Century Gothic"/>
        </w:rPr>
        <w:t>o</w:t>
      </w:r>
      <w:r w:rsidR="00F47FAB">
        <w:rPr>
          <w:rFonts w:ascii="Century Gothic" w:hAnsi="Century Gothic"/>
        </w:rPr>
        <w:t xml:space="preserve"> nel dettaglio </w:t>
      </w:r>
      <w:r w:rsidR="009C3239">
        <w:rPr>
          <w:rFonts w:ascii="Century Gothic" w:hAnsi="Century Gothic"/>
        </w:rPr>
        <w:t>il fenomeno del</w:t>
      </w:r>
      <w:r w:rsidR="00F47FAB">
        <w:rPr>
          <w:rFonts w:ascii="Century Gothic" w:hAnsi="Century Gothic"/>
        </w:rPr>
        <w:t xml:space="preserve">la decisa riduzione di risultati nell’ambito della contrattazione sociale verificatasi nel 2014, in cui oltre alla </w:t>
      </w:r>
      <w:r>
        <w:rPr>
          <w:rFonts w:ascii="Century Gothic" w:hAnsi="Century Gothic"/>
        </w:rPr>
        <w:t xml:space="preserve"> scarsità di risorse finanziarie </w:t>
      </w:r>
      <w:r w:rsidR="00F47FAB">
        <w:rPr>
          <w:rFonts w:ascii="Century Gothic" w:hAnsi="Century Gothic"/>
        </w:rPr>
        <w:t>dettata dalla crisi, si erano aggiunti rispetto al 2013 una serie di fattori che avevano contratto ulteriorm</w:t>
      </w:r>
      <w:r w:rsidR="00884EDF">
        <w:rPr>
          <w:rFonts w:ascii="Century Gothic" w:hAnsi="Century Gothic"/>
        </w:rPr>
        <w:t>ente i margini di negoziazione</w:t>
      </w:r>
      <w:r w:rsidR="00A54452">
        <w:rPr>
          <w:rFonts w:ascii="Century Gothic" w:hAnsi="Century Gothic"/>
        </w:rPr>
        <w:t>:</w:t>
      </w:r>
      <w:r w:rsidR="00884EDF">
        <w:rPr>
          <w:rFonts w:ascii="Century Gothic" w:hAnsi="Century Gothic"/>
        </w:rPr>
        <w:t xml:space="preserve"> </w:t>
      </w:r>
      <w:r w:rsidR="00F47FAB">
        <w:rPr>
          <w:rFonts w:ascii="Century Gothic" w:hAnsi="Century Gothic"/>
        </w:rPr>
        <w:t>le elezioni amministrative in buona parte dei comuni della regione, con slittamento dei tempi delle richieste di incontro e dell</w:t>
      </w:r>
      <w:r w:rsidR="00884EDF">
        <w:rPr>
          <w:rFonts w:ascii="Century Gothic" w:hAnsi="Century Gothic"/>
        </w:rPr>
        <w:t>a</w:t>
      </w:r>
      <w:r w:rsidR="00F47FAB">
        <w:rPr>
          <w:rFonts w:ascii="Century Gothic" w:hAnsi="Century Gothic"/>
        </w:rPr>
        <w:t xml:space="preserve"> </w:t>
      </w:r>
      <w:r w:rsidR="00884EDF">
        <w:rPr>
          <w:rFonts w:ascii="Century Gothic" w:hAnsi="Century Gothic"/>
        </w:rPr>
        <w:t>trattativa</w:t>
      </w:r>
      <w:r w:rsidR="00F47FAB">
        <w:rPr>
          <w:rFonts w:ascii="Century Gothic" w:hAnsi="Century Gothic"/>
        </w:rPr>
        <w:t xml:space="preserve">; il rinnovamento avvenuto in molti comuni con sindaci alla prima esperienza amministrativa, </w:t>
      </w:r>
      <w:r w:rsidR="00F47FAB" w:rsidRPr="00EA1BD6">
        <w:rPr>
          <w:rFonts w:ascii="Century Gothic" w:hAnsi="Century Gothic"/>
        </w:rPr>
        <w:t>l’incertezza normativa riguardante l’introduzione della TASI</w:t>
      </w:r>
      <w:r w:rsidR="00884EDF">
        <w:rPr>
          <w:rFonts w:ascii="Century Gothic" w:hAnsi="Century Gothic"/>
        </w:rPr>
        <w:t>,</w:t>
      </w:r>
      <w:r w:rsidR="00F47FAB">
        <w:rPr>
          <w:rFonts w:ascii="Century Gothic" w:hAnsi="Century Gothic"/>
        </w:rPr>
        <w:t xml:space="preserve"> </w:t>
      </w:r>
      <w:r w:rsidR="00884EDF">
        <w:rPr>
          <w:rFonts w:ascii="Century Gothic" w:hAnsi="Century Gothic"/>
        </w:rPr>
        <w:t>l’</w:t>
      </w:r>
      <w:r w:rsidR="00F47FAB">
        <w:rPr>
          <w:rFonts w:ascii="Century Gothic" w:hAnsi="Century Gothic"/>
        </w:rPr>
        <w:t>aumento di un fenomeno già presente</w:t>
      </w:r>
      <w:r w:rsidR="00884EDF">
        <w:rPr>
          <w:rFonts w:ascii="Century Gothic" w:hAnsi="Century Gothic"/>
        </w:rPr>
        <w:t>,</w:t>
      </w:r>
      <w:r w:rsidR="00F47FAB">
        <w:rPr>
          <w:rFonts w:ascii="Century Gothic" w:hAnsi="Century Gothic"/>
        </w:rPr>
        <w:t xml:space="preserve"> ossia la mancata sottoscrizione degli accordi poiché peggiorativi rispetto </w:t>
      </w:r>
      <w:r w:rsidR="00884EDF">
        <w:rPr>
          <w:rFonts w:ascii="Century Gothic" w:hAnsi="Century Gothic"/>
        </w:rPr>
        <w:t>al passato</w:t>
      </w:r>
      <w:r w:rsidR="00F47FAB">
        <w:rPr>
          <w:rFonts w:ascii="Century Gothic" w:hAnsi="Century Gothic"/>
        </w:rPr>
        <w:t>.</w:t>
      </w:r>
      <w:r>
        <w:rPr>
          <w:rFonts w:ascii="Century Gothic" w:hAnsi="Century Gothic"/>
        </w:rPr>
        <w:t xml:space="preserve"> Nel 2014 </w:t>
      </w:r>
      <w:r w:rsidR="00A54452">
        <w:rPr>
          <w:rFonts w:ascii="Century Gothic" w:hAnsi="Century Gothic"/>
        </w:rPr>
        <w:t xml:space="preserve">i </w:t>
      </w:r>
      <w:r w:rsidR="00C45369">
        <w:rPr>
          <w:rFonts w:ascii="Century Gothic" w:hAnsi="Century Gothic"/>
        </w:rPr>
        <w:t xml:space="preserve">documenti raccolti </w:t>
      </w:r>
      <w:r w:rsidR="00A54452">
        <w:rPr>
          <w:rFonts w:ascii="Century Gothic" w:hAnsi="Century Gothic"/>
        </w:rPr>
        <w:t xml:space="preserve">delle categorie principali </w:t>
      </w:r>
      <w:r w:rsidR="00077156">
        <w:rPr>
          <w:rFonts w:ascii="Century Gothic" w:hAnsi="Century Gothic"/>
        </w:rPr>
        <w:t xml:space="preserve">(accordi, piattaforme, delibere) </w:t>
      </w:r>
      <w:r>
        <w:rPr>
          <w:rFonts w:ascii="Century Gothic" w:hAnsi="Century Gothic"/>
        </w:rPr>
        <w:t>ammonta</w:t>
      </w:r>
      <w:r w:rsidR="00884EDF">
        <w:rPr>
          <w:rFonts w:ascii="Century Gothic" w:hAnsi="Century Gothic"/>
        </w:rPr>
        <w:t>va</w:t>
      </w:r>
      <w:r>
        <w:rPr>
          <w:rFonts w:ascii="Century Gothic" w:hAnsi="Century Gothic"/>
        </w:rPr>
        <w:t>no a</w:t>
      </w:r>
      <w:r w:rsidR="00C45369">
        <w:rPr>
          <w:rFonts w:ascii="Century Gothic" w:hAnsi="Century Gothic"/>
        </w:rPr>
        <w:t xml:space="preserve"> 6</w:t>
      </w:r>
      <w:r w:rsidR="00C31707">
        <w:rPr>
          <w:rFonts w:ascii="Century Gothic" w:hAnsi="Century Gothic"/>
        </w:rPr>
        <w:t>8</w:t>
      </w:r>
      <w:r w:rsidR="00884EDF">
        <w:rPr>
          <w:rFonts w:ascii="Century Gothic" w:hAnsi="Century Gothic"/>
        </w:rPr>
        <w:t xml:space="preserve">, </w:t>
      </w:r>
      <w:r w:rsidR="0059738A">
        <w:rPr>
          <w:rFonts w:ascii="Century Gothic" w:hAnsi="Century Gothic"/>
        </w:rPr>
        <w:t>con un valore che</w:t>
      </w:r>
      <w:r w:rsidR="00E63A5E">
        <w:rPr>
          <w:rFonts w:ascii="Century Gothic" w:hAnsi="Century Gothic"/>
        </w:rPr>
        <w:t xml:space="preserve"> </w:t>
      </w:r>
      <w:r w:rsidR="00884EDF">
        <w:rPr>
          <w:rFonts w:ascii="Century Gothic" w:hAnsi="Century Gothic"/>
        </w:rPr>
        <w:t xml:space="preserve">era </w:t>
      </w:r>
      <w:r w:rsidR="0059738A">
        <w:rPr>
          <w:rFonts w:ascii="Century Gothic" w:hAnsi="Century Gothic"/>
        </w:rPr>
        <w:t xml:space="preserve"> il più basso di tutto il periodo 2009-2014. </w:t>
      </w:r>
      <w:r w:rsidR="00884EDF">
        <w:rPr>
          <w:rFonts w:ascii="Century Gothic" w:hAnsi="Century Gothic"/>
        </w:rPr>
        <w:t xml:space="preserve">Nel 2015 si inverte l’andamento decrescente </w:t>
      </w:r>
      <w:r w:rsidR="00A54452">
        <w:rPr>
          <w:rFonts w:ascii="Century Gothic" w:hAnsi="Century Gothic"/>
        </w:rPr>
        <w:t>e si arriva a raccogliere circa una novantina di documenti appartenenti alle tipologie più rilevanti, raggiungendo quasi il valore del 2009 e del 2010. S</w:t>
      </w:r>
      <w:r w:rsidR="0059738A">
        <w:rPr>
          <w:rFonts w:ascii="Century Gothic" w:hAnsi="Century Gothic"/>
        </w:rPr>
        <w:t>ono stat</w:t>
      </w:r>
      <w:r w:rsidR="0059738A" w:rsidRPr="00D81127">
        <w:rPr>
          <w:rFonts w:ascii="Century Gothic" w:hAnsi="Century Gothic"/>
        </w:rPr>
        <w:t xml:space="preserve">i </w:t>
      </w:r>
      <w:r w:rsidR="00F03C96">
        <w:rPr>
          <w:rFonts w:ascii="Century Gothic" w:hAnsi="Century Gothic"/>
        </w:rPr>
        <w:t>archiviati</w:t>
      </w:r>
      <w:r w:rsidR="0059738A">
        <w:rPr>
          <w:rFonts w:ascii="Century Gothic" w:hAnsi="Century Gothic"/>
        </w:rPr>
        <w:t xml:space="preserve"> anche i </w:t>
      </w:r>
      <w:r w:rsidR="0059738A" w:rsidRPr="00D81127">
        <w:rPr>
          <w:rFonts w:ascii="Century Gothic" w:hAnsi="Century Gothic"/>
        </w:rPr>
        <w:t xml:space="preserve">documenti </w:t>
      </w:r>
      <w:r w:rsidR="0059738A">
        <w:rPr>
          <w:rFonts w:ascii="Century Gothic" w:hAnsi="Century Gothic"/>
        </w:rPr>
        <w:t>compresi</w:t>
      </w:r>
      <w:r w:rsidR="0059738A" w:rsidRPr="00D81127">
        <w:rPr>
          <w:rFonts w:ascii="Century Gothic" w:hAnsi="Century Gothic"/>
        </w:rPr>
        <w:t xml:space="preserve"> </w:t>
      </w:r>
      <w:r w:rsidR="0059738A">
        <w:rPr>
          <w:rFonts w:ascii="Century Gothic" w:hAnsi="Century Gothic"/>
        </w:rPr>
        <w:t xml:space="preserve">in </w:t>
      </w:r>
      <w:r w:rsidR="0059738A" w:rsidRPr="00D81127">
        <w:rPr>
          <w:rFonts w:ascii="Century Gothic" w:hAnsi="Century Gothic"/>
        </w:rPr>
        <w:t xml:space="preserve">una quarta categoria </w:t>
      </w:r>
      <w:r w:rsidR="0059738A">
        <w:rPr>
          <w:rFonts w:ascii="Century Gothic" w:hAnsi="Century Gothic"/>
        </w:rPr>
        <w:t>(</w:t>
      </w:r>
      <w:r w:rsidR="0059738A" w:rsidRPr="00D81127">
        <w:rPr>
          <w:rFonts w:ascii="Century Gothic" w:hAnsi="Century Gothic"/>
        </w:rPr>
        <w:t>lettere, sollecitazioni, comunicati sindacali, comunicati stampa, etc</w:t>
      </w:r>
      <w:r w:rsidR="00282B34">
        <w:rPr>
          <w:rFonts w:ascii="Century Gothic" w:hAnsi="Century Gothic"/>
        </w:rPr>
        <w:t>.</w:t>
      </w:r>
      <w:r w:rsidR="0059738A" w:rsidRPr="00D81127">
        <w:rPr>
          <w:rFonts w:ascii="Century Gothic" w:hAnsi="Century Gothic"/>
        </w:rPr>
        <w:t>)</w:t>
      </w:r>
      <w:r w:rsidR="0059738A">
        <w:rPr>
          <w:rFonts w:ascii="Century Gothic" w:hAnsi="Century Gothic"/>
        </w:rPr>
        <w:t>,</w:t>
      </w:r>
      <w:r w:rsidR="0059738A" w:rsidRPr="00D81127">
        <w:rPr>
          <w:rFonts w:ascii="Century Gothic" w:hAnsi="Century Gothic"/>
        </w:rPr>
        <w:t xml:space="preserve"> che </w:t>
      </w:r>
      <w:r w:rsidR="00A54452">
        <w:rPr>
          <w:rFonts w:ascii="Century Gothic" w:hAnsi="Century Gothic"/>
        </w:rPr>
        <w:t>arriva a quota 55, la cifra più alta</w:t>
      </w:r>
      <w:r w:rsidR="00F03C96">
        <w:rPr>
          <w:rFonts w:ascii="Century Gothic" w:hAnsi="Century Gothic"/>
        </w:rPr>
        <w:t xml:space="preserve"> dal </w:t>
      </w:r>
      <w:r w:rsidR="00A54452">
        <w:rPr>
          <w:rFonts w:ascii="Century Gothic" w:hAnsi="Century Gothic"/>
        </w:rPr>
        <w:t xml:space="preserve"> </w:t>
      </w:r>
      <w:r w:rsidR="00F03C96">
        <w:rPr>
          <w:rFonts w:ascii="Century Gothic" w:hAnsi="Century Gothic"/>
        </w:rPr>
        <w:t>2012, anno</w:t>
      </w:r>
      <w:r w:rsidR="00A54452">
        <w:rPr>
          <w:rFonts w:ascii="Century Gothic" w:hAnsi="Century Gothic"/>
        </w:rPr>
        <w:t xml:space="preserve"> in cui è iniziata questo tipo di raccolta.</w:t>
      </w:r>
    </w:p>
    <w:p w:rsidR="00C31707" w:rsidRDefault="0059738A" w:rsidP="000E6CB4">
      <w:pPr>
        <w:jc w:val="both"/>
        <w:rPr>
          <w:rFonts w:ascii="Century Gothic" w:hAnsi="Century Gothic"/>
        </w:rPr>
      </w:pPr>
      <w:r w:rsidRPr="00D81127">
        <w:rPr>
          <w:rFonts w:ascii="Century Gothic" w:hAnsi="Century Gothic"/>
        </w:rPr>
        <w:t xml:space="preserve"> </w:t>
      </w:r>
    </w:p>
    <w:p w:rsidR="00C45369" w:rsidRDefault="00C45369" w:rsidP="00C45369">
      <w:pPr>
        <w:jc w:val="both"/>
        <w:rPr>
          <w:rFonts w:ascii="Century Gothic" w:hAnsi="Century Gothic" w:cs="Calibri"/>
          <w:b/>
        </w:rPr>
      </w:pPr>
      <w:r w:rsidRPr="0035601B">
        <w:rPr>
          <w:rFonts w:ascii="Century Gothic" w:hAnsi="Century Gothic" w:cs="Calibri"/>
          <w:b/>
        </w:rPr>
        <w:t xml:space="preserve">Graf. </w:t>
      </w:r>
      <w:r w:rsidR="000E6CB4" w:rsidRPr="0035601B">
        <w:rPr>
          <w:rFonts w:ascii="Century Gothic" w:hAnsi="Century Gothic" w:cs="Calibri"/>
          <w:b/>
        </w:rPr>
        <w:t>N</w:t>
      </w:r>
      <w:r w:rsidR="000E6CB4">
        <w:rPr>
          <w:rFonts w:ascii="Century Gothic" w:hAnsi="Century Gothic" w:cs="Calibri"/>
          <w:b/>
        </w:rPr>
        <w:t xml:space="preserve"> 1</w:t>
      </w:r>
      <w:r w:rsidRPr="0035601B">
        <w:rPr>
          <w:rFonts w:ascii="Century Gothic" w:hAnsi="Century Gothic" w:cs="Calibri"/>
          <w:b/>
        </w:rPr>
        <w:t>. - Numero di documen</w:t>
      </w:r>
      <w:r>
        <w:rPr>
          <w:rFonts w:ascii="Century Gothic" w:hAnsi="Century Gothic" w:cs="Calibri"/>
          <w:b/>
        </w:rPr>
        <w:t>ti pervenuti per anno (2009-201</w:t>
      </w:r>
      <w:r w:rsidR="00A54452">
        <w:rPr>
          <w:rFonts w:ascii="Century Gothic" w:hAnsi="Century Gothic" w:cs="Calibri"/>
          <w:b/>
        </w:rPr>
        <w:t>5</w:t>
      </w:r>
      <w:r w:rsidRPr="0035601B">
        <w:rPr>
          <w:rFonts w:ascii="Century Gothic" w:hAnsi="Century Gothic" w:cs="Calibri"/>
          <w:b/>
        </w:rPr>
        <w:t>)</w:t>
      </w:r>
    </w:p>
    <w:p w:rsidR="00C31707" w:rsidRDefault="00C31707" w:rsidP="00C45369">
      <w:pPr>
        <w:jc w:val="both"/>
        <w:rPr>
          <w:rFonts w:ascii="Century Gothic" w:hAnsi="Century Gothic" w:cs="Calibri"/>
          <w:b/>
        </w:rPr>
      </w:pPr>
    </w:p>
    <w:p w:rsidR="00045BE6" w:rsidRDefault="00045BE6" w:rsidP="00C45369">
      <w:pPr>
        <w:jc w:val="both"/>
        <w:rPr>
          <w:rFonts w:ascii="Century Gothic" w:hAnsi="Century Gothic" w:cs="Calibri"/>
          <w:b/>
        </w:rPr>
      </w:pPr>
      <w:r w:rsidRPr="00045BE6">
        <w:rPr>
          <w:rFonts w:ascii="Century Gothic" w:hAnsi="Century Gothic" w:cs="Calibri"/>
          <w:b/>
          <w:noProof/>
          <w:lang w:eastAsia="it-IT"/>
        </w:rPr>
        <w:drawing>
          <wp:inline distT="0" distB="0" distL="0" distR="0">
            <wp:extent cx="4591050" cy="2724150"/>
            <wp:effectExtent l="19050" t="0" r="19050" b="0"/>
            <wp:docPr id="4"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5BE6" w:rsidRDefault="00045BE6" w:rsidP="00C45369">
      <w:pPr>
        <w:jc w:val="both"/>
        <w:rPr>
          <w:rFonts w:ascii="Century Gothic" w:hAnsi="Century Gothic" w:cs="Calibri"/>
          <w:b/>
        </w:rPr>
      </w:pPr>
    </w:p>
    <w:p w:rsidR="00C31707" w:rsidRPr="00F03C96" w:rsidRDefault="00F03C96" w:rsidP="00C45369">
      <w:pPr>
        <w:jc w:val="both"/>
        <w:rPr>
          <w:rFonts w:ascii="Century Gothic" w:hAnsi="Century Gothic" w:cs="Calibri"/>
        </w:rPr>
      </w:pPr>
      <w:r w:rsidRPr="00F03C96">
        <w:rPr>
          <w:rFonts w:ascii="Century Gothic" w:hAnsi="Century Gothic" w:cs="Calibri"/>
        </w:rPr>
        <w:t xml:space="preserve">Le </w:t>
      </w:r>
      <w:r>
        <w:rPr>
          <w:rFonts w:ascii="Century Gothic" w:hAnsi="Century Gothic" w:cs="Calibri"/>
        </w:rPr>
        <w:t xml:space="preserve">delegazioni presenti nei vari territori hanno, quindi, accolto l’invito a documentare sempre più l’attività di contrattazione sociale svolta </w:t>
      </w:r>
      <w:r w:rsidR="00991E9D">
        <w:rPr>
          <w:rFonts w:ascii="Century Gothic" w:hAnsi="Century Gothic" w:cs="Calibri"/>
        </w:rPr>
        <w:t>a livello locale</w:t>
      </w:r>
      <w:r>
        <w:rPr>
          <w:rFonts w:ascii="Century Gothic" w:hAnsi="Century Gothic" w:cs="Calibri"/>
        </w:rPr>
        <w:t xml:space="preserve">. Il materiale raccolto in questo tipo di categoria consente di comprendere in maniera più approfondita le </w:t>
      </w:r>
      <w:r w:rsidR="009C3239">
        <w:rPr>
          <w:rFonts w:ascii="Century Gothic" w:hAnsi="Century Gothic" w:cs="Calibri"/>
        </w:rPr>
        <w:t xml:space="preserve">modalità di negoziazione e le </w:t>
      </w:r>
      <w:r>
        <w:rPr>
          <w:rFonts w:ascii="Century Gothic" w:hAnsi="Century Gothic" w:cs="Calibri"/>
        </w:rPr>
        <w:t xml:space="preserve">criticità incontrate e di valorizzare i risultati raggiunti, all’interno del contesto più generale dell’iniziativa sindacale. Inoltre con questa documentazione è possibile conoscere </w:t>
      </w:r>
      <w:r w:rsidR="00991E9D">
        <w:rPr>
          <w:rFonts w:ascii="Century Gothic" w:hAnsi="Century Gothic" w:cs="Calibri"/>
        </w:rPr>
        <w:t xml:space="preserve">iniziative che si collocano al di fuori della più diffusa attività di trattativa e intesa a livello comunale, ma che comunque rivestono </w:t>
      </w:r>
      <w:r w:rsidR="00991E9D">
        <w:rPr>
          <w:rFonts w:ascii="Century Gothic" w:hAnsi="Century Gothic" w:cs="Calibri"/>
        </w:rPr>
        <w:lastRenderedPageBreak/>
        <w:t xml:space="preserve">un’importanza per le fasce più deboli della popolazione come le campagne a tutela del sistema socio-sanitario o contro la chiusura degli uffici postali. </w:t>
      </w:r>
    </w:p>
    <w:p w:rsidR="00DB43F8" w:rsidRDefault="00991E9D" w:rsidP="00DB43F8">
      <w:pPr>
        <w:jc w:val="both"/>
        <w:rPr>
          <w:rFonts w:ascii="Century Gothic" w:hAnsi="Century Gothic"/>
        </w:rPr>
      </w:pPr>
      <w:r>
        <w:rPr>
          <w:rFonts w:ascii="Century Gothic" w:hAnsi="Century Gothic"/>
        </w:rPr>
        <w:t xml:space="preserve">La maggior quantità di documentazione </w:t>
      </w:r>
      <w:r w:rsidRPr="0098311D">
        <w:rPr>
          <w:rFonts w:ascii="Century Gothic" w:hAnsi="Century Gothic"/>
        </w:rPr>
        <w:t>di supporto</w:t>
      </w:r>
      <w:r>
        <w:rPr>
          <w:rFonts w:ascii="Century Gothic" w:hAnsi="Century Gothic"/>
        </w:rPr>
        <w:t xml:space="preserve"> si riflette naturalmente nella ripartizione</w:t>
      </w:r>
      <w:r w:rsidR="00DB43F8">
        <w:rPr>
          <w:rFonts w:ascii="Century Gothic" w:hAnsi="Century Gothic"/>
        </w:rPr>
        <w:t xml:space="preserve"> in termini percentuali. Come si vede dal grafico n.2 </w:t>
      </w:r>
      <w:r w:rsidR="00460B56">
        <w:rPr>
          <w:rFonts w:ascii="Century Gothic" w:hAnsi="Century Gothic"/>
        </w:rPr>
        <w:t xml:space="preserve">la quota maggiore è sempre assegnata agli accordi che coprono la metà del totale, ma la categoria residuale di altro materiale </w:t>
      </w:r>
      <w:r w:rsidR="00691AD1">
        <w:rPr>
          <w:rFonts w:ascii="Century Gothic" w:hAnsi="Century Gothic"/>
        </w:rPr>
        <w:t xml:space="preserve">arriva a </w:t>
      </w:r>
      <w:r w:rsidR="00460B56">
        <w:rPr>
          <w:rFonts w:ascii="Century Gothic" w:hAnsi="Century Gothic"/>
        </w:rPr>
        <w:t>supera</w:t>
      </w:r>
      <w:r w:rsidR="00691AD1">
        <w:rPr>
          <w:rFonts w:ascii="Century Gothic" w:hAnsi="Century Gothic"/>
        </w:rPr>
        <w:t>re</w:t>
      </w:r>
      <w:r w:rsidR="00460B56">
        <w:rPr>
          <w:rFonts w:ascii="Century Gothic" w:hAnsi="Century Gothic"/>
        </w:rPr>
        <w:t xml:space="preserve"> leggermente un terzo dell’insieme. </w:t>
      </w:r>
      <w:r w:rsidR="00691AD1">
        <w:rPr>
          <w:rFonts w:ascii="Century Gothic" w:hAnsi="Century Gothic"/>
        </w:rPr>
        <w:t xml:space="preserve">Negli anni precedenti si manteneva intorno al 10-15%. </w:t>
      </w:r>
      <w:r w:rsidR="00460B56">
        <w:rPr>
          <w:rFonts w:ascii="Century Gothic" w:hAnsi="Century Gothic"/>
        </w:rPr>
        <w:t xml:space="preserve">All’interno di questa tipologia quasi la metà dei documenti è costituita da comunicati sindacati e un quinto da </w:t>
      </w:r>
      <w:r w:rsidR="004408C8">
        <w:rPr>
          <w:rFonts w:ascii="Century Gothic" w:hAnsi="Century Gothic"/>
        </w:rPr>
        <w:t xml:space="preserve">veri e propri </w:t>
      </w:r>
      <w:r w:rsidR="00460B56">
        <w:rPr>
          <w:rFonts w:ascii="Century Gothic" w:hAnsi="Century Gothic"/>
        </w:rPr>
        <w:t>verbali di incontro</w:t>
      </w:r>
      <w:r w:rsidR="004408C8">
        <w:rPr>
          <w:rFonts w:ascii="Century Gothic" w:hAnsi="Century Gothic"/>
        </w:rPr>
        <w:t xml:space="preserve">, quindi </w:t>
      </w:r>
      <w:r w:rsidR="00460B56">
        <w:rPr>
          <w:rFonts w:ascii="Century Gothic" w:hAnsi="Century Gothic"/>
        </w:rPr>
        <w:t>non sono assimilabili ad accordi</w:t>
      </w:r>
      <w:r w:rsidR="009C3239">
        <w:rPr>
          <w:rFonts w:ascii="Century Gothic" w:hAnsi="Century Gothic"/>
        </w:rPr>
        <w:t>, ma che, comunque, testimoniano la presenza di un confronto, con la definizione di alcuni punti di condivisione</w:t>
      </w:r>
      <w:r w:rsidR="00460B56">
        <w:rPr>
          <w:rFonts w:ascii="Century Gothic" w:hAnsi="Century Gothic"/>
        </w:rPr>
        <w:t xml:space="preserve">. </w:t>
      </w:r>
      <w:r w:rsidR="004408C8">
        <w:rPr>
          <w:rFonts w:ascii="Century Gothic" w:hAnsi="Century Gothic"/>
        </w:rPr>
        <w:t>U</w:t>
      </w:r>
      <w:r w:rsidR="00691AD1">
        <w:rPr>
          <w:rFonts w:ascii="Century Gothic" w:hAnsi="Century Gothic"/>
        </w:rPr>
        <w:t>n’altra categoria che aumenta rispetto all’anno precedente</w:t>
      </w:r>
      <w:r w:rsidR="004408C8">
        <w:rPr>
          <w:rFonts w:ascii="Century Gothic" w:hAnsi="Century Gothic"/>
        </w:rPr>
        <w:t xml:space="preserve"> in termini percentuali </w:t>
      </w:r>
      <w:r w:rsidR="00691AD1">
        <w:rPr>
          <w:rFonts w:ascii="Century Gothic" w:hAnsi="Century Gothic"/>
        </w:rPr>
        <w:t>, oltre che in termini assoluti, è quella delle delibere che passa dal 3% del 2014 al 7% del 2015.</w:t>
      </w:r>
      <w:r w:rsidR="00DB43F8">
        <w:rPr>
          <w:rFonts w:ascii="Century Gothic" w:hAnsi="Century Gothic"/>
        </w:rPr>
        <w:t xml:space="preserve"> </w:t>
      </w:r>
    </w:p>
    <w:p w:rsidR="00C31707" w:rsidRDefault="00C31707" w:rsidP="00DB43F8">
      <w:pPr>
        <w:jc w:val="both"/>
        <w:rPr>
          <w:rFonts w:ascii="Century Gothic" w:hAnsi="Century Gothic"/>
        </w:rPr>
      </w:pPr>
    </w:p>
    <w:p w:rsidR="0059738A" w:rsidRDefault="0059738A" w:rsidP="0059738A">
      <w:pPr>
        <w:pStyle w:val="Paragrafoelenco2"/>
        <w:ind w:left="360"/>
        <w:rPr>
          <w:rFonts w:ascii="Century Gothic" w:hAnsi="Century Gothic"/>
          <w:b/>
        </w:rPr>
      </w:pPr>
      <w:r>
        <w:rPr>
          <w:rFonts w:ascii="Century Gothic" w:hAnsi="Century Gothic"/>
          <w:b/>
        </w:rPr>
        <w:t xml:space="preserve">Graf. </w:t>
      </w:r>
      <w:r w:rsidR="000E6CB4">
        <w:rPr>
          <w:rFonts w:ascii="Century Gothic" w:hAnsi="Century Gothic"/>
          <w:b/>
        </w:rPr>
        <w:t>n</w:t>
      </w:r>
      <w:r>
        <w:rPr>
          <w:rFonts w:ascii="Century Gothic" w:hAnsi="Century Gothic"/>
          <w:b/>
        </w:rPr>
        <w:t>.</w:t>
      </w:r>
      <w:r w:rsidRPr="0035601B">
        <w:rPr>
          <w:rFonts w:ascii="Century Gothic" w:hAnsi="Century Gothic"/>
          <w:b/>
        </w:rPr>
        <w:t xml:space="preserve"> </w:t>
      </w:r>
      <w:r w:rsidR="000E6CB4">
        <w:rPr>
          <w:rFonts w:ascii="Century Gothic" w:hAnsi="Century Gothic"/>
          <w:b/>
        </w:rPr>
        <w:t xml:space="preserve">2 </w:t>
      </w:r>
      <w:r w:rsidRPr="0035601B">
        <w:rPr>
          <w:rFonts w:ascii="Century Gothic" w:hAnsi="Century Gothic"/>
          <w:b/>
        </w:rPr>
        <w:t>-Tipologia dei documenti raccolti nel 201</w:t>
      </w:r>
      <w:r w:rsidR="00460B56">
        <w:rPr>
          <w:rFonts w:ascii="Century Gothic" w:hAnsi="Century Gothic"/>
          <w:b/>
        </w:rPr>
        <w:t>5</w:t>
      </w:r>
    </w:p>
    <w:p w:rsidR="00C31707" w:rsidRDefault="00C31707" w:rsidP="0059738A">
      <w:pPr>
        <w:pStyle w:val="Paragrafoelenco2"/>
        <w:ind w:left="360"/>
        <w:rPr>
          <w:rFonts w:ascii="Century Gothic" w:hAnsi="Century Gothic"/>
          <w:b/>
        </w:rPr>
      </w:pPr>
    </w:p>
    <w:p w:rsidR="00991E9D" w:rsidRDefault="00991E9D" w:rsidP="0059738A">
      <w:pPr>
        <w:pStyle w:val="Paragrafoelenco2"/>
        <w:ind w:left="360"/>
        <w:rPr>
          <w:rFonts w:ascii="Century Gothic" w:hAnsi="Century Gothic"/>
          <w:b/>
        </w:rPr>
      </w:pPr>
      <w:r w:rsidRPr="00991E9D">
        <w:rPr>
          <w:rFonts w:ascii="Century Gothic" w:hAnsi="Century Gothic"/>
          <w:b/>
          <w:noProof/>
          <w:lang w:eastAsia="it-IT"/>
        </w:rPr>
        <w:drawing>
          <wp:inline distT="0" distB="0" distL="0" distR="0">
            <wp:extent cx="4580678" cy="2650066"/>
            <wp:effectExtent l="19050" t="0" r="10372" b="0"/>
            <wp:docPr id="8"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08C8" w:rsidRDefault="004408C8" w:rsidP="00665074">
      <w:pPr>
        <w:rPr>
          <w:rFonts w:ascii="Century Gothic" w:hAnsi="Century Gothic"/>
          <w:b/>
        </w:rPr>
      </w:pPr>
    </w:p>
    <w:p w:rsidR="00665074" w:rsidRDefault="0090759C" w:rsidP="00665074">
      <w:pPr>
        <w:rPr>
          <w:rFonts w:ascii="Century Gothic" w:hAnsi="Century Gothic"/>
          <w:b/>
        </w:rPr>
      </w:pPr>
      <w:r>
        <w:rPr>
          <w:rFonts w:ascii="Century Gothic" w:hAnsi="Century Gothic"/>
          <w:b/>
        </w:rPr>
        <w:t xml:space="preserve">2.2. </w:t>
      </w:r>
      <w:r w:rsidR="00665074" w:rsidRPr="00665074">
        <w:rPr>
          <w:rFonts w:ascii="Century Gothic" w:hAnsi="Century Gothic"/>
          <w:b/>
        </w:rPr>
        <w:t>Le piattaforme</w:t>
      </w:r>
      <w:r w:rsidR="00CB4AE0">
        <w:rPr>
          <w:rFonts w:ascii="Century Gothic" w:hAnsi="Century Gothic"/>
          <w:b/>
        </w:rPr>
        <w:t xml:space="preserve"> e le delibere</w:t>
      </w:r>
    </w:p>
    <w:p w:rsidR="004408C8" w:rsidRPr="00665074" w:rsidRDefault="004408C8" w:rsidP="00665074">
      <w:pPr>
        <w:rPr>
          <w:rFonts w:ascii="Century Gothic" w:hAnsi="Century Gothic"/>
          <w:b/>
        </w:rPr>
      </w:pPr>
    </w:p>
    <w:p w:rsidR="006D77AF" w:rsidRDefault="00665074" w:rsidP="00220961">
      <w:pPr>
        <w:jc w:val="both"/>
        <w:rPr>
          <w:rFonts w:ascii="Century Gothic" w:hAnsi="Century Gothic"/>
        </w:rPr>
      </w:pPr>
      <w:r w:rsidRPr="00420030">
        <w:rPr>
          <w:rFonts w:ascii="Century Gothic" w:hAnsi="Century Gothic"/>
        </w:rPr>
        <w:t>Le piattaforme</w:t>
      </w:r>
      <w:r>
        <w:rPr>
          <w:rFonts w:ascii="Century Gothic" w:hAnsi="Century Gothic"/>
        </w:rPr>
        <w:t xml:space="preserve"> rappresentano </w:t>
      </w:r>
      <w:r w:rsidR="004408C8">
        <w:rPr>
          <w:rFonts w:ascii="Century Gothic" w:hAnsi="Century Gothic"/>
        </w:rPr>
        <w:t>solo il 3</w:t>
      </w:r>
      <w:r w:rsidRPr="00C31707">
        <w:rPr>
          <w:rFonts w:ascii="Century Gothic" w:hAnsi="Century Gothic"/>
        </w:rPr>
        <w:t>%</w:t>
      </w:r>
      <w:r>
        <w:rPr>
          <w:rFonts w:ascii="Century Gothic" w:hAnsi="Century Gothic"/>
        </w:rPr>
        <w:t xml:space="preserve"> della documentazione raccolta</w:t>
      </w:r>
      <w:r w:rsidR="00851216">
        <w:rPr>
          <w:rFonts w:ascii="Century Gothic" w:hAnsi="Century Gothic"/>
        </w:rPr>
        <w:t xml:space="preserve"> nel 201</w:t>
      </w:r>
      <w:r w:rsidR="004408C8">
        <w:rPr>
          <w:rFonts w:ascii="Century Gothic" w:hAnsi="Century Gothic"/>
        </w:rPr>
        <w:t>5</w:t>
      </w:r>
      <w:r w:rsidR="00BE1FC5">
        <w:rPr>
          <w:rFonts w:ascii="Century Gothic" w:hAnsi="Century Gothic"/>
        </w:rPr>
        <w:t xml:space="preserve">, </w:t>
      </w:r>
      <w:r w:rsidR="004408C8">
        <w:rPr>
          <w:rFonts w:ascii="Century Gothic" w:hAnsi="Century Gothic"/>
        </w:rPr>
        <w:t>ma b</w:t>
      </w:r>
      <w:r w:rsidR="00851216" w:rsidRPr="008B3815">
        <w:rPr>
          <w:rFonts w:ascii="Century Gothic" w:hAnsi="Century Gothic"/>
        </w:rPr>
        <w:t>isogna</w:t>
      </w:r>
      <w:r w:rsidR="004408C8">
        <w:rPr>
          <w:rFonts w:ascii="Century Gothic" w:hAnsi="Century Gothic"/>
        </w:rPr>
        <w:t xml:space="preserve"> </w:t>
      </w:r>
      <w:r w:rsidR="00851216" w:rsidRPr="008B3815">
        <w:rPr>
          <w:rFonts w:ascii="Century Gothic" w:hAnsi="Century Gothic"/>
        </w:rPr>
        <w:t xml:space="preserve">ricordare che le piattaforme talvolta possono avere valenza pluriennale o di legislatura, come accennato nel capitolo 1. </w:t>
      </w:r>
      <w:r w:rsidR="00BE1FC5">
        <w:rPr>
          <w:rFonts w:ascii="Century Gothic" w:hAnsi="Century Gothic"/>
        </w:rPr>
        <w:t>Nel 2015 si distinguono due tipologie principali di piattaform</w:t>
      </w:r>
      <w:r w:rsidRPr="008B3815">
        <w:rPr>
          <w:rFonts w:ascii="Century Gothic" w:hAnsi="Century Gothic"/>
        </w:rPr>
        <w:t>e</w:t>
      </w:r>
      <w:r w:rsidR="00BE1FC5">
        <w:rPr>
          <w:rFonts w:ascii="Century Gothic" w:hAnsi="Century Gothic"/>
        </w:rPr>
        <w:t xml:space="preserve">: quelle </w:t>
      </w:r>
      <w:r w:rsidR="006D77AF">
        <w:rPr>
          <w:rFonts w:ascii="Century Gothic" w:hAnsi="Century Gothic"/>
        </w:rPr>
        <w:t>redatte a livello provinciale e inviate alle singole amministrazioni comunali</w:t>
      </w:r>
      <w:r w:rsidR="00BE1FC5">
        <w:rPr>
          <w:rFonts w:ascii="Century Gothic" w:hAnsi="Century Gothic"/>
        </w:rPr>
        <w:t xml:space="preserve"> </w:t>
      </w:r>
      <w:r w:rsidR="006D77AF">
        <w:rPr>
          <w:rFonts w:ascii="Century Gothic" w:hAnsi="Century Gothic"/>
        </w:rPr>
        <w:t xml:space="preserve">con la richiesta di un </w:t>
      </w:r>
      <w:r w:rsidR="00BE1FC5">
        <w:rPr>
          <w:rFonts w:ascii="Century Gothic" w:hAnsi="Century Gothic"/>
        </w:rPr>
        <w:t xml:space="preserve">confronto </w:t>
      </w:r>
      <w:r w:rsidR="006D77AF">
        <w:rPr>
          <w:rFonts w:ascii="Century Gothic" w:hAnsi="Century Gothic"/>
        </w:rPr>
        <w:t>al fine</w:t>
      </w:r>
      <w:r w:rsidR="00BE1FC5">
        <w:rPr>
          <w:rFonts w:ascii="Century Gothic" w:hAnsi="Century Gothic"/>
        </w:rPr>
        <w:t xml:space="preserve"> della sottoscrizione di un accordo</w:t>
      </w:r>
      <w:r w:rsidR="006D77AF">
        <w:rPr>
          <w:rFonts w:ascii="Century Gothic" w:hAnsi="Century Gothic"/>
        </w:rPr>
        <w:t>; quelle sempre definite a livello</w:t>
      </w:r>
      <w:r w:rsidR="00BE1FC5">
        <w:rPr>
          <w:rFonts w:ascii="Century Gothic" w:hAnsi="Century Gothic"/>
        </w:rPr>
        <w:t xml:space="preserve"> </w:t>
      </w:r>
      <w:r w:rsidRPr="008B3815">
        <w:rPr>
          <w:rFonts w:ascii="Century Gothic" w:hAnsi="Century Gothic"/>
        </w:rPr>
        <w:t>provi</w:t>
      </w:r>
      <w:r>
        <w:rPr>
          <w:rFonts w:ascii="Century Gothic" w:hAnsi="Century Gothic"/>
        </w:rPr>
        <w:t>nc</w:t>
      </w:r>
      <w:r w:rsidR="006D77AF">
        <w:rPr>
          <w:rFonts w:ascii="Century Gothic" w:hAnsi="Century Gothic"/>
        </w:rPr>
        <w:t xml:space="preserve">iale ma concernenti l’ambito socio-sanitario. Al primo gruppo appartengono le piattaforme presentate nelle province di </w:t>
      </w:r>
      <w:r w:rsidR="00B43201">
        <w:rPr>
          <w:rFonts w:ascii="Century Gothic" w:hAnsi="Century Gothic"/>
        </w:rPr>
        <w:t xml:space="preserve">Massa Carrara, </w:t>
      </w:r>
      <w:r w:rsidR="006D77AF">
        <w:rPr>
          <w:rFonts w:ascii="Century Gothic" w:hAnsi="Century Gothic"/>
        </w:rPr>
        <w:t>Pisa e Siena, al secondo gruppo quelle presentate nelle province di Livorno e Prato.</w:t>
      </w:r>
    </w:p>
    <w:p w:rsidR="00181DD7" w:rsidRDefault="007931C8" w:rsidP="00A13354">
      <w:pPr>
        <w:jc w:val="both"/>
        <w:rPr>
          <w:rFonts w:ascii="Century Gothic" w:hAnsi="Century Gothic"/>
        </w:rPr>
      </w:pPr>
      <w:r>
        <w:rPr>
          <w:rFonts w:ascii="Century Gothic" w:hAnsi="Century Gothic"/>
        </w:rPr>
        <w:t>Cominciamo</w:t>
      </w:r>
      <w:r w:rsidR="006D77AF">
        <w:rPr>
          <w:rFonts w:ascii="Century Gothic" w:hAnsi="Century Gothic"/>
        </w:rPr>
        <w:t xml:space="preserve"> </w:t>
      </w:r>
      <w:r>
        <w:rPr>
          <w:rFonts w:ascii="Century Gothic" w:hAnsi="Century Gothic"/>
        </w:rPr>
        <w:t>con l’</w:t>
      </w:r>
      <w:r w:rsidR="006D77AF">
        <w:rPr>
          <w:rFonts w:ascii="Century Gothic" w:hAnsi="Century Gothic"/>
        </w:rPr>
        <w:t>esaminare</w:t>
      </w:r>
      <w:r>
        <w:rPr>
          <w:rFonts w:ascii="Century Gothic" w:hAnsi="Century Gothic"/>
        </w:rPr>
        <w:t xml:space="preserve"> </w:t>
      </w:r>
      <w:r w:rsidR="006D77AF">
        <w:rPr>
          <w:rFonts w:ascii="Century Gothic" w:hAnsi="Century Gothic"/>
        </w:rPr>
        <w:t>le piattaforme che mirano a fornire una base per un confronto in vista del raggiungimento di un’intesa a livello comunale</w:t>
      </w:r>
      <w:r w:rsidR="00B43201">
        <w:rPr>
          <w:rFonts w:ascii="Century Gothic" w:hAnsi="Century Gothic"/>
        </w:rPr>
        <w:t>. Nelle proposte delle tre province</w:t>
      </w:r>
      <w:r w:rsidR="00A13354">
        <w:rPr>
          <w:rFonts w:ascii="Century Gothic" w:hAnsi="Century Gothic"/>
        </w:rPr>
        <w:t xml:space="preserve"> </w:t>
      </w:r>
      <w:r w:rsidR="006D77AF">
        <w:rPr>
          <w:rFonts w:ascii="Century Gothic" w:hAnsi="Century Gothic"/>
        </w:rPr>
        <w:t xml:space="preserve">sono presenti </w:t>
      </w:r>
      <w:r w:rsidR="00370F67">
        <w:rPr>
          <w:rFonts w:ascii="Century Gothic" w:hAnsi="Century Gothic"/>
        </w:rPr>
        <w:t>le</w:t>
      </w:r>
      <w:r w:rsidR="009B11B8" w:rsidRPr="009B11B8">
        <w:rPr>
          <w:rFonts w:ascii="Century Gothic" w:hAnsi="Century Gothic"/>
        </w:rPr>
        <w:t xml:space="preserve"> tematiche</w:t>
      </w:r>
      <w:r w:rsidR="00370F67">
        <w:rPr>
          <w:rFonts w:ascii="Century Gothic" w:hAnsi="Century Gothic"/>
        </w:rPr>
        <w:t xml:space="preserve"> centrali della contrattazione sociale</w:t>
      </w:r>
      <w:r w:rsidR="009B11B8">
        <w:rPr>
          <w:rFonts w:ascii="Century Gothic" w:hAnsi="Century Gothic"/>
        </w:rPr>
        <w:t xml:space="preserve">: la politica fiscale, le politiche abitative, la difesa del welfare locale, la lotta all’evasione fiscale. </w:t>
      </w:r>
      <w:r w:rsidR="00B43201">
        <w:rPr>
          <w:rFonts w:ascii="Century Gothic" w:hAnsi="Century Gothic"/>
        </w:rPr>
        <w:t xml:space="preserve">Si </w:t>
      </w:r>
      <w:r w:rsidR="00B43201">
        <w:rPr>
          <w:rFonts w:ascii="Century Gothic" w:hAnsi="Century Gothic"/>
        </w:rPr>
        <w:lastRenderedPageBreak/>
        <w:t>rilevano</w:t>
      </w:r>
      <w:r w:rsidR="009E2B55">
        <w:rPr>
          <w:rFonts w:ascii="Century Gothic" w:hAnsi="Century Gothic"/>
        </w:rPr>
        <w:t xml:space="preserve"> poi delle specificità sia nel trattare i suddetti temi sia nell’inserire particolari argomenti. </w:t>
      </w:r>
    </w:p>
    <w:p w:rsidR="00B43201" w:rsidRDefault="00A13354" w:rsidP="00A13354">
      <w:pPr>
        <w:jc w:val="both"/>
        <w:rPr>
          <w:rFonts w:ascii="Century Gothic" w:hAnsi="Century Gothic"/>
        </w:rPr>
      </w:pPr>
      <w:r>
        <w:rPr>
          <w:rFonts w:ascii="Century Gothic" w:hAnsi="Century Gothic"/>
        </w:rPr>
        <w:t>La piattaforma di Siena è simile a q</w:t>
      </w:r>
      <w:r w:rsidR="009E2B55">
        <w:rPr>
          <w:rFonts w:ascii="Century Gothic" w:hAnsi="Century Gothic"/>
        </w:rPr>
        <w:t>uella presentata lo scorso anno, con l’interesse rivolto anche alle politiche al bilancio di genere ai fini di equità</w:t>
      </w:r>
      <w:r w:rsidR="00E170AE">
        <w:rPr>
          <w:rFonts w:ascii="Century Gothic" w:hAnsi="Century Gothic"/>
        </w:rPr>
        <w:t>,</w:t>
      </w:r>
      <w:r w:rsidR="009E2B55">
        <w:rPr>
          <w:rFonts w:ascii="Century Gothic" w:hAnsi="Century Gothic"/>
        </w:rPr>
        <w:t xml:space="preserve"> ma pure di razionalizzazione delle risorse e di riqualificazione dei servizi.</w:t>
      </w:r>
      <w:r>
        <w:rPr>
          <w:rFonts w:ascii="Century Gothic" w:hAnsi="Century Gothic"/>
        </w:rPr>
        <w:t xml:space="preserve"> </w:t>
      </w:r>
      <w:r w:rsidR="009E2B55">
        <w:rPr>
          <w:rFonts w:ascii="Century Gothic" w:hAnsi="Century Gothic"/>
        </w:rPr>
        <w:t>L</w:t>
      </w:r>
      <w:r>
        <w:rPr>
          <w:rFonts w:ascii="Century Gothic" w:hAnsi="Century Gothic"/>
        </w:rPr>
        <w:t>a principale differenza riguard</w:t>
      </w:r>
      <w:r w:rsidR="009E2B55">
        <w:rPr>
          <w:rFonts w:ascii="Century Gothic" w:hAnsi="Century Gothic"/>
        </w:rPr>
        <w:t>a l</w:t>
      </w:r>
      <w:r>
        <w:rPr>
          <w:rFonts w:ascii="Century Gothic" w:hAnsi="Century Gothic"/>
        </w:rPr>
        <w:t>a politica fiscale</w:t>
      </w:r>
      <w:r w:rsidR="009E2B55">
        <w:rPr>
          <w:rFonts w:ascii="Century Gothic" w:hAnsi="Century Gothic"/>
        </w:rPr>
        <w:t xml:space="preserve"> con</w:t>
      </w:r>
      <w:r>
        <w:rPr>
          <w:rFonts w:ascii="Century Gothic" w:hAnsi="Century Gothic"/>
        </w:rPr>
        <w:t xml:space="preserve"> l’accento per uno specifico confronto posto sull’indicatore ISEE, tema importante per 2015 data </w:t>
      </w:r>
      <w:r w:rsidR="009C3239">
        <w:rPr>
          <w:rFonts w:ascii="Century Gothic" w:hAnsi="Century Gothic"/>
        </w:rPr>
        <w:t>la</w:t>
      </w:r>
      <w:r>
        <w:rPr>
          <w:rFonts w:ascii="Century Gothic" w:hAnsi="Century Gothic"/>
        </w:rPr>
        <w:t xml:space="preserve"> nuov</w:t>
      </w:r>
      <w:r w:rsidR="009C3239">
        <w:rPr>
          <w:rFonts w:ascii="Century Gothic" w:hAnsi="Century Gothic"/>
        </w:rPr>
        <w:t>a</w:t>
      </w:r>
      <w:r>
        <w:rPr>
          <w:rFonts w:ascii="Century Gothic" w:hAnsi="Century Gothic"/>
        </w:rPr>
        <w:t xml:space="preserve"> </w:t>
      </w:r>
      <w:r w:rsidR="009C3239">
        <w:rPr>
          <w:rFonts w:ascii="Century Gothic" w:hAnsi="Century Gothic"/>
        </w:rPr>
        <w:t>regolamentazione</w:t>
      </w:r>
      <w:r>
        <w:rPr>
          <w:rFonts w:ascii="Century Gothic" w:hAnsi="Century Gothic"/>
        </w:rPr>
        <w:t xml:space="preserve">, mentre nel 2014 l’attenzione era </w:t>
      </w:r>
      <w:r w:rsidR="009E2B55">
        <w:rPr>
          <w:rFonts w:ascii="Century Gothic" w:hAnsi="Century Gothic"/>
        </w:rPr>
        <w:t>rivolta a</w:t>
      </w:r>
      <w:r>
        <w:rPr>
          <w:rFonts w:ascii="Century Gothic" w:hAnsi="Century Gothic"/>
        </w:rPr>
        <w:t>ll’introduzione della TASI.</w:t>
      </w:r>
      <w:r w:rsidR="009E2B55">
        <w:rPr>
          <w:rFonts w:ascii="Century Gothic" w:hAnsi="Century Gothic"/>
        </w:rPr>
        <w:t xml:space="preserve"> </w:t>
      </w:r>
      <w:r w:rsidR="009C3239">
        <w:rPr>
          <w:rFonts w:ascii="Century Gothic" w:hAnsi="Century Gothic"/>
        </w:rPr>
        <w:t>Rispetto al 2014 v</w:t>
      </w:r>
      <w:r w:rsidR="00181DD7">
        <w:rPr>
          <w:rFonts w:ascii="Century Gothic" w:hAnsi="Century Gothic"/>
        </w:rPr>
        <w:t>iene anche inserita la tematica della gestione degli appalti con le tutele fornite dall</w:t>
      </w:r>
      <w:r w:rsidR="004B01E1">
        <w:rPr>
          <w:rFonts w:ascii="Century Gothic" w:hAnsi="Century Gothic"/>
        </w:rPr>
        <w:t>e</w:t>
      </w:r>
      <w:r w:rsidR="00181DD7">
        <w:rPr>
          <w:rFonts w:ascii="Century Gothic" w:hAnsi="Century Gothic"/>
        </w:rPr>
        <w:t xml:space="preserve"> clausol</w:t>
      </w:r>
      <w:r w:rsidR="004B01E1">
        <w:rPr>
          <w:rFonts w:ascii="Century Gothic" w:hAnsi="Century Gothic"/>
        </w:rPr>
        <w:t>e</w:t>
      </w:r>
      <w:r w:rsidR="00181DD7">
        <w:rPr>
          <w:rFonts w:ascii="Century Gothic" w:hAnsi="Century Gothic"/>
        </w:rPr>
        <w:t xml:space="preserve"> social</w:t>
      </w:r>
      <w:r w:rsidR="004B01E1">
        <w:rPr>
          <w:rFonts w:ascii="Century Gothic" w:hAnsi="Century Gothic"/>
        </w:rPr>
        <w:t>i</w:t>
      </w:r>
      <w:r w:rsidR="00181DD7">
        <w:rPr>
          <w:rFonts w:ascii="Century Gothic" w:hAnsi="Century Gothic"/>
        </w:rPr>
        <w:t xml:space="preserve">. </w:t>
      </w:r>
      <w:r w:rsidR="009E2B55">
        <w:rPr>
          <w:rFonts w:ascii="Century Gothic" w:hAnsi="Century Gothic"/>
        </w:rPr>
        <w:t xml:space="preserve">La particolarità </w:t>
      </w:r>
      <w:r w:rsidR="00E170AE">
        <w:rPr>
          <w:rFonts w:ascii="Century Gothic" w:hAnsi="Century Gothic"/>
        </w:rPr>
        <w:t xml:space="preserve">della piattaforma di Pisa è l’interesse verso i processi di fusione dei comuni ai fini della progettazione e della gestione </w:t>
      </w:r>
      <w:r w:rsidR="009C3239">
        <w:rPr>
          <w:rFonts w:ascii="Century Gothic" w:hAnsi="Century Gothic"/>
        </w:rPr>
        <w:t xml:space="preserve">in modalità </w:t>
      </w:r>
      <w:r w:rsidR="00E170AE">
        <w:rPr>
          <w:rFonts w:ascii="Century Gothic" w:hAnsi="Century Gothic"/>
        </w:rPr>
        <w:t>associat</w:t>
      </w:r>
      <w:r w:rsidR="009C3239">
        <w:rPr>
          <w:rFonts w:ascii="Century Gothic" w:hAnsi="Century Gothic"/>
        </w:rPr>
        <w:t>a</w:t>
      </w:r>
      <w:r w:rsidR="00E170AE">
        <w:rPr>
          <w:rFonts w:ascii="Century Gothic" w:hAnsi="Century Gothic"/>
        </w:rPr>
        <w:t xml:space="preserve"> del sistema locale dei servizi sociali. Inoltre </w:t>
      </w:r>
      <w:r w:rsidR="00181DD7">
        <w:rPr>
          <w:rFonts w:ascii="Century Gothic" w:hAnsi="Century Gothic"/>
        </w:rPr>
        <w:t>viene data importanza alla definizione e realizzazione delle Case della Salute, tema rilevante nelle piattaforme d</w:t>
      </w:r>
      <w:r w:rsidR="009C3239">
        <w:rPr>
          <w:rFonts w:ascii="Century Gothic" w:hAnsi="Century Gothic"/>
        </w:rPr>
        <w:t xml:space="preserve">i ambito socio-sanitario, come si vedrà di </w:t>
      </w:r>
      <w:r w:rsidR="00181DD7">
        <w:rPr>
          <w:rFonts w:ascii="Century Gothic" w:hAnsi="Century Gothic"/>
        </w:rPr>
        <w:t>seguito.</w:t>
      </w:r>
      <w:r w:rsidR="00951A89">
        <w:rPr>
          <w:rFonts w:ascii="Century Gothic" w:hAnsi="Century Gothic"/>
        </w:rPr>
        <w:t xml:space="preserve"> </w:t>
      </w:r>
    </w:p>
    <w:p w:rsidR="00B43201" w:rsidRDefault="00B43201" w:rsidP="00A13354">
      <w:pPr>
        <w:jc w:val="both"/>
        <w:rPr>
          <w:rFonts w:ascii="Century Gothic" w:hAnsi="Century Gothic"/>
        </w:rPr>
      </w:pPr>
      <w:r w:rsidRPr="008348D0">
        <w:rPr>
          <w:rFonts w:ascii="Century Gothic" w:hAnsi="Century Gothic"/>
        </w:rPr>
        <w:t>La piattaforma presentata dal sindacato</w:t>
      </w:r>
      <w:r w:rsidR="00EB48C6" w:rsidRPr="008348D0">
        <w:rPr>
          <w:rFonts w:ascii="Century Gothic" w:hAnsi="Century Gothic"/>
        </w:rPr>
        <w:t xml:space="preserve"> della provincia di Massa è un </w:t>
      </w:r>
      <w:r w:rsidRPr="008348D0">
        <w:rPr>
          <w:rFonts w:ascii="Century Gothic" w:hAnsi="Century Gothic"/>
        </w:rPr>
        <w:t xml:space="preserve">documento di indirizzo per la concertazione territoriale molto articolato, e, a quanto ci risulta sulla base della documentazione pervenuta nel corso degli anni, il primo di </w:t>
      </w:r>
      <w:r w:rsidR="00517760" w:rsidRPr="008348D0">
        <w:rPr>
          <w:rFonts w:ascii="Century Gothic" w:hAnsi="Century Gothic"/>
        </w:rPr>
        <w:t>tale</w:t>
      </w:r>
      <w:r w:rsidRPr="008348D0">
        <w:rPr>
          <w:rFonts w:ascii="Century Gothic" w:hAnsi="Century Gothic"/>
        </w:rPr>
        <w:t xml:space="preserve"> tipologia redatto in questo territorio. </w:t>
      </w:r>
      <w:r w:rsidR="00EB48C6" w:rsidRPr="008348D0">
        <w:rPr>
          <w:rFonts w:ascii="Century Gothic" w:hAnsi="Century Gothic"/>
        </w:rPr>
        <w:t>Come nella provincia di Pisa, viene posta particolare enfasi sull’esigenza di ricorrere a gestioni associate dei servizi, e per i comuni più piccoli di avviare processi di fusione, visti i risultati modesti derivati dalle Unioni dei Comuni. Oltre alle tradizionali politiche sociali di protezione delle fasce più deboli, viene dato spazio alle politiche del lavoro e dello sviluppo del territorio, in un’ottica complessiva di tutela della sicurezza e dell’ambiente, anche tramite una corretta gestione degli appalti.</w:t>
      </w:r>
    </w:p>
    <w:p w:rsidR="00556E35" w:rsidRDefault="00181DD7" w:rsidP="006D77AF">
      <w:pPr>
        <w:jc w:val="both"/>
        <w:rPr>
          <w:rFonts w:ascii="Century Gothic" w:hAnsi="Century Gothic"/>
        </w:rPr>
      </w:pPr>
      <w:r>
        <w:rPr>
          <w:rFonts w:ascii="Century Gothic" w:hAnsi="Century Gothic"/>
        </w:rPr>
        <w:t xml:space="preserve">Dato che le piattaforme possono avere validità anche pluriennale, è opportuno ricordare due documenti presentati nel 2014 che sono serviti da </w:t>
      </w:r>
      <w:r w:rsidR="00951A89">
        <w:rPr>
          <w:rFonts w:ascii="Century Gothic" w:hAnsi="Century Gothic"/>
        </w:rPr>
        <w:t>indirizzo</w:t>
      </w:r>
      <w:r>
        <w:rPr>
          <w:rFonts w:ascii="Century Gothic" w:hAnsi="Century Gothic"/>
        </w:rPr>
        <w:t xml:space="preserve"> per accordi siglati nel 2015 nelle province relative, ossia Arezzo e Lucca.</w:t>
      </w:r>
    </w:p>
    <w:p w:rsidR="00181DD7" w:rsidRDefault="00181DD7" w:rsidP="00181DD7">
      <w:pPr>
        <w:jc w:val="both"/>
        <w:rPr>
          <w:rFonts w:ascii="Century Gothic" w:hAnsi="Century Gothic"/>
        </w:rPr>
      </w:pPr>
      <w:r>
        <w:rPr>
          <w:rFonts w:ascii="Century Gothic" w:hAnsi="Century Gothic"/>
        </w:rPr>
        <w:t xml:space="preserve">La piattaforma presentata nel territorio aretino </w:t>
      </w:r>
      <w:r w:rsidR="009D2647">
        <w:rPr>
          <w:rFonts w:ascii="Century Gothic" w:hAnsi="Century Gothic"/>
        </w:rPr>
        <w:t>nel 2014 consisteva di un</w:t>
      </w:r>
      <w:r>
        <w:rPr>
          <w:rFonts w:ascii="Century Gothic" w:hAnsi="Century Gothic"/>
        </w:rPr>
        <w:t xml:space="preserve"> documento di contrattazione ince</w:t>
      </w:r>
      <w:r w:rsidR="007E48C2">
        <w:rPr>
          <w:rFonts w:ascii="Century Gothic" w:hAnsi="Century Gothic"/>
        </w:rPr>
        <w:t xml:space="preserve">ntrato sul welfare territoriale, </w:t>
      </w:r>
      <w:r w:rsidR="009D2647">
        <w:rPr>
          <w:rFonts w:ascii="Century Gothic" w:hAnsi="Century Gothic"/>
        </w:rPr>
        <w:t xml:space="preserve">rivolto </w:t>
      </w:r>
      <w:r w:rsidRPr="009E1920">
        <w:rPr>
          <w:rFonts w:ascii="Century Gothic" w:hAnsi="Century Gothic"/>
        </w:rPr>
        <w:t xml:space="preserve">ai cinque distretti della provincia </w:t>
      </w:r>
      <w:r w:rsidR="007E48C2">
        <w:rPr>
          <w:rFonts w:ascii="Century Gothic" w:hAnsi="Century Gothic"/>
        </w:rPr>
        <w:t>con relativi comuni, con validità anche per il 2015.</w:t>
      </w:r>
      <w:r w:rsidR="009D2647">
        <w:rPr>
          <w:rFonts w:ascii="Century Gothic" w:hAnsi="Century Gothic"/>
        </w:rPr>
        <w:t xml:space="preserve"> </w:t>
      </w:r>
      <w:r w:rsidR="007E48C2">
        <w:rPr>
          <w:rFonts w:ascii="Century Gothic" w:hAnsi="Century Gothic"/>
        </w:rPr>
        <w:t xml:space="preserve">Nel 2014 solo </w:t>
      </w:r>
      <w:r w:rsidR="00951A89">
        <w:rPr>
          <w:rFonts w:ascii="Century Gothic" w:hAnsi="Century Gothic"/>
        </w:rPr>
        <w:t>nel</w:t>
      </w:r>
      <w:r>
        <w:rPr>
          <w:rFonts w:ascii="Century Gothic" w:hAnsi="Century Gothic"/>
        </w:rPr>
        <w:t xml:space="preserve"> distretto della Valdichiana </w:t>
      </w:r>
      <w:r w:rsidR="00951A89">
        <w:rPr>
          <w:rFonts w:ascii="Century Gothic" w:hAnsi="Century Gothic"/>
        </w:rPr>
        <w:t xml:space="preserve">questa </w:t>
      </w:r>
      <w:r>
        <w:rPr>
          <w:rFonts w:ascii="Century Gothic" w:hAnsi="Century Gothic"/>
        </w:rPr>
        <w:t xml:space="preserve">piattaforma, con relativo documento sub-provinciale, è </w:t>
      </w:r>
      <w:r w:rsidR="00951A89">
        <w:rPr>
          <w:rFonts w:ascii="Century Gothic" w:hAnsi="Century Gothic"/>
        </w:rPr>
        <w:t xml:space="preserve">stata presentata e </w:t>
      </w:r>
      <w:r>
        <w:rPr>
          <w:rFonts w:ascii="Century Gothic" w:hAnsi="Century Gothic"/>
        </w:rPr>
        <w:t xml:space="preserve">recepita integralmente con una delibera della conferenza zonale dei sindaci. </w:t>
      </w:r>
      <w:r w:rsidR="00951A89">
        <w:rPr>
          <w:rFonts w:ascii="Century Gothic" w:hAnsi="Century Gothic"/>
        </w:rPr>
        <w:t>Gli accordi siglati nel 2015 sia a livello comunale che intercomunale nella provincia di Arezzo fanno riferimento a questa piattaforma, come spiegato nel paragrafo 3.5.</w:t>
      </w:r>
      <w:r w:rsidR="007B61D4">
        <w:rPr>
          <w:rFonts w:ascii="Century Gothic" w:hAnsi="Century Gothic"/>
        </w:rPr>
        <w:t xml:space="preserve">. </w:t>
      </w:r>
      <w:r w:rsidR="00346E11">
        <w:rPr>
          <w:rFonts w:ascii="Century Gothic" w:hAnsi="Century Gothic"/>
        </w:rPr>
        <w:t xml:space="preserve">Non si rileva, però, alcuna </w:t>
      </w:r>
      <w:r w:rsidR="007B61D4" w:rsidRPr="00346E11">
        <w:rPr>
          <w:rFonts w:ascii="Century Gothic" w:hAnsi="Century Gothic"/>
        </w:rPr>
        <w:t>delibera</w:t>
      </w:r>
      <w:r w:rsidR="00346E11">
        <w:rPr>
          <w:rFonts w:ascii="Century Gothic" w:hAnsi="Century Gothic"/>
        </w:rPr>
        <w:t xml:space="preserve"> di approvazione.</w:t>
      </w:r>
    </w:p>
    <w:p w:rsidR="00556E35" w:rsidRDefault="00556E35" w:rsidP="009B11B8">
      <w:pPr>
        <w:jc w:val="both"/>
        <w:rPr>
          <w:rFonts w:ascii="Century Gothic" w:hAnsi="Century Gothic"/>
        </w:rPr>
      </w:pPr>
      <w:r>
        <w:rPr>
          <w:rFonts w:ascii="Century Gothic" w:hAnsi="Century Gothic"/>
        </w:rPr>
        <w:t xml:space="preserve">La piattaforma di Lucca </w:t>
      </w:r>
      <w:r w:rsidR="00951A89">
        <w:rPr>
          <w:rFonts w:ascii="Century Gothic" w:hAnsi="Century Gothic"/>
        </w:rPr>
        <w:t xml:space="preserve">presentata nel 2014 </w:t>
      </w:r>
      <w:r>
        <w:rPr>
          <w:rFonts w:ascii="Century Gothic" w:hAnsi="Century Gothic"/>
        </w:rPr>
        <w:t xml:space="preserve">si caratterizza per l’ampiezza delle tematiche trattate che coprono tutte le materie della contrattazione sociale, incluse le iniziative di socializzazione. Il documento è, infatti, articolato in diversi paragrafi in cui sono presentate le proposte specifiche. Particolare attenzione è posta sulle politiche sociali e della salute, </w:t>
      </w:r>
      <w:r w:rsidR="009C3239">
        <w:rPr>
          <w:rFonts w:ascii="Century Gothic" w:hAnsi="Century Gothic"/>
        </w:rPr>
        <w:t>con la descrizione</w:t>
      </w:r>
      <w:r>
        <w:rPr>
          <w:rFonts w:ascii="Century Gothic" w:hAnsi="Century Gothic"/>
        </w:rPr>
        <w:t xml:space="preserve"> </w:t>
      </w:r>
      <w:r w:rsidR="00597035">
        <w:rPr>
          <w:rFonts w:ascii="Century Gothic" w:hAnsi="Century Gothic"/>
        </w:rPr>
        <w:t>nel dettaglio</w:t>
      </w:r>
      <w:r>
        <w:rPr>
          <w:rFonts w:ascii="Century Gothic" w:hAnsi="Century Gothic"/>
        </w:rPr>
        <w:t xml:space="preserve"> </w:t>
      </w:r>
      <w:r w:rsidR="009C3239">
        <w:rPr>
          <w:rFonts w:ascii="Century Gothic" w:hAnsi="Century Gothic"/>
        </w:rPr>
        <w:t>de</w:t>
      </w:r>
      <w:r>
        <w:rPr>
          <w:rFonts w:ascii="Century Gothic" w:hAnsi="Century Gothic"/>
        </w:rPr>
        <w:t xml:space="preserve">gli interventi richiesti di assistenza territoriale e domiciliare. </w:t>
      </w:r>
      <w:r w:rsidR="00951A89">
        <w:rPr>
          <w:rFonts w:ascii="Century Gothic" w:hAnsi="Century Gothic"/>
        </w:rPr>
        <w:t xml:space="preserve">Gli accordi siglati nel 2015 nel territorio lucchese riprendono </w:t>
      </w:r>
      <w:r w:rsidR="007B61D4">
        <w:rPr>
          <w:rFonts w:ascii="Century Gothic" w:hAnsi="Century Gothic"/>
        </w:rPr>
        <w:t>le tematiche e le modalità dettagliate di trattazione di questo documento, anche se</w:t>
      </w:r>
      <w:r w:rsidR="00272508">
        <w:rPr>
          <w:rFonts w:ascii="Century Gothic" w:hAnsi="Century Gothic"/>
        </w:rPr>
        <w:t>, in genere,</w:t>
      </w:r>
      <w:r w:rsidR="007B61D4">
        <w:rPr>
          <w:rFonts w:ascii="Century Gothic" w:hAnsi="Century Gothic"/>
        </w:rPr>
        <w:t xml:space="preserve"> non espressamente citato.</w:t>
      </w:r>
      <w:r w:rsidR="0024103A">
        <w:rPr>
          <w:rFonts w:ascii="Century Gothic" w:hAnsi="Century Gothic"/>
        </w:rPr>
        <w:t xml:space="preserve"> Si presume che sia la piattaforma del 2014 il testo di riferimento, perché, a quanto ci risulta, nel 2015 non è stato redatto un nuovo documento di indirizzo.</w:t>
      </w:r>
    </w:p>
    <w:p w:rsidR="00272508" w:rsidRDefault="00272508" w:rsidP="009B11B8">
      <w:pPr>
        <w:jc w:val="both"/>
        <w:rPr>
          <w:rFonts w:ascii="Century Gothic" w:hAnsi="Century Gothic"/>
        </w:rPr>
      </w:pPr>
      <w:r w:rsidRPr="00CF5D97">
        <w:rPr>
          <w:rFonts w:ascii="Century Gothic" w:hAnsi="Century Gothic"/>
        </w:rPr>
        <w:t xml:space="preserve">Negli incontri con le amministrazioni possono essere presi come </w:t>
      </w:r>
      <w:r w:rsidR="0024103A" w:rsidRPr="00CF5D97">
        <w:rPr>
          <w:rFonts w:ascii="Century Gothic" w:hAnsi="Century Gothic"/>
        </w:rPr>
        <w:t>guida</w:t>
      </w:r>
      <w:r w:rsidRPr="00CF5D97">
        <w:rPr>
          <w:rFonts w:ascii="Century Gothic" w:hAnsi="Century Gothic"/>
        </w:rPr>
        <w:t xml:space="preserve"> documenti di proposta presentati anche anteriormente al 2014. Ad esempio nella contrattazione nella provincia di Firenze, nell’ultimo triennio, è stata preso come documento </w:t>
      </w:r>
      <w:r w:rsidR="00CF5D97" w:rsidRPr="00CF5D97">
        <w:rPr>
          <w:rFonts w:ascii="Century Gothic" w:hAnsi="Century Gothic"/>
        </w:rPr>
        <w:t>di indirizzo</w:t>
      </w:r>
      <w:r w:rsidRPr="00CF5D97">
        <w:rPr>
          <w:rFonts w:ascii="Century Gothic" w:hAnsi="Century Gothic"/>
        </w:rPr>
        <w:t xml:space="preserve"> la </w:t>
      </w:r>
      <w:r w:rsidRPr="00CF5D97">
        <w:rPr>
          <w:rFonts w:ascii="Century Gothic" w:hAnsi="Century Gothic"/>
        </w:rPr>
        <w:lastRenderedPageBreak/>
        <w:t xml:space="preserve">piattaforma presentata nel 2012, come si rileva dalle richieste di incontro </w:t>
      </w:r>
      <w:r w:rsidR="00CF5D97" w:rsidRPr="00CF5D97">
        <w:rPr>
          <w:rFonts w:ascii="Century Gothic" w:hAnsi="Century Gothic"/>
        </w:rPr>
        <w:t>rivolte</w:t>
      </w:r>
      <w:r w:rsidRPr="00CF5D97">
        <w:rPr>
          <w:rFonts w:ascii="Century Gothic" w:hAnsi="Century Gothic"/>
        </w:rPr>
        <w:t xml:space="preserve"> alle amministrazioni comunali.</w:t>
      </w:r>
      <w:r>
        <w:rPr>
          <w:rFonts w:ascii="Century Gothic" w:hAnsi="Century Gothic"/>
        </w:rPr>
        <w:t xml:space="preserve"> </w:t>
      </w:r>
    </w:p>
    <w:p w:rsidR="00EE6023" w:rsidRDefault="007B61D4" w:rsidP="00E11A90">
      <w:pPr>
        <w:jc w:val="both"/>
        <w:rPr>
          <w:rFonts w:ascii="Century Gothic" w:hAnsi="Century Gothic"/>
        </w:rPr>
      </w:pPr>
      <w:r>
        <w:rPr>
          <w:rFonts w:ascii="Century Gothic" w:hAnsi="Century Gothic"/>
        </w:rPr>
        <w:t xml:space="preserve">Passiamo ad esaminare le piattaforme specifiche su tematiche socio-sanitarie, partendo dalla provincia </w:t>
      </w:r>
      <w:r w:rsidR="003A5027">
        <w:rPr>
          <w:rFonts w:ascii="Century Gothic" w:hAnsi="Century Gothic"/>
        </w:rPr>
        <w:t>di Livorno</w:t>
      </w:r>
      <w:r w:rsidR="00430CCF">
        <w:rPr>
          <w:rFonts w:ascii="Century Gothic" w:hAnsi="Century Gothic"/>
        </w:rPr>
        <w:t>, dove</w:t>
      </w:r>
      <w:r w:rsidR="003A5027">
        <w:rPr>
          <w:rFonts w:ascii="Century Gothic" w:hAnsi="Century Gothic"/>
        </w:rPr>
        <w:t xml:space="preserve"> i sindacati </w:t>
      </w:r>
      <w:r w:rsidR="00430CCF">
        <w:rPr>
          <w:rFonts w:ascii="Century Gothic" w:hAnsi="Century Gothic"/>
        </w:rPr>
        <w:t xml:space="preserve">confederali </w:t>
      </w:r>
      <w:r w:rsidR="003A5027">
        <w:rPr>
          <w:rFonts w:ascii="Century Gothic" w:hAnsi="Century Gothic"/>
        </w:rPr>
        <w:t xml:space="preserve">dei pensionati </w:t>
      </w:r>
      <w:r w:rsidR="00A44A3E">
        <w:rPr>
          <w:rFonts w:ascii="Century Gothic" w:hAnsi="Century Gothic"/>
        </w:rPr>
        <w:t xml:space="preserve">hanno riscontrato </w:t>
      </w:r>
      <w:r w:rsidR="00890871">
        <w:rPr>
          <w:rFonts w:ascii="Century Gothic" w:hAnsi="Century Gothic"/>
        </w:rPr>
        <w:t xml:space="preserve">nel Piano attuativo dell’ASL 6 una </w:t>
      </w:r>
      <w:r w:rsidR="00A44A3E">
        <w:rPr>
          <w:rFonts w:ascii="Century Gothic" w:hAnsi="Century Gothic"/>
        </w:rPr>
        <w:t xml:space="preserve">progettualità </w:t>
      </w:r>
      <w:r w:rsidR="00890871">
        <w:rPr>
          <w:rFonts w:ascii="Century Gothic" w:hAnsi="Century Gothic"/>
        </w:rPr>
        <w:t xml:space="preserve">non adeguata e </w:t>
      </w:r>
      <w:r w:rsidR="00A44A3E">
        <w:rPr>
          <w:rFonts w:ascii="Century Gothic" w:hAnsi="Century Gothic"/>
        </w:rPr>
        <w:t xml:space="preserve">un ritardo rispetto a quanto delineato nella delibera regionale </w:t>
      </w:r>
      <w:r w:rsidR="00A44A3E" w:rsidRPr="008B3815">
        <w:rPr>
          <w:rFonts w:ascii="Century Gothic" w:hAnsi="Century Gothic"/>
        </w:rPr>
        <w:t>1235/2012</w:t>
      </w:r>
      <w:r w:rsidR="00A44A3E">
        <w:rPr>
          <w:rFonts w:ascii="Century Gothic" w:hAnsi="Century Gothic"/>
        </w:rPr>
        <w:t xml:space="preserve">. </w:t>
      </w:r>
      <w:r w:rsidR="00890871">
        <w:rPr>
          <w:rFonts w:ascii="Century Gothic" w:hAnsi="Century Gothic"/>
        </w:rPr>
        <w:t xml:space="preserve">Di fronte a questa situazione è stata elaborata e presentata una </w:t>
      </w:r>
      <w:r w:rsidR="00B35308">
        <w:rPr>
          <w:rFonts w:ascii="Century Gothic" w:hAnsi="Century Gothic"/>
        </w:rPr>
        <w:t xml:space="preserve">piattaforma </w:t>
      </w:r>
      <w:r w:rsidR="00890871">
        <w:rPr>
          <w:rFonts w:ascii="Century Gothic" w:hAnsi="Century Gothic"/>
        </w:rPr>
        <w:t>rivendicativa, che</w:t>
      </w:r>
      <w:r w:rsidR="00B35308">
        <w:rPr>
          <w:rFonts w:ascii="Century Gothic" w:hAnsi="Century Gothic"/>
        </w:rPr>
        <w:t xml:space="preserve"> </w:t>
      </w:r>
      <w:r w:rsidR="00CE5C38">
        <w:rPr>
          <w:rFonts w:ascii="Century Gothic" w:hAnsi="Century Gothic"/>
        </w:rPr>
        <w:t xml:space="preserve">consiste </w:t>
      </w:r>
      <w:r w:rsidR="00890871">
        <w:rPr>
          <w:rFonts w:ascii="Century Gothic" w:hAnsi="Century Gothic"/>
        </w:rPr>
        <w:t>in una</w:t>
      </w:r>
      <w:r w:rsidR="00CE5C38">
        <w:rPr>
          <w:rFonts w:ascii="Century Gothic" w:hAnsi="Century Gothic"/>
        </w:rPr>
        <w:t xml:space="preserve"> proposta organica di</w:t>
      </w:r>
      <w:r w:rsidR="00B35308">
        <w:rPr>
          <w:rFonts w:ascii="Century Gothic" w:hAnsi="Century Gothic"/>
        </w:rPr>
        <w:t xml:space="preserve"> realizzazione </w:t>
      </w:r>
      <w:r w:rsidR="00CE5C38">
        <w:rPr>
          <w:rFonts w:ascii="Century Gothic" w:hAnsi="Century Gothic"/>
        </w:rPr>
        <w:t xml:space="preserve">e organizzazione </w:t>
      </w:r>
      <w:r w:rsidR="00B35308">
        <w:rPr>
          <w:rFonts w:ascii="Century Gothic" w:hAnsi="Century Gothic"/>
        </w:rPr>
        <w:t>delle Case della Salute</w:t>
      </w:r>
      <w:r w:rsidR="00D907B1">
        <w:rPr>
          <w:rFonts w:ascii="Century Gothic" w:hAnsi="Century Gothic"/>
        </w:rPr>
        <w:t>, considerate un punto di vitale importanza nella riorganizzazione del sistema sanitario regionale</w:t>
      </w:r>
      <w:r w:rsidR="00890871">
        <w:rPr>
          <w:rFonts w:ascii="Century Gothic" w:hAnsi="Century Gothic"/>
        </w:rPr>
        <w:t xml:space="preserve">. Tale documento </w:t>
      </w:r>
      <w:r w:rsidR="00346E1D">
        <w:rPr>
          <w:rFonts w:ascii="Century Gothic" w:hAnsi="Century Gothic"/>
        </w:rPr>
        <w:t xml:space="preserve">propone </w:t>
      </w:r>
      <w:r w:rsidR="00EE6023">
        <w:rPr>
          <w:rFonts w:ascii="Century Gothic" w:hAnsi="Century Gothic"/>
        </w:rPr>
        <w:t>una distribuzione delle C</w:t>
      </w:r>
      <w:r w:rsidR="00F91EC4">
        <w:rPr>
          <w:rFonts w:ascii="Century Gothic" w:hAnsi="Century Gothic"/>
        </w:rPr>
        <w:t>ase della Salute</w:t>
      </w:r>
      <w:r w:rsidR="00EE6023">
        <w:rPr>
          <w:rFonts w:ascii="Century Gothic" w:hAnsi="Century Gothic"/>
        </w:rPr>
        <w:t xml:space="preserve"> nelle varie zone della provincia, definendo anche il tipo di modello secondo le linee di indirizzo della del</w:t>
      </w:r>
      <w:r w:rsidR="00AD00B1">
        <w:rPr>
          <w:rFonts w:ascii="Century Gothic" w:hAnsi="Century Gothic"/>
        </w:rPr>
        <w:t>i</w:t>
      </w:r>
      <w:r w:rsidR="00EE6023">
        <w:rPr>
          <w:rFonts w:ascii="Century Gothic" w:hAnsi="Century Gothic"/>
        </w:rPr>
        <w:t xml:space="preserve">bera regionale 117/2015. Sulla base di tale piattaforma è stata condotta nel corso del 2015 una campagna di mobilitazione con raccolta firme, spiegata più nel dettaglio nel capitolo 3, in particolare nel paragrafo 3.5. </w:t>
      </w:r>
    </w:p>
    <w:p w:rsidR="00D907B1" w:rsidRDefault="00583EFB" w:rsidP="00E11A90">
      <w:pPr>
        <w:jc w:val="both"/>
        <w:rPr>
          <w:rFonts w:ascii="Century Gothic" w:hAnsi="Century Gothic"/>
        </w:rPr>
      </w:pPr>
      <w:r w:rsidRPr="00804E88">
        <w:rPr>
          <w:rFonts w:ascii="Century Gothic" w:hAnsi="Century Gothic"/>
        </w:rPr>
        <w:t>La CGIl di Prato ha aderito alla campagna “Salviamo la salute” promossa a livello nazionale e iniziata</w:t>
      </w:r>
      <w:r w:rsidR="00804E88">
        <w:rPr>
          <w:rFonts w:ascii="Century Gothic" w:hAnsi="Century Gothic"/>
        </w:rPr>
        <w:t>,</w:t>
      </w:r>
      <w:r w:rsidRPr="00804E88">
        <w:rPr>
          <w:rFonts w:ascii="Century Gothic" w:hAnsi="Century Gothic"/>
        </w:rPr>
        <w:t xml:space="preserve"> nel mese di giugno 2014</w:t>
      </w:r>
      <w:r w:rsidR="00804E88">
        <w:rPr>
          <w:rFonts w:ascii="Century Gothic" w:hAnsi="Century Gothic"/>
        </w:rPr>
        <w:t>,</w:t>
      </w:r>
      <w:r w:rsidRPr="00804E88">
        <w:rPr>
          <w:rFonts w:ascii="Century Gothic" w:hAnsi="Century Gothic"/>
        </w:rPr>
        <w:t xml:space="preserve"> con</w:t>
      </w:r>
      <w:r>
        <w:rPr>
          <w:rFonts w:ascii="Century Gothic" w:hAnsi="Century Gothic"/>
        </w:rPr>
        <w:t xml:space="preserve"> la presentazione di una piattaforma che mirava a fornire idee e proposte per la contrattazione nel welfare socio-sanitario, che potevano poi essere adattate alle realtà locali. Sulla base di queste linee-guida è stata redatta la</w:t>
      </w:r>
      <w:r w:rsidR="00EA313E">
        <w:rPr>
          <w:rFonts w:ascii="Century Gothic" w:hAnsi="Century Gothic"/>
        </w:rPr>
        <w:t xml:space="preserve"> piattaforma </w:t>
      </w:r>
      <w:r>
        <w:rPr>
          <w:rFonts w:ascii="Century Gothic" w:hAnsi="Century Gothic"/>
        </w:rPr>
        <w:t xml:space="preserve">specifica di Prato, </w:t>
      </w:r>
      <w:r w:rsidR="00EA313E">
        <w:rPr>
          <w:rFonts w:ascii="Century Gothic" w:hAnsi="Century Gothic"/>
        </w:rPr>
        <w:t xml:space="preserve">un documento molto strutturato di quasi una cinquantina </w:t>
      </w:r>
      <w:r w:rsidR="00B83B33">
        <w:rPr>
          <w:rFonts w:ascii="Century Gothic" w:hAnsi="Century Gothic"/>
        </w:rPr>
        <w:t xml:space="preserve">di </w:t>
      </w:r>
      <w:r w:rsidR="00CF2B85">
        <w:rPr>
          <w:rFonts w:ascii="Century Gothic" w:hAnsi="Century Gothic"/>
        </w:rPr>
        <w:t>pagine,</w:t>
      </w:r>
      <w:r w:rsidR="00EA313E">
        <w:rPr>
          <w:rFonts w:ascii="Century Gothic" w:hAnsi="Century Gothic"/>
        </w:rPr>
        <w:t xml:space="preserve"> suddiviso in sei capitoli che, parte</w:t>
      </w:r>
      <w:r w:rsidR="00804E88">
        <w:rPr>
          <w:rFonts w:ascii="Century Gothic" w:hAnsi="Century Gothic"/>
        </w:rPr>
        <w:t xml:space="preserve"> </w:t>
      </w:r>
      <w:r w:rsidR="00EA313E">
        <w:rPr>
          <w:rFonts w:ascii="Century Gothic" w:hAnsi="Century Gothic"/>
        </w:rPr>
        <w:t>da un’accurata analisi di contesto sulla b</w:t>
      </w:r>
      <w:r>
        <w:rPr>
          <w:rFonts w:ascii="Century Gothic" w:hAnsi="Century Gothic"/>
        </w:rPr>
        <w:t xml:space="preserve">ase di dati statistici. </w:t>
      </w:r>
      <w:r w:rsidR="00323664">
        <w:rPr>
          <w:rFonts w:ascii="Century Gothic" w:hAnsi="Century Gothic"/>
        </w:rPr>
        <w:t xml:space="preserve">Oltre che ad argomenti più strettamente sanitari (prevenzione, costruzione del nuovo ospedale, gestione del pronto soccorso e del 118, etc.) viene dato spazio alla tematica dell’integrazione socio-sanitaria </w:t>
      </w:r>
      <w:r w:rsidR="00CF2B85">
        <w:rPr>
          <w:rFonts w:ascii="Century Gothic" w:hAnsi="Century Gothic"/>
        </w:rPr>
        <w:t xml:space="preserve">all’interno dell’istituzione dei presidi distrettuali integrati e delle Case della Salute. L’obiettivo è quello di </w:t>
      </w:r>
      <w:r w:rsidR="006C3C98">
        <w:rPr>
          <w:rFonts w:ascii="Century Gothic" w:hAnsi="Century Gothic"/>
        </w:rPr>
        <w:t>ricollocare l</w:t>
      </w:r>
      <w:r w:rsidR="00CF2B85">
        <w:rPr>
          <w:rFonts w:ascii="Century Gothic" w:hAnsi="Century Gothic"/>
        </w:rPr>
        <w:t xml:space="preserve">a sanità pratese allo stesso livello </w:t>
      </w:r>
      <w:r w:rsidR="006C3C98">
        <w:rPr>
          <w:rFonts w:ascii="Century Gothic" w:hAnsi="Century Gothic"/>
        </w:rPr>
        <w:t xml:space="preserve">delle altre ASL toscane, sia come </w:t>
      </w:r>
      <w:r w:rsidR="00CF2B85">
        <w:rPr>
          <w:rFonts w:ascii="Century Gothic" w:hAnsi="Century Gothic"/>
        </w:rPr>
        <w:t>occupazion</w:t>
      </w:r>
      <w:r w:rsidR="006C3C98">
        <w:rPr>
          <w:rFonts w:ascii="Century Gothic" w:hAnsi="Century Gothic"/>
        </w:rPr>
        <w:t>e</w:t>
      </w:r>
      <w:r w:rsidR="00CF2B85">
        <w:rPr>
          <w:rFonts w:ascii="Century Gothic" w:hAnsi="Century Gothic"/>
        </w:rPr>
        <w:t xml:space="preserve"> e </w:t>
      </w:r>
      <w:r w:rsidR="006C3C98">
        <w:rPr>
          <w:rFonts w:ascii="Century Gothic" w:hAnsi="Century Gothic"/>
        </w:rPr>
        <w:t>sia come</w:t>
      </w:r>
      <w:r w:rsidR="00CF2B85">
        <w:rPr>
          <w:rFonts w:ascii="Century Gothic" w:hAnsi="Century Gothic"/>
        </w:rPr>
        <w:t xml:space="preserve"> </w:t>
      </w:r>
      <w:r w:rsidR="006C3C98">
        <w:rPr>
          <w:rFonts w:ascii="Century Gothic" w:hAnsi="Century Gothic"/>
        </w:rPr>
        <w:t xml:space="preserve">ammontare </w:t>
      </w:r>
      <w:r w:rsidR="00CF2B85">
        <w:rPr>
          <w:rFonts w:ascii="Century Gothic" w:hAnsi="Century Gothic"/>
        </w:rPr>
        <w:t>di spesa pro-capite</w:t>
      </w:r>
      <w:r w:rsidR="006C3C98">
        <w:rPr>
          <w:rFonts w:ascii="Century Gothic" w:hAnsi="Century Gothic"/>
        </w:rPr>
        <w:t xml:space="preserve">. </w:t>
      </w:r>
      <w:r w:rsidR="00CF2B85">
        <w:rPr>
          <w:rFonts w:ascii="Century Gothic" w:hAnsi="Century Gothic"/>
        </w:rPr>
        <w:t>Vengono, quindi, presentate anche delle proposte</w:t>
      </w:r>
      <w:r w:rsidR="00022C8D">
        <w:rPr>
          <w:rFonts w:ascii="Century Gothic" w:hAnsi="Century Gothic"/>
        </w:rPr>
        <w:t xml:space="preserve"> riguardanti le fonti di finanziamento: equa ripartizione del Fondo Sanitario Regionale; rifinanziamento del Fondo Politiche Sociali; </w:t>
      </w:r>
      <w:r w:rsidR="00691695">
        <w:rPr>
          <w:rFonts w:ascii="Century Gothic" w:hAnsi="Century Gothic"/>
        </w:rPr>
        <w:t xml:space="preserve">controllo del project financing da parte del soggetto pubblico; attenzione alle opportunità offerte dal ciclo di programmazione dei Fondi Strutturali Europei 2014-2020. Come per la provincia di Livorno, anche in questo territorio, sulla base della piattaforma </w:t>
      </w:r>
      <w:r w:rsidR="00691695" w:rsidRPr="00804E88">
        <w:rPr>
          <w:rFonts w:ascii="Century Gothic" w:hAnsi="Century Gothic"/>
        </w:rPr>
        <w:t xml:space="preserve">è partita una campagna di mobilitazione </w:t>
      </w:r>
      <w:r w:rsidR="00804E88" w:rsidRPr="00804E88">
        <w:rPr>
          <w:rFonts w:ascii="Century Gothic" w:hAnsi="Century Gothic"/>
        </w:rPr>
        <w:t xml:space="preserve">che si è diffusa sul territorio, coinvolgendo la popolazione e rivolta alle amministrazioni locali. </w:t>
      </w:r>
    </w:p>
    <w:p w:rsidR="002E34BB" w:rsidRDefault="0098311D" w:rsidP="002A1404">
      <w:pPr>
        <w:jc w:val="both"/>
        <w:rPr>
          <w:rFonts w:ascii="Century Gothic" w:hAnsi="Century Gothic"/>
        </w:rPr>
      </w:pPr>
      <w:r>
        <w:rPr>
          <w:rFonts w:ascii="Century Gothic" w:hAnsi="Century Gothic"/>
        </w:rPr>
        <w:t>Passiamo a esaminare i documenti contenuti nella categoria delle delibere.</w:t>
      </w:r>
      <w:r w:rsidRPr="00C45A62">
        <w:rPr>
          <w:rFonts w:ascii="Century Gothic" w:hAnsi="Century Gothic"/>
        </w:rPr>
        <w:t xml:space="preserve"> </w:t>
      </w:r>
      <w:r w:rsidR="00C45A62" w:rsidRPr="00C45A62">
        <w:rPr>
          <w:rFonts w:ascii="Century Gothic" w:hAnsi="Century Gothic"/>
        </w:rPr>
        <w:t xml:space="preserve">Come ricordato anche in rapporti precedenti, </w:t>
      </w:r>
      <w:r w:rsidR="00C45A62">
        <w:rPr>
          <w:rFonts w:ascii="Century Gothic" w:hAnsi="Century Gothic"/>
        </w:rPr>
        <w:t>l</w:t>
      </w:r>
      <w:r w:rsidR="00512505" w:rsidRPr="00C45A62">
        <w:rPr>
          <w:rFonts w:ascii="Century Gothic" w:hAnsi="Century Gothic"/>
        </w:rPr>
        <w:t>e delibere</w:t>
      </w:r>
      <w:r w:rsidR="00512505" w:rsidRPr="00512505">
        <w:rPr>
          <w:rFonts w:ascii="Century Gothic" w:hAnsi="Century Gothic"/>
        </w:rPr>
        <w:t xml:space="preserve"> possono riguardare</w:t>
      </w:r>
      <w:r w:rsidR="00512505" w:rsidRPr="002D230E">
        <w:rPr>
          <w:rFonts w:ascii="Century Gothic" w:hAnsi="Century Gothic"/>
        </w:rPr>
        <w:t xml:space="preserve"> </w:t>
      </w:r>
      <w:r w:rsidR="00C45A62">
        <w:rPr>
          <w:rFonts w:ascii="Century Gothic" w:hAnsi="Century Gothic"/>
        </w:rPr>
        <w:t>vari</w:t>
      </w:r>
      <w:r w:rsidR="00512505" w:rsidRPr="002D230E">
        <w:rPr>
          <w:rFonts w:ascii="Century Gothic" w:hAnsi="Century Gothic"/>
        </w:rPr>
        <w:t xml:space="preserve"> livelli</w:t>
      </w:r>
      <w:r w:rsidR="00C45A62">
        <w:rPr>
          <w:rFonts w:ascii="Century Gothic" w:hAnsi="Century Gothic"/>
        </w:rPr>
        <w:t>:</w:t>
      </w:r>
      <w:r w:rsidR="00512505" w:rsidRPr="002D230E">
        <w:rPr>
          <w:rFonts w:ascii="Century Gothic" w:hAnsi="Century Gothic"/>
        </w:rPr>
        <w:t xml:space="preserve"> regional</w:t>
      </w:r>
      <w:r w:rsidR="00C45A62">
        <w:rPr>
          <w:rFonts w:ascii="Century Gothic" w:hAnsi="Century Gothic"/>
        </w:rPr>
        <w:t>e</w:t>
      </w:r>
      <w:r w:rsidR="00512505" w:rsidRPr="002D230E">
        <w:rPr>
          <w:rFonts w:ascii="Century Gothic" w:hAnsi="Century Gothic"/>
        </w:rPr>
        <w:t xml:space="preserve">, delle ASL, </w:t>
      </w:r>
      <w:r w:rsidR="00C45A62">
        <w:rPr>
          <w:rFonts w:ascii="Century Gothic" w:hAnsi="Century Gothic"/>
        </w:rPr>
        <w:t xml:space="preserve">provinciale, </w:t>
      </w:r>
      <w:r w:rsidR="00512505" w:rsidRPr="002D230E">
        <w:rPr>
          <w:rFonts w:ascii="Century Gothic" w:hAnsi="Century Gothic"/>
        </w:rPr>
        <w:t>sub territorial</w:t>
      </w:r>
      <w:r w:rsidR="00C45A62">
        <w:rPr>
          <w:rFonts w:ascii="Century Gothic" w:hAnsi="Century Gothic"/>
        </w:rPr>
        <w:t>e</w:t>
      </w:r>
      <w:r w:rsidR="00512505" w:rsidRPr="002D230E">
        <w:rPr>
          <w:rFonts w:ascii="Century Gothic" w:hAnsi="Century Gothic"/>
        </w:rPr>
        <w:t xml:space="preserve"> e comunal</w:t>
      </w:r>
      <w:r w:rsidR="00C45A62">
        <w:rPr>
          <w:rFonts w:ascii="Century Gothic" w:hAnsi="Century Gothic"/>
        </w:rPr>
        <w:t>e</w:t>
      </w:r>
      <w:r w:rsidR="00512505" w:rsidRPr="002D230E">
        <w:rPr>
          <w:rFonts w:ascii="Century Gothic" w:hAnsi="Century Gothic"/>
        </w:rPr>
        <w:t xml:space="preserve">. </w:t>
      </w:r>
      <w:r w:rsidR="000E51F4">
        <w:rPr>
          <w:rFonts w:ascii="Century Gothic" w:hAnsi="Century Gothic"/>
        </w:rPr>
        <w:t>Si parte</w:t>
      </w:r>
      <w:r w:rsidR="00C45A62">
        <w:rPr>
          <w:rFonts w:ascii="Century Gothic" w:hAnsi="Century Gothic"/>
        </w:rPr>
        <w:t xml:space="preserve"> con l’esaminare </w:t>
      </w:r>
      <w:r w:rsidR="000E51F4">
        <w:rPr>
          <w:rFonts w:ascii="Century Gothic" w:hAnsi="Century Gothic"/>
        </w:rPr>
        <w:t xml:space="preserve">il livello regionale con </w:t>
      </w:r>
      <w:r w:rsidR="00C45A62">
        <w:rPr>
          <w:rFonts w:ascii="Century Gothic" w:hAnsi="Century Gothic"/>
        </w:rPr>
        <w:t xml:space="preserve">due delibere </w:t>
      </w:r>
      <w:r w:rsidR="000E51F4">
        <w:rPr>
          <w:rFonts w:ascii="Century Gothic" w:hAnsi="Century Gothic"/>
        </w:rPr>
        <w:t xml:space="preserve">della Giunta </w:t>
      </w:r>
      <w:r w:rsidR="00C45A62">
        <w:rPr>
          <w:rFonts w:ascii="Century Gothic" w:hAnsi="Century Gothic"/>
        </w:rPr>
        <w:t>regional</w:t>
      </w:r>
      <w:r w:rsidR="000E51F4">
        <w:rPr>
          <w:rFonts w:ascii="Century Gothic" w:hAnsi="Century Gothic"/>
        </w:rPr>
        <w:t>e</w:t>
      </w:r>
      <w:r w:rsidR="00C45A62">
        <w:rPr>
          <w:rFonts w:ascii="Century Gothic" w:hAnsi="Century Gothic"/>
        </w:rPr>
        <w:t xml:space="preserve"> che recepiscono integralmente due </w:t>
      </w:r>
      <w:r w:rsidR="004525AE">
        <w:rPr>
          <w:rFonts w:ascii="Century Gothic" w:hAnsi="Century Gothic"/>
        </w:rPr>
        <w:t xml:space="preserve">protocolli di </w:t>
      </w:r>
      <w:r w:rsidR="00C45A62">
        <w:rPr>
          <w:rFonts w:ascii="Century Gothic" w:hAnsi="Century Gothic"/>
        </w:rPr>
        <w:t>intes</w:t>
      </w:r>
      <w:r w:rsidR="004525AE">
        <w:rPr>
          <w:rFonts w:ascii="Century Gothic" w:hAnsi="Century Gothic"/>
        </w:rPr>
        <w:t>a</w:t>
      </w:r>
      <w:r w:rsidR="00C45A62">
        <w:rPr>
          <w:rFonts w:ascii="Century Gothic" w:hAnsi="Century Gothic"/>
        </w:rPr>
        <w:t xml:space="preserve"> sottoscritt</w:t>
      </w:r>
      <w:r w:rsidR="004525AE">
        <w:rPr>
          <w:rFonts w:ascii="Century Gothic" w:hAnsi="Century Gothic"/>
        </w:rPr>
        <w:t>i</w:t>
      </w:r>
      <w:r w:rsidR="002E34BB">
        <w:rPr>
          <w:rFonts w:ascii="Century Gothic" w:hAnsi="Century Gothic"/>
        </w:rPr>
        <w:t xml:space="preserve"> </w:t>
      </w:r>
      <w:r w:rsidR="00C45A62">
        <w:rPr>
          <w:rFonts w:ascii="Century Gothic" w:hAnsi="Century Gothic"/>
        </w:rPr>
        <w:t>con le organizzazioni sindacali</w:t>
      </w:r>
      <w:r w:rsidR="000E51F4">
        <w:rPr>
          <w:rFonts w:ascii="Century Gothic" w:hAnsi="Century Gothic"/>
        </w:rPr>
        <w:t xml:space="preserve"> concernenti il sistema sanitario. Una delibera </w:t>
      </w:r>
      <w:r w:rsidR="002E34BB">
        <w:rPr>
          <w:rFonts w:ascii="Century Gothic" w:hAnsi="Century Gothic"/>
        </w:rPr>
        <w:t xml:space="preserve">riguarda il sistema di relazioni sindacali considerato strumento essenziale nell’attuazione del riordino del Servizio Sanitario Regionale all’interno della normativa vigente, in particolare la legge regionale 28/2015, che fissa i principi e le linee di indirizzo in tale ambito. </w:t>
      </w:r>
      <w:r w:rsidR="004525AE">
        <w:rPr>
          <w:rFonts w:ascii="Century Gothic" w:hAnsi="Century Gothic"/>
        </w:rPr>
        <w:t>Le organizzazioni sindacali confederali, insieme alle relative categorie della Funzione Pubblica e dei</w:t>
      </w:r>
      <w:r w:rsidR="008A6254">
        <w:rPr>
          <w:rFonts w:ascii="Century Gothic" w:hAnsi="Century Gothic"/>
        </w:rPr>
        <w:t xml:space="preserve"> pensionati, sono riconosciute </w:t>
      </w:r>
      <w:r w:rsidR="004525AE">
        <w:rPr>
          <w:rFonts w:ascii="Century Gothic" w:hAnsi="Century Gothic"/>
        </w:rPr>
        <w:t xml:space="preserve">come risorsa nel processo di riorganizzazione ai fini della tutela dei cittadini e dei lavoratori del Servizio Sanitario Regionale. </w:t>
      </w:r>
    </w:p>
    <w:p w:rsidR="00F91EC4" w:rsidRDefault="004525AE" w:rsidP="002A1404">
      <w:pPr>
        <w:jc w:val="both"/>
        <w:rPr>
          <w:rFonts w:ascii="Century Gothic" w:hAnsi="Century Gothic"/>
        </w:rPr>
      </w:pPr>
      <w:r>
        <w:rPr>
          <w:rFonts w:ascii="Century Gothic" w:hAnsi="Century Gothic"/>
        </w:rPr>
        <w:lastRenderedPageBreak/>
        <w:t xml:space="preserve">L’altra delibera approva il protocollo sottoscritto oltre che con la Regione Toscana con ESTAR (Ente di supporto tecnico-amministrativo regionale) per l’introduzione di clausole sociali negli appalti del Servizio Sanitario Toscano. </w:t>
      </w:r>
      <w:r w:rsidR="00BD26B1">
        <w:rPr>
          <w:rFonts w:ascii="Century Gothic" w:hAnsi="Century Gothic"/>
        </w:rPr>
        <w:t xml:space="preserve">L’obiettivo del protocollo è, infatti, di definire delle buone pratiche in materia di appalti di servizi allo scopo di </w:t>
      </w:r>
      <w:r w:rsidR="000430E2">
        <w:rPr>
          <w:rFonts w:ascii="Century Gothic" w:hAnsi="Century Gothic"/>
        </w:rPr>
        <w:t>conseguire</w:t>
      </w:r>
      <w:r w:rsidR="00BD26B1">
        <w:rPr>
          <w:rFonts w:ascii="Century Gothic" w:hAnsi="Century Gothic"/>
        </w:rPr>
        <w:t xml:space="preserve"> gli scopi di tutela sociale nell’ambito della strategia Europa 2020 per una crescita, intelligente e inclusiva. L’esigenza è</w:t>
      </w:r>
      <w:r w:rsidR="00C73797">
        <w:rPr>
          <w:rFonts w:ascii="Century Gothic" w:hAnsi="Century Gothic"/>
        </w:rPr>
        <w:t>, quindi,</w:t>
      </w:r>
      <w:r w:rsidR="00BD26B1">
        <w:rPr>
          <w:rFonts w:ascii="Century Gothic" w:hAnsi="Century Gothic"/>
        </w:rPr>
        <w:t xml:space="preserve"> quella </w:t>
      </w:r>
      <w:r w:rsidR="00C73797">
        <w:rPr>
          <w:rFonts w:ascii="Century Gothic" w:hAnsi="Century Gothic"/>
        </w:rPr>
        <w:t xml:space="preserve">di </w:t>
      </w:r>
      <w:r w:rsidR="00BD26B1">
        <w:rPr>
          <w:rFonts w:ascii="Century Gothic" w:hAnsi="Century Gothic"/>
        </w:rPr>
        <w:t xml:space="preserve">aggiornare </w:t>
      </w:r>
      <w:r w:rsidR="000430E2">
        <w:rPr>
          <w:rFonts w:ascii="Century Gothic" w:hAnsi="Century Gothic"/>
        </w:rPr>
        <w:t xml:space="preserve">e di attuare </w:t>
      </w:r>
      <w:r w:rsidR="00BD26B1">
        <w:rPr>
          <w:rFonts w:ascii="Century Gothic" w:hAnsi="Century Gothic"/>
        </w:rPr>
        <w:t xml:space="preserve">la normativa sugli appalti in modo da accrescere l’efficienza della spesa pubblica e favorire il conseguimento di obiettivi condivisi a valenza sociale, tramite la valorizzazione </w:t>
      </w:r>
      <w:r w:rsidR="00C73797">
        <w:rPr>
          <w:rFonts w:ascii="Century Gothic" w:hAnsi="Century Gothic"/>
        </w:rPr>
        <w:t>dello strumento</w:t>
      </w:r>
      <w:r w:rsidR="00BD26B1">
        <w:rPr>
          <w:rFonts w:ascii="Century Gothic" w:hAnsi="Century Gothic"/>
        </w:rPr>
        <w:t xml:space="preserve"> del dialogo tecnico</w:t>
      </w:r>
      <w:r w:rsidR="00C73797">
        <w:rPr>
          <w:rFonts w:ascii="Century Gothic" w:hAnsi="Century Gothic"/>
        </w:rPr>
        <w:t xml:space="preserve"> per la scelta de</w:t>
      </w:r>
      <w:r w:rsidR="00775BDD">
        <w:rPr>
          <w:rFonts w:ascii="Century Gothic" w:hAnsi="Century Gothic"/>
        </w:rPr>
        <w:t>i</w:t>
      </w:r>
      <w:r w:rsidR="00C73797">
        <w:rPr>
          <w:rFonts w:ascii="Century Gothic" w:hAnsi="Century Gothic"/>
        </w:rPr>
        <w:t xml:space="preserve"> migliori istituti di tutela sociale</w:t>
      </w:r>
      <w:r w:rsidR="00BD26B1">
        <w:rPr>
          <w:rFonts w:ascii="Century Gothic" w:hAnsi="Century Gothic"/>
        </w:rPr>
        <w:t xml:space="preserve">. </w:t>
      </w:r>
    </w:p>
    <w:p w:rsidR="007D24AD" w:rsidRDefault="007D24AD" w:rsidP="002A1404">
      <w:pPr>
        <w:jc w:val="both"/>
        <w:rPr>
          <w:rFonts w:ascii="Century Gothic" w:eastAsia="Century Gothic" w:hAnsi="Century Gothic" w:cs="Century Gothic"/>
        </w:rPr>
      </w:pPr>
      <w:r>
        <w:rPr>
          <w:rFonts w:ascii="Century Gothic" w:hAnsi="Century Gothic"/>
        </w:rPr>
        <w:t xml:space="preserve">Anche nella provincia di Prato le delibere hanno riguardato il sistema sanitario, in particolare le funzioni e l’organizzazione della Società della Salute. E’ opportuno ricordare che nel novembre 2013 era stato sottoscritto un protocollo di intesa tra </w:t>
      </w:r>
      <w:r w:rsidRPr="00D56D4F">
        <w:rPr>
          <w:rFonts w:ascii="Century Gothic" w:eastAsia="Century Gothic" w:hAnsi="Century Gothic" w:cs="Century Gothic"/>
        </w:rPr>
        <w:t xml:space="preserve">le organizzazioni sindacali </w:t>
      </w:r>
      <w:r>
        <w:rPr>
          <w:rFonts w:ascii="Century Gothic" w:eastAsia="Century Gothic" w:hAnsi="Century Gothic" w:cs="Century Gothic"/>
        </w:rPr>
        <w:t>confederali</w:t>
      </w:r>
      <w:r w:rsidRPr="00D56D4F">
        <w:rPr>
          <w:rFonts w:ascii="Century Gothic" w:eastAsia="Century Gothic" w:hAnsi="Century Gothic" w:cs="Century Gothic"/>
        </w:rPr>
        <w:t xml:space="preserve">, la conferenza dei sindaci dell'area pratese, la società della salute, e la </w:t>
      </w:r>
      <w:r>
        <w:rPr>
          <w:rFonts w:ascii="Century Gothic" w:eastAsia="Century Gothic" w:hAnsi="Century Gothic" w:cs="Century Gothic"/>
        </w:rPr>
        <w:t xml:space="preserve">ASL 4 </w:t>
      </w:r>
      <w:r w:rsidRPr="00D56D4F">
        <w:rPr>
          <w:rFonts w:ascii="Century Gothic" w:eastAsia="Century Gothic" w:hAnsi="Century Gothic" w:cs="Century Gothic"/>
        </w:rPr>
        <w:t xml:space="preserve">in materia di programmazione integrata delle politiche sanitarie, sociosanitarie, e sociali a livello di zona distretto. </w:t>
      </w:r>
      <w:r w:rsidR="00FB7737">
        <w:rPr>
          <w:rFonts w:ascii="Century Gothic" w:eastAsia="Century Gothic" w:hAnsi="Century Gothic" w:cs="Century Gothic"/>
        </w:rPr>
        <w:t>Nel corso del 2014</w:t>
      </w:r>
      <w:r w:rsidR="008E1E36">
        <w:rPr>
          <w:rFonts w:ascii="Century Gothic" w:eastAsia="Century Gothic" w:hAnsi="Century Gothic" w:cs="Century Gothic"/>
        </w:rPr>
        <w:t>,</w:t>
      </w:r>
      <w:r w:rsidR="00FB7737">
        <w:rPr>
          <w:rFonts w:ascii="Century Gothic" w:eastAsia="Century Gothic" w:hAnsi="Century Gothic" w:cs="Century Gothic"/>
        </w:rPr>
        <w:t xml:space="preserve"> per una serie </w:t>
      </w:r>
      <w:r w:rsidR="00FB7737" w:rsidRPr="00F91EC4">
        <w:rPr>
          <w:rFonts w:ascii="Century Gothic" w:eastAsia="Century Gothic" w:hAnsi="Century Gothic" w:cs="Century Gothic"/>
        </w:rPr>
        <w:t>di fattori</w:t>
      </w:r>
      <w:r w:rsidR="008E1E36">
        <w:rPr>
          <w:rFonts w:ascii="Century Gothic" w:eastAsia="Century Gothic" w:hAnsi="Century Gothic" w:cs="Century Gothic"/>
        </w:rPr>
        <w:t>,</w:t>
      </w:r>
      <w:r w:rsidR="00FB7737">
        <w:rPr>
          <w:rFonts w:ascii="Century Gothic" w:eastAsia="Century Gothic" w:hAnsi="Century Gothic" w:cs="Century Gothic"/>
        </w:rPr>
        <w:t xml:space="preserve"> non si sono svolti i tavoli di concertazione previsti, ma il confronto è ripreso nel marzo 2015 con un incontro in cui è stata evidenziata la volontà di riattualizzare l’intesa siglata nel 2013. In tale sede Il sindacato ha apprezzato la delibera della SdS Pratese 38/14</w:t>
      </w:r>
      <w:r w:rsidR="00DB7E55">
        <w:rPr>
          <w:rFonts w:ascii="Century Gothic" w:eastAsia="Century Gothic" w:hAnsi="Century Gothic" w:cs="Century Gothic"/>
        </w:rPr>
        <w:t xml:space="preserve"> che ha sancito la messa a regime di questo consorzio con l’aggiunta della funzione di gestione a quella già prevista di programmazione. Inoltre ha </w:t>
      </w:r>
      <w:r w:rsidR="00DB7E55" w:rsidRPr="008E1E36">
        <w:rPr>
          <w:rFonts w:ascii="Century Gothic" w:eastAsia="Century Gothic" w:hAnsi="Century Gothic" w:cs="Century Gothic"/>
        </w:rPr>
        <w:t>chiesto</w:t>
      </w:r>
      <w:r w:rsidR="00DB7E55">
        <w:rPr>
          <w:rFonts w:ascii="Century Gothic" w:eastAsia="Century Gothic" w:hAnsi="Century Gothic" w:cs="Century Gothic"/>
        </w:rPr>
        <w:t xml:space="preserve"> </w:t>
      </w:r>
      <w:r w:rsidR="008E1E36">
        <w:rPr>
          <w:rFonts w:ascii="Century Gothic" w:eastAsia="Century Gothic" w:hAnsi="Century Gothic" w:cs="Century Gothic"/>
        </w:rPr>
        <w:t>l’</w:t>
      </w:r>
      <w:r w:rsidR="00EA2107">
        <w:rPr>
          <w:rFonts w:ascii="Century Gothic" w:eastAsia="Century Gothic" w:hAnsi="Century Gothic" w:cs="Century Gothic"/>
        </w:rPr>
        <w:t xml:space="preserve">apertura di </w:t>
      </w:r>
      <w:r w:rsidR="00DB7E55">
        <w:rPr>
          <w:rFonts w:ascii="Century Gothic" w:eastAsia="Century Gothic" w:hAnsi="Century Gothic" w:cs="Century Gothic"/>
        </w:rPr>
        <w:t xml:space="preserve">una fase di </w:t>
      </w:r>
      <w:r w:rsidR="00882BC7" w:rsidRPr="008E1E36">
        <w:rPr>
          <w:rFonts w:ascii="Century Gothic" w:eastAsia="Century Gothic" w:hAnsi="Century Gothic" w:cs="Century Gothic"/>
        </w:rPr>
        <w:t>dialogo</w:t>
      </w:r>
      <w:r w:rsidR="00DB7E55" w:rsidRPr="008E1E36">
        <w:rPr>
          <w:rFonts w:ascii="Century Gothic" w:eastAsia="Century Gothic" w:hAnsi="Century Gothic" w:cs="Century Gothic"/>
        </w:rPr>
        <w:t xml:space="preserve"> sulla definizione de</w:t>
      </w:r>
      <w:r w:rsidR="008E1E36" w:rsidRPr="008E1E36">
        <w:rPr>
          <w:rFonts w:ascii="Century Gothic" w:eastAsia="Century Gothic" w:hAnsi="Century Gothic" w:cs="Century Gothic"/>
        </w:rPr>
        <w:t>l</w:t>
      </w:r>
      <w:r w:rsidR="00DB7E55" w:rsidRPr="008E1E36">
        <w:rPr>
          <w:rFonts w:ascii="Century Gothic" w:eastAsia="Century Gothic" w:hAnsi="Century Gothic" w:cs="Century Gothic"/>
        </w:rPr>
        <w:t xml:space="preserve"> regolament</w:t>
      </w:r>
      <w:r w:rsidR="008E1E36" w:rsidRPr="008E1E36">
        <w:rPr>
          <w:rFonts w:ascii="Century Gothic" w:eastAsia="Century Gothic" w:hAnsi="Century Gothic" w:cs="Century Gothic"/>
        </w:rPr>
        <w:t>o</w:t>
      </w:r>
      <w:r w:rsidR="00DB7E55" w:rsidRPr="008E1E36">
        <w:rPr>
          <w:rFonts w:ascii="Century Gothic" w:eastAsia="Century Gothic" w:hAnsi="Century Gothic" w:cs="Century Gothic"/>
        </w:rPr>
        <w:t xml:space="preserve"> sui servizi e prestazioni e </w:t>
      </w:r>
      <w:r w:rsidR="008E1E36" w:rsidRPr="008E1E36">
        <w:rPr>
          <w:rFonts w:ascii="Century Gothic" w:eastAsia="Century Gothic" w:hAnsi="Century Gothic" w:cs="Century Gothic"/>
        </w:rPr>
        <w:t xml:space="preserve">di quello </w:t>
      </w:r>
      <w:r w:rsidR="00DB7E55" w:rsidRPr="008E1E36">
        <w:rPr>
          <w:rFonts w:ascii="Century Gothic" w:eastAsia="Century Gothic" w:hAnsi="Century Gothic" w:cs="Century Gothic"/>
        </w:rPr>
        <w:t>sull’organizzazion</w:t>
      </w:r>
      <w:r w:rsidR="008E1E36" w:rsidRPr="008E1E36">
        <w:rPr>
          <w:rFonts w:ascii="Century Gothic" w:eastAsia="Century Gothic" w:hAnsi="Century Gothic" w:cs="Century Gothic"/>
        </w:rPr>
        <w:t>e</w:t>
      </w:r>
      <w:r w:rsidR="00DB7E55" w:rsidRPr="008E1E36">
        <w:rPr>
          <w:rFonts w:ascii="Century Gothic" w:eastAsia="Century Gothic" w:hAnsi="Century Gothic" w:cs="Century Gothic"/>
        </w:rPr>
        <w:t xml:space="preserve">. Tali richieste sono state accolte </w:t>
      </w:r>
      <w:r w:rsidR="008E1E36" w:rsidRPr="008E1E36">
        <w:rPr>
          <w:rFonts w:ascii="Century Gothic" w:eastAsia="Century Gothic" w:hAnsi="Century Gothic" w:cs="Century Gothic"/>
        </w:rPr>
        <w:t xml:space="preserve">e </w:t>
      </w:r>
      <w:r w:rsidR="00DB7E55" w:rsidRPr="008E1E36">
        <w:rPr>
          <w:rFonts w:ascii="Century Gothic" w:eastAsia="Century Gothic" w:hAnsi="Century Gothic" w:cs="Century Gothic"/>
        </w:rPr>
        <w:t xml:space="preserve">le delibere </w:t>
      </w:r>
      <w:r w:rsidR="00246F45" w:rsidRPr="008E1E36">
        <w:rPr>
          <w:rFonts w:ascii="Century Gothic" w:eastAsia="Century Gothic" w:hAnsi="Century Gothic" w:cs="Century Gothic"/>
        </w:rPr>
        <w:t>sull’organizzazione e sull’accesso ai servizi e alle prestazioni sono state approvate</w:t>
      </w:r>
      <w:r w:rsidR="0096149B">
        <w:rPr>
          <w:rFonts w:ascii="Century Gothic" w:eastAsia="Century Gothic" w:hAnsi="Century Gothic" w:cs="Century Gothic"/>
        </w:rPr>
        <w:t>,</w:t>
      </w:r>
      <w:r w:rsidR="00246F45" w:rsidRPr="008E1E36">
        <w:rPr>
          <w:rFonts w:ascii="Century Gothic" w:eastAsia="Century Gothic" w:hAnsi="Century Gothic" w:cs="Century Gothic"/>
        </w:rPr>
        <w:t xml:space="preserve"> dopo una fase di concertazione con il sindacato</w:t>
      </w:r>
      <w:r w:rsidR="0096149B">
        <w:rPr>
          <w:rFonts w:ascii="Century Gothic" w:eastAsia="Century Gothic" w:hAnsi="Century Gothic" w:cs="Century Gothic"/>
        </w:rPr>
        <w:t>, alla fine di marzo</w:t>
      </w:r>
      <w:r w:rsidR="00246F45">
        <w:rPr>
          <w:rFonts w:ascii="Century Gothic" w:eastAsia="Century Gothic" w:hAnsi="Century Gothic" w:cs="Century Gothic"/>
        </w:rPr>
        <w:t xml:space="preserve">. </w:t>
      </w:r>
    </w:p>
    <w:p w:rsidR="00096149" w:rsidRDefault="00096149" w:rsidP="002A1404">
      <w:pPr>
        <w:jc w:val="both"/>
        <w:rPr>
          <w:rFonts w:ascii="Century Gothic" w:hAnsi="Century Gothic"/>
        </w:rPr>
      </w:pPr>
      <w:r>
        <w:rPr>
          <w:rFonts w:ascii="Century Gothic" w:eastAsia="Century Gothic" w:hAnsi="Century Gothic" w:cs="Century Gothic"/>
        </w:rPr>
        <w:t xml:space="preserve">A livello comunale sono state raccolte due delibere. Una riguarda il comune di </w:t>
      </w:r>
      <w:r w:rsidRPr="00E95595">
        <w:rPr>
          <w:rFonts w:ascii="Century Gothic" w:eastAsia="Century Gothic" w:hAnsi="Century Gothic" w:cs="Century Gothic"/>
        </w:rPr>
        <w:t>Pietrasanta</w:t>
      </w:r>
      <w:r>
        <w:rPr>
          <w:rFonts w:ascii="Century Gothic" w:eastAsia="Century Gothic" w:hAnsi="Century Gothic" w:cs="Century Gothic"/>
        </w:rPr>
        <w:t xml:space="preserve"> </w:t>
      </w:r>
      <w:r w:rsidR="00EA2107">
        <w:rPr>
          <w:rFonts w:ascii="Century Gothic" w:eastAsia="Century Gothic" w:hAnsi="Century Gothic" w:cs="Century Gothic"/>
        </w:rPr>
        <w:t>dove</w:t>
      </w:r>
      <w:r w:rsidR="005F5225">
        <w:rPr>
          <w:rFonts w:ascii="Century Gothic" w:eastAsia="Century Gothic" w:hAnsi="Century Gothic" w:cs="Century Gothic"/>
        </w:rPr>
        <w:t>,</w:t>
      </w:r>
      <w:r w:rsidR="00EA2107">
        <w:rPr>
          <w:rFonts w:ascii="Century Gothic" w:eastAsia="Century Gothic" w:hAnsi="Century Gothic" w:cs="Century Gothic"/>
        </w:rPr>
        <w:t xml:space="preserve"> con </w:t>
      </w:r>
      <w:r w:rsidR="005F5225">
        <w:rPr>
          <w:rFonts w:ascii="Century Gothic" w:eastAsia="Century Gothic" w:hAnsi="Century Gothic" w:cs="Century Gothic"/>
        </w:rPr>
        <w:t xml:space="preserve">apposita </w:t>
      </w:r>
      <w:r w:rsidR="00EA2107">
        <w:rPr>
          <w:rFonts w:ascii="Century Gothic" w:eastAsia="Century Gothic" w:hAnsi="Century Gothic" w:cs="Century Gothic"/>
        </w:rPr>
        <w:t>delibera</w:t>
      </w:r>
      <w:r w:rsidR="005F5225">
        <w:rPr>
          <w:rFonts w:ascii="Century Gothic" w:eastAsia="Century Gothic" w:hAnsi="Century Gothic" w:cs="Century Gothic"/>
        </w:rPr>
        <w:t xml:space="preserve">, </w:t>
      </w:r>
      <w:r w:rsidR="00EA2107">
        <w:rPr>
          <w:rFonts w:ascii="Century Gothic" w:eastAsia="Century Gothic" w:hAnsi="Century Gothic" w:cs="Century Gothic"/>
        </w:rPr>
        <w:t xml:space="preserve">è approvato l’accordo siglato con le organizzazioni sindacali confederali e rispettive leghe dei pensionati. La seconda delibera è </w:t>
      </w:r>
      <w:r w:rsidR="00EA2107" w:rsidRPr="0098311D">
        <w:rPr>
          <w:rFonts w:ascii="Century Gothic" w:eastAsia="Century Gothic" w:hAnsi="Century Gothic" w:cs="Century Gothic"/>
        </w:rPr>
        <w:t>emanata</w:t>
      </w:r>
      <w:r w:rsidR="00EA2107">
        <w:rPr>
          <w:rFonts w:ascii="Century Gothic" w:eastAsia="Century Gothic" w:hAnsi="Century Gothic" w:cs="Century Gothic"/>
        </w:rPr>
        <w:t xml:space="preserve"> dal comune di Piombino e attiene al bilancio </w:t>
      </w:r>
      <w:r w:rsidR="005F5225">
        <w:rPr>
          <w:rFonts w:ascii="Century Gothic" w:eastAsia="Century Gothic" w:hAnsi="Century Gothic" w:cs="Century Gothic"/>
        </w:rPr>
        <w:t xml:space="preserve">annuale </w:t>
      </w:r>
      <w:r w:rsidR="00EA2107">
        <w:rPr>
          <w:rFonts w:ascii="Century Gothic" w:eastAsia="Century Gothic" w:hAnsi="Century Gothic" w:cs="Century Gothic"/>
        </w:rPr>
        <w:t xml:space="preserve">di previsione 2015 e al bilancio di previsione pluriennale 2015-2017. </w:t>
      </w:r>
      <w:r w:rsidR="00CF5D97">
        <w:rPr>
          <w:rFonts w:ascii="Century Gothic" w:eastAsia="Century Gothic" w:hAnsi="Century Gothic" w:cs="Century Gothic"/>
        </w:rPr>
        <w:t>In questo caso non si tratta di un’approvazione di un’intesa, ma è</w:t>
      </w:r>
      <w:r w:rsidR="00EA2107">
        <w:rPr>
          <w:rFonts w:ascii="Century Gothic" w:eastAsia="Century Gothic" w:hAnsi="Century Gothic" w:cs="Century Gothic"/>
        </w:rPr>
        <w:t xml:space="preserve"> interessante evidenziare che</w:t>
      </w:r>
      <w:r w:rsidR="008A6254">
        <w:rPr>
          <w:rFonts w:ascii="Century Gothic" w:eastAsia="Century Gothic" w:hAnsi="Century Gothic" w:cs="Century Gothic"/>
        </w:rPr>
        <w:t>,</w:t>
      </w:r>
      <w:r w:rsidR="00EA2107">
        <w:rPr>
          <w:rFonts w:ascii="Century Gothic" w:eastAsia="Century Gothic" w:hAnsi="Century Gothic" w:cs="Century Gothic"/>
        </w:rPr>
        <w:t xml:space="preserve"> </w:t>
      </w:r>
      <w:r w:rsidR="00666062">
        <w:rPr>
          <w:rFonts w:ascii="Century Gothic" w:eastAsia="Century Gothic" w:hAnsi="Century Gothic" w:cs="Century Gothic"/>
        </w:rPr>
        <w:t>in tale documento</w:t>
      </w:r>
      <w:r w:rsidR="008A6254">
        <w:rPr>
          <w:rFonts w:ascii="Century Gothic" w:eastAsia="Century Gothic" w:hAnsi="Century Gothic" w:cs="Century Gothic"/>
        </w:rPr>
        <w:t>,</w:t>
      </w:r>
      <w:r w:rsidR="00666062">
        <w:rPr>
          <w:rFonts w:ascii="Century Gothic" w:eastAsia="Century Gothic" w:hAnsi="Century Gothic" w:cs="Century Gothic"/>
        </w:rPr>
        <w:t xml:space="preserve"> </w:t>
      </w:r>
      <w:r w:rsidR="00EA2107">
        <w:rPr>
          <w:rFonts w:ascii="Century Gothic" w:eastAsia="Century Gothic" w:hAnsi="Century Gothic" w:cs="Century Gothic"/>
        </w:rPr>
        <w:t xml:space="preserve">sono previste </w:t>
      </w:r>
      <w:r w:rsidR="00CF5D97">
        <w:rPr>
          <w:rFonts w:ascii="Century Gothic" w:eastAsia="Century Gothic" w:hAnsi="Century Gothic" w:cs="Century Gothic"/>
        </w:rPr>
        <w:t xml:space="preserve">misure afferenti alla contrattazione sociale come </w:t>
      </w:r>
      <w:r w:rsidR="00666062">
        <w:rPr>
          <w:rFonts w:ascii="Century Gothic" w:eastAsia="Century Gothic" w:hAnsi="Century Gothic" w:cs="Century Gothic"/>
        </w:rPr>
        <w:t>ridu</w:t>
      </w:r>
      <w:r w:rsidR="00CF5D97">
        <w:rPr>
          <w:rFonts w:ascii="Century Gothic" w:eastAsia="Century Gothic" w:hAnsi="Century Gothic" w:cs="Century Gothic"/>
        </w:rPr>
        <w:t xml:space="preserve">zioni della TARI </w:t>
      </w:r>
      <w:r w:rsidR="00666062">
        <w:rPr>
          <w:rFonts w:ascii="Century Gothic" w:eastAsia="Century Gothic" w:hAnsi="Century Gothic" w:cs="Century Gothic"/>
        </w:rPr>
        <w:t>e della TASI</w:t>
      </w:r>
      <w:r w:rsidR="00956E12">
        <w:rPr>
          <w:rFonts w:ascii="Century Gothic" w:eastAsia="Century Gothic" w:hAnsi="Century Gothic" w:cs="Century Gothic"/>
        </w:rPr>
        <w:t>,</w:t>
      </w:r>
      <w:r w:rsidR="00956E12" w:rsidRPr="00956E12">
        <w:rPr>
          <w:rFonts w:ascii="Century Gothic" w:eastAsia="Century Gothic" w:hAnsi="Century Gothic" w:cs="Century Gothic"/>
        </w:rPr>
        <w:t xml:space="preserve"> </w:t>
      </w:r>
      <w:r w:rsidR="00956E12">
        <w:rPr>
          <w:rFonts w:ascii="Century Gothic" w:eastAsia="Century Gothic" w:hAnsi="Century Gothic" w:cs="Century Gothic"/>
        </w:rPr>
        <w:t>in base all’ISEE,</w:t>
      </w:r>
      <w:r w:rsidR="00666062">
        <w:rPr>
          <w:rFonts w:ascii="Century Gothic" w:eastAsia="Century Gothic" w:hAnsi="Century Gothic" w:cs="Century Gothic"/>
        </w:rPr>
        <w:t xml:space="preserve"> per i casi di disagio economico</w:t>
      </w:r>
      <w:r w:rsidR="008A6254">
        <w:rPr>
          <w:rFonts w:ascii="Century Gothic" w:eastAsia="Century Gothic" w:hAnsi="Century Gothic" w:cs="Century Gothic"/>
        </w:rPr>
        <w:t>-</w:t>
      </w:r>
      <w:r w:rsidR="00666062">
        <w:rPr>
          <w:rFonts w:ascii="Century Gothic" w:eastAsia="Century Gothic" w:hAnsi="Century Gothic" w:cs="Century Gothic"/>
        </w:rPr>
        <w:t>sociale. Inoltre</w:t>
      </w:r>
      <w:r w:rsidR="005F5225">
        <w:rPr>
          <w:rFonts w:ascii="Century Gothic" w:eastAsia="Century Gothic" w:hAnsi="Century Gothic" w:cs="Century Gothic"/>
        </w:rPr>
        <w:t>, ai fini dell’IMU,</w:t>
      </w:r>
      <w:r w:rsidR="00666062">
        <w:rPr>
          <w:rFonts w:ascii="Century Gothic" w:eastAsia="Century Gothic" w:hAnsi="Century Gothic" w:cs="Century Gothic"/>
        </w:rPr>
        <w:t xml:space="preserve"> </w:t>
      </w:r>
      <w:r w:rsidR="005F5225">
        <w:rPr>
          <w:rFonts w:ascii="Century Gothic" w:eastAsia="Century Gothic" w:hAnsi="Century Gothic" w:cs="Century Gothic"/>
        </w:rPr>
        <w:t>viene considerata abitazione principale anche quella posseduta da anziani o disabili che abbiano la residenza in istituti sanitari o di ricovero, se l’abitazione stessa non viene data in affitto.</w:t>
      </w:r>
    </w:p>
    <w:p w:rsidR="00916AC1" w:rsidRDefault="00916AC1" w:rsidP="00462B52">
      <w:pPr>
        <w:jc w:val="both"/>
        <w:rPr>
          <w:rFonts w:ascii="Century Gothic" w:hAnsi="Century Gothic"/>
        </w:rPr>
      </w:pPr>
      <w:r w:rsidRPr="00916AC1">
        <w:rPr>
          <w:rFonts w:ascii="Century Gothic" w:hAnsi="Century Gothic"/>
        </w:rPr>
        <w:t>Dopo questa panoramica sulle piattaforme e le delibere, nel prosieguo del capitolo e nei capitoli seguenti l’attenzione sarà volta</w:t>
      </w:r>
      <w:r w:rsidR="00CD3003" w:rsidRPr="00916AC1">
        <w:rPr>
          <w:rFonts w:ascii="Century Gothic" w:hAnsi="Century Gothic"/>
        </w:rPr>
        <w:t xml:space="preserve"> </w:t>
      </w:r>
      <w:r w:rsidRPr="00916AC1">
        <w:rPr>
          <w:rFonts w:ascii="Century Gothic" w:hAnsi="Century Gothic"/>
        </w:rPr>
        <w:t>a</w:t>
      </w:r>
      <w:r w:rsidR="00CD3003" w:rsidRPr="00916AC1">
        <w:rPr>
          <w:rFonts w:ascii="Century Gothic" w:hAnsi="Century Gothic"/>
        </w:rPr>
        <w:t xml:space="preserve">gli accordi, </w:t>
      </w:r>
      <w:r w:rsidRPr="00916AC1">
        <w:rPr>
          <w:rFonts w:ascii="Century Gothic" w:hAnsi="Century Gothic"/>
        </w:rPr>
        <w:t>in particolare quelli comunali e</w:t>
      </w:r>
      <w:r w:rsidR="00CD3003" w:rsidRPr="00916AC1">
        <w:rPr>
          <w:rFonts w:ascii="Century Gothic" w:hAnsi="Century Gothic"/>
        </w:rPr>
        <w:t xml:space="preserve"> </w:t>
      </w:r>
      <w:r>
        <w:rPr>
          <w:rFonts w:ascii="Century Gothic" w:hAnsi="Century Gothic"/>
        </w:rPr>
        <w:t xml:space="preserve">intercomunali, che costituiscono </w:t>
      </w:r>
      <w:r w:rsidR="00282B34">
        <w:rPr>
          <w:rFonts w:ascii="Century Gothic" w:hAnsi="Century Gothic"/>
        </w:rPr>
        <w:t xml:space="preserve">la parte centrale </w:t>
      </w:r>
      <w:r>
        <w:rPr>
          <w:rFonts w:ascii="Century Gothic" w:hAnsi="Century Gothic"/>
        </w:rPr>
        <w:t>della contrattazione sociale territoriale.</w:t>
      </w:r>
    </w:p>
    <w:p w:rsidR="002A1404" w:rsidRDefault="002A1404">
      <w:pPr>
        <w:rPr>
          <w:rFonts w:ascii="Century Gothic" w:hAnsi="Century Gothic"/>
        </w:rPr>
      </w:pPr>
    </w:p>
    <w:p w:rsidR="00FD327F" w:rsidRDefault="00715247" w:rsidP="00FD327F">
      <w:pPr>
        <w:jc w:val="both"/>
        <w:rPr>
          <w:rFonts w:ascii="Century Gothic" w:hAnsi="Century Gothic"/>
          <w:b/>
          <w:bCs/>
        </w:rPr>
      </w:pPr>
      <w:r>
        <w:rPr>
          <w:rFonts w:ascii="Century Gothic" w:hAnsi="Century Gothic"/>
          <w:b/>
          <w:bCs/>
        </w:rPr>
        <w:t>2</w:t>
      </w:r>
      <w:r w:rsidR="00FD327F" w:rsidRPr="0035601B">
        <w:rPr>
          <w:rFonts w:ascii="Century Gothic" w:hAnsi="Century Gothic"/>
          <w:b/>
          <w:bCs/>
        </w:rPr>
        <w:t>.</w:t>
      </w:r>
      <w:r w:rsidR="0090759C">
        <w:rPr>
          <w:rFonts w:ascii="Century Gothic" w:hAnsi="Century Gothic"/>
          <w:b/>
          <w:bCs/>
        </w:rPr>
        <w:t>3</w:t>
      </w:r>
      <w:r w:rsidR="00FD327F" w:rsidRPr="0035601B">
        <w:rPr>
          <w:rFonts w:ascii="Century Gothic" w:hAnsi="Century Gothic"/>
          <w:b/>
          <w:bCs/>
        </w:rPr>
        <w:t>.</w:t>
      </w:r>
      <w:r w:rsidR="00FD327F">
        <w:rPr>
          <w:rFonts w:ascii="Century Gothic" w:hAnsi="Century Gothic"/>
          <w:b/>
          <w:bCs/>
        </w:rPr>
        <w:t xml:space="preserve"> </w:t>
      </w:r>
      <w:r w:rsidR="00FD327F" w:rsidRPr="0035601B">
        <w:rPr>
          <w:rFonts w:ascii="Century Gothic" w:hAnsi="Century Gothic"/>
          <w:b/>
          <w:bCs/>
        </w:rPr>
        <w:t>Il livello dell’accordo</w:t>
      </w:r>
    </w:p>
    <w:p w:rsidR="00F91EC4" w:rsidRDefault="00F91EC4" w:rsidP="00FD327F">
      <w:pPr>
        <w:jc w:val="both"/>
        <w:rPr>
          <w:rFonts w:ascii="Century Gothic" w:hAnsi="Century Gothic"/>
          <w:b/>
          <w:bCs/>
        </w:rPr>
      </w:pPr>
    </w:p>
    <w:p w:rsidR="008348D0" w:rsidRDefault="00F91EC4" w:rsidP="00FD327F">
      <w:pPr>
        <w:jc w:val="both"/>
        <w:rPr>
          <w:rFonts w:ascii="Century Gothic" w:hAnsi="Century Gothic"/>
        </w:rPr>
      </w:pPr>
      <w:r>
        <w:rPr>
          <w:rFonts w:ascii="Century Gothic" w:hAnsi="Century Gothic"/>
        </w:rPr>
        <w:t xml:space="preserve">Gli accordi possono essere di diversi livelli partendo dal regionale fino al comunale, oppure riguardare intese in ambito specificatamente sanitario con le ASL e le </w:t>
      </w:r>
      <w:r w:rsidRPr="002D3388">
        <w:rPr>
          <w:rFonts w:ascii="Century Gothic" w:hAnsi="Century Gothic"/>
        </w:rPr>
        <w:t>Società della Salute.</w:t>
      </w:r>
    </w:p>
    <w:p w:rsidR="008348D0" w:rsidRDefault="008348D0">
      <w:pPr>
        <w:rPr>
          <w:rFonts w:ascii="Century Gothic" w:hAnsi="Century Gothic"/>
        </w:rPr>
      </w:pPr>
      <w:r>
        <w:rPr>
          <w:rFonts w:ascii="Century Gothic" w:hAnsi="Century Gothic"/>
        </w:rPr>
        <w:br w:type="page"/>
      </w:r>
    </w:p>
    <w:p w:rsidR="00FD327F" w:rsidRDefault="00FD327F" w:rsidP="00FD327F">
      <w:pPr>
        <w:jc w:val="both"/>
        <w:rPr>
          <w:rFonts w:ascii="Century Gothic" w:hAnsi="Century Gothic" w:cs="Arial"/>
          <w:b/>
          <w:bCs/>
          <w:sz w:val="20"/>
          <w:szCs w:val="20"/>
          <w:lang w:eastAsia="it-IT"/>
        </w:rPr>
      </w:pPr>
      <w:r w:rsidRPr="0035601B">
        <w:rPr>
          <w:rFonts w:ascii="Century Gothic" w:hAnsi="Century Gothic"/>
          <w:b/>
          <w:bCs/>
        </w:rPr>
        <w:lastRenderedPageBreak/>
        <w:t xml:space="preserve">Tab. n. </w:t>
      </w:r>
      <w:r w:rsidR="002D304A">
        <w:rPr>
          <w:rFonts w:ascii="Century Gothic" w:hAnsi="Century Gothic"/>
          <w:b/>
          <w:bCs/>
        </w:rPr>
        <w:t>1</w:t>
      </w:r>
      <w:r w:rsidRPr="0035601B">
        <w:rPr>
          <w:rFonts w:ascii="Century Gothic" w:hAnsi="Century Gothic"/>
          <w:b/>
          <w:bCs/>
        </w:rPr>
        <w:t>- Il livello dell’accordo % sul t</w:t>
      </w:r>
      <w:r>
        <w:rPr>
          <w:rFonts w:ascii="Century Gothic" w:hAnsi="Century Gothic"/>
          <w:b/>
          <w:bCs/>
        </w:rPr>
        <w:t>otale di ciascun anno (2009-201</w:t>
      </w:r>
      <w:r w:rsidR="00A23682">
        <w:rPr>
          <w:rFonts w:ascii="Century Gothic" w:hAnsi="Century Gothic"/>
          <w:b/>
          <w:bCs/>
        </w:rPr>
        <w:t>5</w:t>
      </w:r>
      <w:r w:rsidRPr="0035601B">
        <w:rPr>
          <w:rFonts w:ascii="Century Gothic" w:hAnsi="Century Gothic"/>
          <w:b/>
          <w:bCs/>
        </w:rPr>
        <w:t>)</w:t>
      </w:r>
      <w:r>
        <w:rPr>
          <w:rFonts w:ascii="Century Gothic" w:hAnsi="Century Gothic" w:cs="Arial"/>
          <w:b/>
          <w:bCs/>
          <w:sz w:val="20"/>
          <w:szCs w:val="20"/>
          <w:lang w:eastAsia="it-IT"/>
        </w:rPr>
        <w:t xml:space="preserve"> </w:t>
      </w:r>
    </w:p>
    <w:p w:rsidR="0031617F" w:rsidRDefault="0031617F" w:rsidP="00FD327F">
      <w:pPr>
        <w:jc w:val="both"/>
        <w:rPr>
          <w:rFonts w:ascii="Century Gothic" w:hAnsi="Century Gothic" w:cs="Arial"/>
          <w:b/>
          <w:bCs/>
          <w:sz w:val="20"/>
          <w:szCs w:val="20"/>
          <w:lang w:eastAsia="it-IT"/>
        </w:rPr>
      </w:pPr>
    </w:p>
    <w:tbl>
      <w:tblPr>
        <w:tblW w:w="8753" w:type="dxa"/>
        <w:tblInd w:w="57" w:type="dxa"/>
        <w:tblCellMar>
          <w:left w:w="70" w:type="dxa"/>
          <w:right w:w="70" w:type="dxa"/>
        </w:tblCellMar>
        <w:tblLook w:val="04A0" w:firstRow="1" w:lastRow="0" w:firstColumn="1" w:lastColumn="0" w:noHBand="0" w:noVBand="1"/>
      </w:tblPr>
      <w:tblGrid>
        <w:gridCol w:w="960"/>
        <w:gridCol w:w="1300"/>
        <w:gridCol w:w="1561"/>
        <w:gridCol w:w="1280"/>
        <w:gridCol w:w="1360"/>
        <w:gridCol w:w="1332"/>
        <w:gridCol w:w="960"/>
      </w:tblGrid>
      <w:tr w:rsidR="0031617F" w:rsidRPr="0031617F" w:rsidTr="0031617F">
        <w:trPr>
          <w:trHeight w:val="315"/>
        </w:trPr>
        <w:tc>
          <w:tcPr>
            <w:tcW w:w="960" w:type="dxa"/>
            <w:tcBorders>
              <w:top w:val="single" w:sz="8" w:space="0" w:color="4F81BD"/>
              <w:left w:val="single" w:sz="8" w:space="0" w:color="4F81BD"/>
              <w:bottom w:val="nil"/>
              <w:right w:val="nil"/>
            </w:tcBorders>
            <w:shd w:val="clear" w:color="000000" w:fill="4F81BD"/>
            <w:noWrap/>
            <w:vAlign w:val="bottom"/>
            <w:hideMark/>
          </w:tcPr>
          <w:p w:rsidR="0031617F" w:rsidRPr="0031617F" w:rsidRDefault="0031617F" w:rsidP="0031617F">
            <w:pPr>
              <w:spacing w:line="240" w:lineRule="auto"/>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 </w:t>
            </w:r>
          </w:p>
        </w:tc>
        <w:tc>
          <w:tcPr>
            <w:tcW w:w="1300" w:type="dxa"/>
            <w:tcBorders>
              <w:top w:val="single" w:sz="8" w:space="0" w:color="4F81BD"/>
              <w:left w:val="nil"/>
              <w:bottom w:val="nil"/>
              <w:right w:val="nil"/>
            </w:tcBorders>
            <w:shd w:val="clear" w:color="000000" w:fill="4F81BD"/>
            <w:noWrap/>
            <w:vAlign w:val="bottom"/>
            <w:hideMark/>
          </w:tcPr>
          <w:p w:rsidR="0031617F" w:rsidRPr="0031617F" w:rsidRDefault="0031617F" w:rsidP="0031617F">
            <w:pPr>
              <w:spacing w:line="240" w:lineRule="auto"/>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 xml:space="preserve"> Comunale</w:t>
            </w:r>
          </w:p>
        </w:tc>
        <w:tc>
          <w:tcPr>
            <w:tcW w:w="1561" w:type="dxa"/>
            <w:tcBorders>
              <w:top w:val="single" w:sz="8" w:space="0" w:color="4F81BD"/>
              <w:left w:val="nil"/>
              <w:bottom w:val="nil"/>
              <w:right w:val="nil"/>
            </w:tcBorders>
            <w:shd w:val="clear" w:color="000000" w:fill="4F81BD"/>
            <w:noWrap/>
            <w:vAlign w:val="bottom"/>
            <w:hideMark/>
          </w:tcPr>
          <w:p w:rsidR="0031617F" w:rsidRPr="0031617F" w:rsidRDefault="0031617F" w:rsidP="0031617F">
            <w:pPr>
              <w:spacing w:line="240" w:lineRule="auto"/>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Intercomunale</w:t>
            </w:r>
          </w:p>
        </w:tc>
        <w:tc>
          <w:tcPr>
            <w:tcW w:w="1280" w:type="dxa"/>
            <w:tcBorders>
              <w:top w:val="single" w:sz="8" w:space="0" w:color="4F81BD"/>
              <w:left w:val="nil"/>
              <w:bottom w:val="nil"/>
              <w:right w:val="nil"/>
            </w:tcBorders>
            <w:shd w:val="clear" w:color="000000" w:fill="4F81BD"/>
            <w:noWrap/>
            <w:vAlign w:val="bottom"/>
            <w:hideMark/>
          </w:tcPr>
          <w:p w:rsidR="0031617F" w:rsidRPr="0031617F" w:rsidRDefault="0031617F" w:rsidP="0031617F">
            <w:pPr>
              <w:spacing w:line="240" w:lineRule="auto"/>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Provinciale</w:t>
            </w:r>
          </w:p>
        </w:tc>
        <w:tc>
          <w:tcPr>
            <w:tcW w:w="1360" w:type="dxa"/>
            <w:tcBorders>
              <w:top w:val="single" w:sz="8" w:space="0" w:color="4F81BD"/>
              <w:left w:val="nil"/>
              <w:bottom w:val="nil"/>
              <w:right w:val="nil"/>
            </w:tcBorders>
            <w:shd w:val="clear" w:color="000000" w:fill="4F81BD"/>
            <w:noWrap/>
            <w:vAlign w:val="bottom"/>
            <w:hideMark/>
          </w:tcPr>
          <w:p w:rsidR="0031617F" w:rsidRPr="0031617F" w:rsidRDefault="0031617F" w:rsidP="0031617F">
            <w:pPr>
              <w:spacing w:line="240" w:lineRule="auto"/>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Regionale</w:t>
            </w:r>
          </w:p>
        </w:tc>
        <w:tc>
          <w:tcPr>
            <w:tcW w:w="1332" w:type="dxa"/>
            <w:tcBorders>
              <w:top w:val="single" w:sz="8" w:space="0" w:color="4F81BD"/>
              <w:left w:val="nil"/>
              <w:bottom w:val="nil"/>
              <w:right w:val="nil"/>
            </w:tcBorders>
            <w:shd w:val="clear" w:color="000000" w:fill="4F81BD"/>
            <w:noWrap/>
            <w:vAlign w:val="bottom"/>
            <w:hideMark/>
          </w:tcPr>
          <w:p w:rsidR="0031617F" w:rsidRPr="0031617F" w:rsidRDefault="0031617F" w:rsidP="0031617F">
            <w:pPr>
              <w:spacing w:line="240" w:lineRule="auto"/>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ASL/USL/SDS</w:t>
            </w:r>
          </w:p>
        </w:tc>
        <w:tc>
          <w:tcPr>
            <w:tcW w:w="960" w:type="dxa"/>
            <w:tcBorders>
              <w:top w:val="single" w:sz="8" w:space="0" w:color="4F81BD"/>
              <w:left w:val="nil"/>
              <w:bottom w:val="nil"/>
              <w:right w:val="single" w:sz="12" w:space="0" w:color="2E75B6"/>
            </w:tcBorders>
            <w:shd w:val="clear" w:color="000000" w:fill="4F81BD"/>
            <w:noWrap/>
            <w:vAlign w:val="bottom"/>
            <w:hideMark/>
          </w:tcPr>
          <w:p w:rsidR="0031617F" w:rsidRPr="0031617F" w:rsidRDefault="0031617F" w:rsidP="0031617F">
            <w:pPr>
              <w:spacing w:line="240" w:lineRule="auto"/>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Totale</w:t>
            </w:r>
          </w:p>
        </w:tc>
      </w:tr>
      <w:tr w:rsidR="0031617F" w:rsidRPr="0031617F" w:rsidTr="0031617F">
        <w:trPr>
          <w:trHeight w:val="315"/>
        </w:trPr>
        <w:tc>
          <w:tcPr>
            <w:tcW w:w="960" w:type="dxa"/>
            <w:tcBorders>
              <w:top w:val="single" w:sz="8" w:space="0" w:color="4F81BD"/>
              <w:left w:val="single" w:sz="8" w:space="0" w:color="4F81BD"/>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2009</w:t>
            </w:r>
          </w:p>
        </w:tc>
        <w:tc>
          <w:tcPr>
            <w:tcW w:w="1300" w:type="dxa"/>
            <w:tcBorders>
              <w:top w:val="single" w:sz="8" w:space="0" w:color="4F81BD"/>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84,8</w:t>
            </w:r>
          </w:p>
        </w:tc>
        <w:tc>
          <w:tcPr>
            <w:tcW w:w="1561" w:type="dxa"/>
            <w:tcBorders>
              <w:top w:val="single" w:sz="8" w:space="0" w:color="4F81BD"/>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6,5</w:t>
            </w:r>
          </w:p>
        </w:tc>
        <w:tc>
          <w:tcPr>
            <w:tcW w:w="1280" w:type="dxa"/>
            <w:tcBorders>
              <w:top w:val="single" w:sz="8" w:space="0" w:color="4F81BD"/>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1,1</w:t>
            </w:r>
          </w:p>
        </w:tc>
        <w:tc>
          <w:tcPr>
            <w:tcW w:w="1360" w:type="dxa"/>
            <w:tcBorders>
              <w:top w:val="single" w:sz="8" w:space="0" w:color="4F81BD"/>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7,6</w:t>
            </w:r>
          </w:p>
        </w:tc>
        <w:tc>
          <w:tcPr>
            <w:tcW w:w="1332" w:type="dxa"/>
            <w:tcBorders>
              <w:top w:val="single" w:sz="8" w:space="0" w:color="4F81BD"/>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0</w:t>
            </w:r>
          </w:p>
        </w:tc>
        <w:tc>
          <w:tcPr>
            <w:tcW w:w="960" w:type="dxa"/>
            <w:tcBorders>
              <w:top w:val="single" w:sz="8" w:space="0" w:color="4F81BD"/>
              <w:left w:val="nil"/>
              <w:bottom w:val="nil"/>
              <w:right w:val="single" w:sz="12" w:space="0" w:color="2E75B6"/>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100</w:t>
            </w:r>
          </w:p>
        </w:tc>
      </w:tr>
      <w:tr w:rsidR="0031617F" w:rsidRPr="0031617F" w:rsidTr="0031617F">
        <w:trPr>
          <w:trHeight w:val="315"/>
        </w:trPr>
        <w:tc>
          <w:tcPr>
            <w:tcW w:w="960" w:type="dxa"/>
            <w:tcBorders>
              <w:top w:val="single" w:sz="8" w:space="0" w:color="4F81BD"/>
              <w:left w:val="single" w:sz="8" w:space="0" w:color="4F81BD"/>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2010</w:t>
            </w:r>
          </w:p>
        </w:tc>
        <w:tc>
          <w:tcPr>
            <w:tcW w:w="1300" w:type="dxa"/>
            <w:tcBorders>
              <w:top w:val="single" w:sz="8" w:space="0" w:color="4F81BD"/>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87,5</w:t>
            </w:r>
          </w:p>
        </w:tc>
        <w:tc>
          <w:tcPr>
            <w:tcW w:w="1561" w:type="dxa"/>
            <w:tcBorders>
              <w:top w:val="single" w:sz="8" w:space="0" w:color="4F81BD"/>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6,8</w:t>
            </w:r>
          </w:p>
        </w:tc>
        <w:tc>
          <w:tcPr>
            <w:tcW w:w="1280" w:type="dxa"/>
            <w:tcBorders>
              <w:top w:val="single" w:sz="8" w:space="0" w:color="4F81BD"/>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1,1</w:t>
            </w:r>
          </w:p>
        </w:tc>
        <w:tc>
          <w:tcPr>
            <w:tcW w:w="1360" w:type="dxa"/>
            <w:tcBorders>
              <w:top w:val="single" w:sz="8" w:space="0" w:color="4F81BD"/>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3,4</w:t>
            </w:r>
          </w:p>
        </w:tc>
        <w:tc>
          <w:tcPr>
            <w:tcW w:w="1332" w:type="dxa"/>
            <w:tcBorders>
              <w:top w:val="single" w:sz="8" w:space="0" w:color="4F81BD"/>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1,1</w:t>
            </w:r>
          </w:p>
        </w:tc>
        <w:tc>
          <w:tcPr>
            <w:tcW w:w="960" w:type="dxa"/>
            <w:tcBorders>
              <w:top w:val="single" w:sz="8" w:space="0" w:color="4F81BD"/>
              <w:left w:val="nil"/>
              <w:bottom w:val="nil"/>
              <w:right w:val="single" w:sz="12" w:space="0" w:color="2E75B6"/>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100</w:t>
            </w:r>
          </w:p>
        </w:tc>
      </w:tr>
      <w:tr w:rsidR="0031617F" w:rsidRPr="0031617F" w:rsidTr="0031617F">
        <w:trPr>
          <w:trHeight w:val="315"/>
        </w:trPr>
        <w:tc>
          <w:tcPr>
            <w:tcW w:w="960" w:type="dxa"/>
            <w:tcBorders>
              <w:top w:val="single" w:sz="8" w:space="0" w:color="4F81BD"/>
              <w:left w:val="single" w:sz="8" w:space="0" w:color="4F81BD"/>
              <w:bottom w:val="single" w:sz="8" w:space="0" w:color="4F81BD"/>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2011</w:t>
            </w:r>
          </w:p>
        </w:tc>
        <w:tc>
          <w:tcPr>
            <w:tcW w:w="1300" w:type="dxa"/>
            <w:tcBorders>
              <w:top w:val="single" w:sz="8" w:space="0" w:color="4F81BD"/>
              <w:left w:val="nil"/>
              <w:bottom w:val="single" w:sz="8" w:space="0" w:color="4F81BD"/>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84,4</w:t>
            </w:r>
          </w:p>
        </w:tc>
        <w:tc>
          <w:tcPr>
            <w:tcW w:w="1561" w:type="dxa"/>
            <w:tcBorders>
              <w:top w:val="single" w:sz="8" w:space="0" w:color="4F81BD"/>
              <w:left w:val="nil"/>
              <w:bottom w:val="single" w:sz="8" w:space="0" w:color="4F81BD"/>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6,4</w:t>
            </w:r>
          </w:p>
        </w:tc>
        <w:tc>
          <w:tcPr>
            <w:tcW w:w="1280" w:type="dxa"/>
            <w:tcBorders>
              <w:top w:val="single" w:sz="8" w:space="0" w:color="4F81BD"/>
              <w:left w:val="nil"/>
              <w:bottom w:val="single" w:sz="8" w:space="0" w:color="4F81BD"/>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2,1</w:t>
            </w:r>
          </w:p>
        </w:tc>
        <w:tc>
          <w:tcPr>
            <w:tcW w:w="1360" w:type="dxa"/>
            <w:tcBorders>
              <w:top w:val="single" w:sz="8" w:space="0" w:color="4F81BD"/>
              <w:left w:val="nil"/>
              <w:bottom w:val="single" w:sz="8" w:space="0" w:color="4F81BD"/>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4,3</w:t>
            </w:r>
          </w:p>
        </w:tc>
        <w:tc>
          <w:tcPr>
            <w:tcW w:w="1332" w:type="dxa"/>
            <w:tcBorders>
              <w:top w:val="single" w:sz="8" w:space="0" w:color="4F81BD"/>
              <w:left w:val="nil"/>
              <w:bottom w:val="single" w:sz="8" w:space="0" w:color="4F81BD"/>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2,8</w:t>
            </w:r>
          </w:p>
        </w:tc>
        <w:tc>
          <w:tcPr>
            <w:tcW w:w="960" w:type="dxa"/>
            <w:tcBorders>
              <w:top w:val="single" w:sz="8" w:space="0" w:color="4F81BD"/>
              <w:left w:val="nil"/>
              <w:bottom w:val="single" w:sz="8" w:space="0" w:color="4F81BD"/>
              <w:right w:val="single" w:sz="12" w:space="0" w:color="2E75B6"/>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100</w:t>
            </w:r>
          </w:p>
        </w:tc>
      </w:tr>
      <w:tr w:rsidR="0031617F" w:rsidRPr="0031617F" w:rsidTr="0031617F">
        <w:trPr>
          <w:trHeight w:val="315"/>
        </w:trPr>
        <w:tc>
          <w:tcPr>
            <w:tcW w:w="960" w:type="dxa"/>
            <w:tcBorders>
              <w:top w:val="nil"/>
              <w:left w:val="single" w:sz="8" w:space="0" w:color="4F81BD"/>
              <w:bottom w:val="single" w:sz="8" w:space="0" w:color="4F81BD"/>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2012</w:t>
            </w:r>
          </w:p>
        </w:tc>
        <w:tc>
          <w:tcPr>
            <w:tcW w:w="1300" w:type="dxa"/>
            <w:tcBorders>
              <w:top w:val="nil"/>
              <w:left w:val="nil"/>
              <w:bottom w:val="single" w:sz="8" w:space="0" w:color="4F81BD"/>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79,7</w:t>
            </w:r>
          </w:p>
        </w:tc>
        <w:tc>
          <w:tcPr>
            <w:tcW w:w="1561" w:type="dxa"/>
            <w:tcBorders>
              <w:top w:val="nil"/>
              <w:left w:val="nil"/>
              <w:bottom w:val="single" w:sz="8" w:space="0" w:color="4F81BD"/>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9,8</w:t>
            </w:r>
          </w:p>
        </w:tc>
        <w:tc>
          <w:tcPr>
            <w:tcW w:w="1280" w:type="dxa"/>
            <w:tcBorders>
              <w:top w:val="nil"/>
              <w:left w:val="nil"/>
              <w:bottom w:val="single" w:sz="8" w:space="0" w:color="4F81BD"/>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2,4</w:t>
            </w:r>
          </w:p>
        </w:tc>
        <w:tc>
          <w:tcPr>
            <w:tcW w:w="1360" w:type="dxa"/>
            <w:tcBorders>
              <w:top w:val="nil"/>
              <w:left w:val="nil"/>
              <w:bottom w:val="single" w:sz="8" w:space="0" w:color="4F81BD"/>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6,5</w:t>
            </w:r>
          </w:p>
        </w:tc>
        <w:tc>
          <w:tcPr>
            <w:tcW w:w="1332" w:type="dxa"/>
            <w:tcBorders>
              <w:top w:val="nil"/>
              <w:left w:val="nil"/>
              <w:bottom w:val="single" w:sz="8" w:space="0" w:color="4F81BD"/>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1,6</w:t>
            </w:r>
          </w:p>
        </w:tc>
        <w:tc>
          <w:tcPr>
            <w:tcW w:w="960" w:type="dxa"/>
            <w:tcBorders>
              <w:top w:val="nil"/>
              <w:left w:val="nil"/>
              <w:bottom w:val="single" w:sz="8" w:space="0" w:color="4F81BD"/>
              <w:right w:val="single" w:sz="12" w:space="0" w:color="2E75B6"/>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100</w:t>
            </w:r>
          </w:p>
        </w:tc>
      </w:tr>
      <w:tr w:rsidR="0031617F" w:rsidRPr="0031617F" w:rsidTr="0031617F">
        <w:trPr>
          <w:trHeight w:val="315"/>
        </w:trPr>
        <w:tc>
          <w:tcPr>
            <w:tcW w:w="960" w:type="dxa"/>
            <w:tcBorders>
              <w:top w:val="nil"/>
              <w:left w:val="single" w:sz="8" w:space="0" w:color="4F81BD"/>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2013</w:t>
            </w:r>
          </w:p>
        </w:tc>
        <w:tc>
          <w:tcPr>
            <w:tcW w:w="1300" w:type="dxa"/>
            <w:tcBorders>
              <w:top w:val="nil"/>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65,7</w:t>
            </w:r>
          </w:p>
        </w:tc>
        <w:tc>
          <w:tcPr>
            <w:tcW w:w="1561" w:type="dxa"/>
            <w:tcBorders>
              <w:top w:val="nil"/>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15,2</w:t>
            </w:r>
          </w:p>
        </w:tc>
        <w:tc>
          <w:tcPr>
            <w:tcW w:w="1280" w:type="dxa"/>
            <w:tcBorders>
              <w:top w:val="nil"/>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1,9</w:t>
            </w:r>
          </w:p>
        </w:tc>
        <w:tc>
          <w:tcPr>
            <w:tcW w:w="1360" w:type="dxa"/>
            <w:tcBorders>
              <w:top w:val="nil"/>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6,7</w:t>
            </w:r>
          </w:p>
        </w:tc>
        <w:tc>
          <w:tcPr>
            <w:tcW w:w="1332" w:type="dxa"/>
            <w:tcBorders>
              <w:top w:val="nil"/>
              <w:left w:val="nil"/>
              <w:bottom w:val="nil"/>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10,5</w:t>
            </w:r>
          </w:p>
        </w:tc>
        <w:tc>
          <w:tcPr>
            <w:tcW w:w="960" w:type="dxa"/>
            <w:tcBorders>
              <w:top w:val="nil"/>
              <w:left w:val="nil"/>
              <w:bottom w:val="nil"/>
              <w:right w:val="single" w:sz="12" w:space="0" w:color="2E75B6"/>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100</w:t>
            </w:r>
          </w:p>
        </w:tc>
      </w:tr>
      <w:tr w:rsidR="0031617F" w:rsidRPr="0031617F" w:rsidTr="0031617F">
        <w:trPr>
          <w:trHeight w:val="315"/>
        </w:trPr>
        <w:tc>
          <w:tcPr>
            <w:tcW w:w="960" w:type="dxa"/>
            <w:tcBorders>
              <w:top w:val="single" w:sz="8" w:space="0" w:color="0070C0"/>
              <w:left w:val="single" w:sz="4" w:space="0" w:color="2E75B6"/>
              <w:bottom w:val="single" w:sz="8" w:space="0" w:color="0070C0"/>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2014</w:t>
            </w:r>
          </w:p>
        </w:tc>
        <w:tc>
          <w:tcPr>
            <w:tcW w:w="1300" w:type="dxa"/>
            <w:tcBorders>
              <w:top w:val="single" w:sz="8" w:space="0" w:color="0070C0"/>
              <w:left w:val="nil"/>
              <w:bottom w:val="single" w:sz="8" w:space="0" w:color="0070C0"/>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86,2</w:t>
            </w:r>
          </w:p>
        </w:tc>
        <w:tc>
          <w:tcPr>
            <w:tcW w:w="1561" w:type="dxa"/>
            <w:tcBorders>
              <w:top w:val="single" w:sz="8" w:space="0" w:color="0070C0"/>
              <w:left w:val="nil"/>
              <w:bottom w:val="single" w:sz="8" w:space="0" w:color="0070C0"/>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1,7</w:t>
            </w:r>
          </w:p>
        </w:tc>
        <w:tc>
          <w:tcPr>
            <w:tcW w:w="1280" w:type="dxa"/>
            <w:tcBorders>
              <w:top w:val="single" w:sz="8" w:space="0" w:color="0070C0"/>
              <w:left w:val="nil"/>
              <w:bottom w:val="single" w:sz="8" w:space="0" w:color="0070C0"/>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0,0</w:t>
            </w:r>
          </w:p>
        </w:tc>
        <w:tc>
          <w:tcPr>
            <w:tcW w:w="1360" w:type="dxa"/>
            <w:tcBorders>
              <w:top w:val="single" w:sz="8" w:space="0" w:color="0070C0"/>
              <w:left w:val="nil"/>
              <w:bottom w:val="single" w:sz="8" w:space="0" w:color="0070C0"/>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8,6</w:t>
            </w:r>
          </w:p>
        </w:tc>
        <w:tc>
          <w:tcPr>
            <w:tcW w:w="1332" w:type="dxa"/>
            <w:tcBorders>
              <w:top w:val="single" w:sz="8" w:space="0" w:color="0070C0"/>
              <w:left w:val="nil"/>
              <w:bottom w:val="single" w:sz="8" w:space="0" w:color="0070C0"/>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3,4</w:t>
            </w:r>
          </w:p>
        </w:tc>
        <w:tc>
          <w:tcPr>
            <w:tcW w:w="960" w:type="dxa"/>
            <w:tcBorders>
              <w:top w:val="single" w:sz="8" w:space="0" w:color="0070C0"/>
              <w:left w:val="nil"/>
              <w:bottom w:val="single" w:sz="8" w:space="0" w:color="0070C0"/>
              <w:right w:val="single" w:sz="12" w:space="0" w:color="2E75B6"/>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100</w:t>
            </w:r>
          </w:p>
        </w:tc>
      </w:tr>
      <w:tr w:rsidR="0031617F" w:rsidRPr="0031617F" w:rsidTr="0031617F">
        <w:trPr>
          <w:trHeight w:val="315"/>
        </w:trPr>
        <w:tc>
          <w:tcPr>
            <w:tcW w:w="960" w:type="dxa"/>
            <w:tcBorders>
              <w:top w:val="nil"/>
              <w:left w:val="single" w:sz="4" w:space="0" w:color="2E75B6"/>
              <w:bottom w:val="single" w:sz="8" w:space="0" w:color="2E75B6"/>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b/>
                <w:bCs/>
                <w:color w:val="000000"/>
                <w:sz w:val="20"/>
                <w:szCs w:val="20"/>
                <w:lang w:eastAsia="it-IT"/>
              </w:rPr>
            </w:pPr>
            <w:r w:rsidRPr="0031617F">
              <w:rPr>
                <w:rFonts w:ascii="Century Gothic" w:hAnsi="Century Gothic"/>
                <w:b/>
                <w:bCs/>
                <w:color w:val="000000"/>
                <w:sz w:val="20"/>
                <w:szCs w:val="20"/>
                <w:lang w:eastAsia="it-IT"/>
              </w:rPr>
              <w:t>2015</w:t>
            </w:r>
          </w:p>
        </w:tc>
        <w:tc>
          <w:tcPr>
            <w:tcW w:w="1300" w:type="dxa"/>
            <w:tcBorders>
              <w:top w:val="nil"/>
              <w:left w:val="nil"/>
              <w:bottom w:val="single" w:sz="8" w:space="0" w:color="2E75B6"/>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87,5</w:t>
            </w:r>
          </w:p>
        </w:tc>
        <w:tc>
          <w:tcPr>
            <w:tcW w:w="1561" w:type="dxa"/>
            <w:tcBorders>
              <w:top w:val="nil"/>
              <w:left w:val="nil"/>
              <w:bottom w:val="single" w:sz="8" w:space="0" w:color="2E75B6"/>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5,6</w:t>
            </w:r>
          </w:p>
        </w:tc>
        <w:tc>
          <w:tcPr>
            <w:tcW w:w="1280" w:type="dxa"/>
            <w:tcBorders>
              <w:top w:val="nil"/>
              <w:left w:val="nil"/>
              <w:bottom w:val="single" w:sz="8" w:space="0" w:color="2E75B6"/>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0,0</w:t>
            </w:r>
          </w:p>
        </w:tc>
        <w:tc>
          <w:tcPr>
            <w:tcW w:w="1360" w:type="dxa"/>
            <w:tcBorders>
              <w:top w:val="nil"/>
              <w:left w:val="nil"/>
              <w:bottom w:val="single" w:sz="8" w:space="0" w:color="2E75B6"/>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4,2</w:t>
            </w:r>
          </w:p>
        </w:tc>
        <w:tc>
          <w:tcPr>
            <w:tcW w:w="1332" w:type="dxa"/>
            <w:tcBorders>
              <w:top w:val="nil"/>
              <w:left w:val="nil"/>
              <w:bottom w:val="single" w:sz="8" w:space="0" w:color="2E75B6"/>
              <w:right w:val="nil"/>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2,8</w:t>
            </w:r>
          </w:p>
        </w:tc>
        <w:tc>
          <w:tcPr>
            <w:tcW w:w="960" w:type="dxa"/>
            <w:tcBorders>
              <w:top w:val="nil"/>
              <w:left w:val="nil"/>
              <w:bottom w:val="single" w:sz="8" w:space="0" w:color="2E75B6"/>
              <w:right w:val="single" w:sz="12" w:space="0" w:color="2E75B6"/>
            </w:tcBorders>
            <w:shd w:val="clear" w:color="auto" w:fill="auto"/>
            <w:noWrap/>
            <w:vAlign w:val="bottom"/>
            <w:hideMark/>
          </w:tcPr>
          <w:p w:rsidR="0031617F" w:rsidRPr="0031617F" w:rsidRDefault="0031617F" w:rsidP="0031617F">
            <w:pPr>
              <w:spacing w:line="240" w:lineRule="auto"/>
              <w:jc w:val="right"/>
              <w:rPr>
                <w:rFonts w:ascii="Century Gothic" w:hAnsi="Century Gothic"/>
                <w:color w:val="000000"/>
                <w:sz w:val="20"/>
                <w:szCs w:val="20"/>
                <w:lang w:eastAsia="it-IT"/>
              </w:rPr>
            </w:pPr>
            <w:r w:rsidRPr="0031617F">
              <w:rPr>
                <w:rFonts w:ascii="Century Gothic" w:hAnsi="Century Gothic"/>
                <w:color w:val="000000"/>
                <w:sz w:val="20"/>
                <w:szCs w:val="20"/>
                <w:lang w:eastAsia="it-IT"/>
              </w:rPr>
              <w:t>100</w:t>
            </w:r>
          </w:p>
        </w:tc>
      </w:tr>
    </w:tbl>
    <w:p w:rsidR="00890C09" w:rsidRDefault="00890C09" w:rsidP="00FD327F">
      <w:pPr>
        <w:jc w:val="both"/>
        <w:rPr>
          <w:rFonts w:ascii="Century Gothic" w:hAnsi="Century Gothic" w:cs="Arial"/>
          <w:b/>
          <w:bCs/>
          <w:sz w:val="20"/>
          <w:szCs w:val="20"/>
          <w:lang w:eastAsia="it-IT"/>
        </w:rPr>
      </w:pPr>
    </w:p>
    <w:p w:rsidR="004254CC" w:rsidRDefault="00110DF6" w:rsidP="00FD327F">
      <w:pPr>
        <w:jc w:val="both"/>
        <w:rPr>
          <w:rFonts w:ascii="Century Gothic" w:hAnsi="Century Gothic"/>
        </w:rPr>
      </w:pPr>
      <w:r>
        <w:rPr>
          <w:rFonts w:ascii="Century Gothic" w:hAnsi="Century Gothic"/>
        </w:rPr>
        <w:t>Le intese regionali sono importanti perché forniscono delle linee guida sulle principali materie della contrattazione sociale</w:t>
      </w:r>
      <w:r w:rsidR="001B050C">
        <w:rPr>
          <w:rFonts w:ascii="Century Gothic" w:hAnsi="Century Gothic"/>
        </w:rPr>
        <w:t>,</w:t>
      </w:r>
      <w:r>
        <w:rPr>
          <w:rFonts w:ascii="Century Gothic" w:hAnsi="Century Gothic"/>
        </w:rPr>
        <w:t xml:space="preserve"> che</w:t>
      </w:r>
      <w:r w:rsidR="001B050C">
        <w:rPr>
          <w:rFonts w:ascii="Century Gothic" w:hAnsi="Century Gothic"/>
        </w:rPr>
        <w:t>,</w:t>
      </w:r>
      <w:r>
        <w:rPr>
          <w:rFonts w:ascii="Century Gothic" w:hAnsi="Century Gothic"/>
        </w:rPr>
        <w:t xml:space="preserve"> poi</w:t>
      </w:r>
      <w:r w:rsidR="001B050C">
        <w:rPr>
          <w:rFonts w:ascii="Century Gothic" w:hAnsi="Century Gothic"/>
        </w:rPr>
        <w:t>,</w:t>
      </w:r>
      <w:r>
        <w:rPr>
          <w:rFonts w:ascii="Century Gothic" w:hAnsi="Century Gothic"/>
        </w:rPr>
        <w:t xml:space="preserve"> </w:t>
      </w:r>
      <w:r w:rsidRPr="00110DF6">
        <w:rPr>
          <w:rFonts w:ascii="Century Gothic" w:hAnsi="Century Gothic"/>
        </w:rPr>
        <w:t xml:space="preserve">possono </w:t>
      </w:r>
      <w:r>
        <w:rPr>
          <w:rFonts w:ascii="Century Gothic" w:hAnsi="Century Gothic"/>
        </w:rPr>
        <w:t xml:space="preserve">essere adattate alle specifiche esigenze </w:t>
      </w:r>
      <w:r w:rsidR="00890C09">
        <w:rPr>
          <w:rFonts w:ascii="Century Gothic" w:hAnsi="Century Gothic"/>
        </w:rPr>
        <w:t>locali</w:t>
      </w:r>
      <w:r>
        <w:rPr>
          <w:rFonts w:ascii="Century Gothic" w:hAnsi="Century Gothic"/>
        </w:rPr>
        <w:t xml:space="preserve">. Costituiscono quindi uno schema di riferimento, di cui le organizzazioni sindacali </w:t>
      </w:r>
      <w:r w:rsidR="00890C09">
        <w:rPr>
          <w:rFonts w:ascii="Century Gothic" w:hAnsi="Century Gothic"/>
        </w:rPr>
        <w:t>si possono servire</w:t>
      </w:r>
      <w:r>
        <w:rPr>
          <w:rFonts w:ascii="Century Gothic" w:hAnsi="Century Gothic"/>
        </w:rPr>
        <w:t xml:space="preserve"> come </w:t>
      </w:r>
      <w:r w:rsidR="00890C09">
        <w:rPr>
          <w:rFonts w:ascii="Century Gothic" w:hAnsi="Century Gothic"/>
        </w:rPr>
        <w:t>valido</w:t>
      </w:r>
      <w:r>
        <w:rPr>
          <w:rFonts w:ascii="Century Gothic" w:hAnsi="Century Gothic"/>
        </w:rPr>
        <w:t xml:space="preserve"> strumento </w:t>
      </w:r>
      <w:r w:rsidR="00890C09">
        <w:rPr>
          <w:rFonts w:ascii="Century Gothic" w:hAnsi="Century Gothic"/>
        </w:rPr>
        <w:t>per il processo</w:t>
      </w:r>
      <w:r>
        <w:rPr>
          <w:rFonts w:ascii="Century Gothic" w:hAnsi="Century Gothic"/>
        </w:rPr>
        <w:t xml:space="preserve"> negoziale. </w:t>
      </w:r>
      <w:r w:rsidR="00890C09">
        <w:rPr>
          <w:rFonts w:ascii="Century Gothic" w:hAnsi="Century Gothic"/>
        </w:rPr>
        <w:t>Con il termine</w:t>
      </w:r>
      <w:r w:rsidR="001B050C">
        <w:rPr>
          <w:rFonts w:ascii="Century Gothic" w:hAnsi="Century Gothic"/>
        </w:rPr>
        <w:t xml:space="preserve"> intese regionali </w:t>
      </w:r>
      <w:r w:rsidR="00890C09">
        <w:rPr>
          <w:rFonts w:ascii="Century Gothic" w:hAnsi="Century Gothic"/>
        </w:rPr>
        <w:t>si indicano</w:t>
      </w:r>
      <w:r w:rsidR="001B050C">
        <w:rPr>
          <w:rFonts w:ascii="Century Gothic" w:hAnsi="Century Gothic"/>
        </w:rPr>
        <w:t xml:space="preserve"> sia gli </w:t>
      </w:r>
      <w:r w:rsidR="00103EC9">
        <w:rPr>
          <w:rFonts w:ascii="Century Gothic" w:hAnsi="Century Gothic"/>
        </w:rPr>
        <w:t xml:space="preserve">i protocolli </w:t>
      </w:r>
      <w:r w:rsidR="001B050C">
        <w:rPr>
          <w:rFonts w:ascii="Century Gothic" w:hAnsi="Century Gothic"/>
        </w:rPr>
        <w:t xml:space="preserve">siglati con la Regione, sia </w:t>
      </w:r>
      <w:r w:rsidR="00103EC9">
        <w:rPr>
          <w:rFonts w:ascii="Century Gothic" w:hAnsi="Century Gothic"/>
        </w:rPr>
        <w:t xml:space="preserve">quelli </w:t>
      </w:r>
      <w:r w:rsidR="001B050C">
        <w:rPr>
          <w:rFonts w:ascii="Century Gothic" w:hAnsi="Century Gothic"/>
        </w:rPr>
        <w:t xml:space="preserve">siglati con </w:t>
      </w:r>
      <w:r w:rsidR="00103EC9">
        <w:rPr>
          <w:rFonts w:ascii="Century Gothic" w:hAnsi="Century Gothic"/>
        </w:rPr>
        <w:t>associaz</w:t>
      </w:r>
      <w:r w:rsidR="000430E2">
        <w:rPr>
          <w:rFonts w:ascii="Century Gothic" w:hAnsi="Century Gothic"/>
        </w:rPr>
        <w:t xml:space="preserve">ioni che raggruppano enti locali, come ad esempio l’ANCI, </w:t>
      </w:r>
      <w:r w:rsidR="00103EC9">
        <w:rPr>
          <w:rFonts w:ascii="Century Gothic" w:hAnsi="Century Gothic"/>
        </w:rPr>
        <w:t xml:space="preserve">nel loro livello regionale. </w:t>
      </w:r>
    </w:p>
    <w:p w:rsidR="003E132D" w:rsidRDefault="00D24996" w:rsidP="00D24996">
      <w:pPr>
        <w:jc w:val="both"/>
        <w:rPr>
          <w:rFonts w:ascii="Century Gothic" w:hAnsi="Century Gothic"/>
        </w:rPr>
      </w:pPr>
      <w:r>
        <w:rPr>
          <w:rFonts w:ascii="Century Gothic" w:hAnsi="Century Gothic"/>
        </w:rPr>
        <w:t xml:space="preserve">Passiamo a esaminare i dati statistici sul livello dell’accordo corredandoli di un commento sui principali contenuti delle intese. </w:t>
      </w:r>
      <w:r w:rsidRPr="00352CA8">
        <w:rPr>
          <w:rFonts w:ascii="Century Gothic" w:hAnsi="Century Gothic"/>
        </w:rPr>
        <w:t xml:space="preserve">La quota degli accordi regionali </w:t>
      </w:r>
      <w:r w:rsidR="0031617F">
        <w:rPr>
          <w:rFonts w:ascii="Century Gothic" w:hAnsi="Century Gothic"/>
        </w:rPr>
        <w:t>diminuisce passando dall’8,6% al 4,2%</w:t>
      </w:r>
      <w:r w:rsidRPr="00352CA8">
        <w:rPr>
          <w:rFonts w:ascii="Century Gothic" w:hAnsi="Century Gothic"/>
        </w:rPr>
        <w:t xml:space="preserve">. </w:t>
      </w:r>
      <w:r w:rsidR="007F58DA">
        <w:rPr>
          <w:rFonts w:ascii="Century Gothic" w:hAnsi="Century Gothic"/>
        </w:rPr>
        <w:t>Anche n</w:t>
      </w:r>
      <w:r w:rsidR="008313AB">
        <w:rPr>
          <w:rFonts w:ascii="Century Gothic" w:hAnsi="Century Gothic"/>
        </w:rPr>
        <w:t>el</w:t>
      </w:r>
      <w:r w:rsidR="0031617F">
        <w:rPr>
          <w:rFonts w:ascii="Century Gothic" w:hAnsi="Century Gothic"/>
        </w:rPr>
        <w:t xml:space="preserve"> 2015</w:t>
      </w:r>
      <w:r w:rsidR="007F58DA">
        <w:rPr>
          <w:rFonts w:ascii="Century Gothic" w:hAnsi="Century Gothic"/>
        </w:rPr>
        <w:t xml:space="preserve"> </w:t>
      </w:r>
      <w:r w:rsidR="0031617F">
        <w:rPr>
          <w:rFonts w:ascii="Century Gothic" w:hAnsi="Century Gothic"/>
        </w:rPr>
        <w:t xml:space="preserve">viene sottoscritto </w:t>
      </w:r>
      <w:r w:rsidR="008313AB">
        <w:rPr>
          <w:rFonts w:ascii="Century Gothic" w:hAnsi="Century Gothic"/>
        </w:rPr>
        <w:t xml:space="preserve">dalle confederazioni regionali </w:t>
      </w:r>
      <w:r w:rsidR="0031617F">
        <w:rPr>
          <w:rFonts w:ascii="Century Gothic" w:hAnsi="Century Gothic"/>
        </w:rPr>
        <w:t xml:space="preserve">un </w:t>
      </w:r>
      <w:r w:rsidR="008313AB">
        <w:rPr>
          <w:rFonts w:ascii="Century Gothic" w:hAnsi="Century Gothic"/>
        </w:rPr>
        <w:t>protocollo di intesa con l’ANCI Toscana, che è simile nei contenuti a quello stipulato nel 2014</w:t>
      </w:r>
      <w:r w:rsidR="00890C09">
        <w:rPr>
          <w:rFonts w:ascii="Century Gothic" w:hAnsi="Century Gothic"/>
        </w:rPr>
        <w:t>,</w:t>
      </w:r>
      <w:r w:rsidR="008313AB">
        <w:rPr>
          <w:rFonts w:ascii="Century Gothic" w:hAnsi="Century Gothic"/>
        </w:rPr>
        <w:t xml:space="preserve"> anche se redatto in forma leggermente più sintetica. Vengono, infatti, in primo luogo richiamati </w:t>
      </w:r>
      <w:r w:rsidR="003E132D">
        <w:rPr>
          <w:rFonts w:ascii="Century Gothic" w:hAnsi="Century Gothic"/>
        </w:rPr>
        <w:t xml:space="preserve"> </w:t>
      </w:r>
      <w:r w:rsidR="008313AB">
        <w:rPr>
          <w:rFonts w:ascii="Century Gothic" w:hAnsi="Century Gothic"/>
        </w:rPr>
        <w:t xml:space="preserve">i precedenti accordi in materia di relazioni tra le parti contraenti e </w:t>
      </w:r>
      <w:r w:rsidR="007F58DA">
        <w:rPr>
          <w:rFonts w:ascii="Century Gothic" w:hAnsi="Century Gothic"/>
        </w:rPr>
        <w:t>di</w:t>
      </w:r>
      <w:r w:rsidR="008313AB">
        <w:rPr>
          <w:rFonts w:ascii="Century Gothic" w:hAnsi="Century Gothic"/>
        </w:rPr>
        <w:t xml:space="preserve"> iniziative relative alle leggi finanziarie annuali</w:t>
      </w:r>
      <w:r w:rsidR="007F58DA">
        <w:rPr>
          <w:rFonts w:ascii="Century Gothic" w:hAnsi="Century Gothic"/>
        </w:rPr>
        <w:t xml:space="preserve">. Nell’intesa sono ricordati sia </w:t>
      </w:r>
      <w:r>
        <w:rPr>
          <w:rFonts w:ascii="Century Gothic" w:hAnsi="Century Gothic"/>
        </w:rPr>
        <w:t>i principi e i criteri ai quali si deve isp</w:t>
      </w:r>
      <w:r w:rsidR="007F58DA">
        <w:rPr>
          <w:rFonts w:ascii="Century Gothic" w:hAnsi="Century Gothic"/>
        </w:rPr>
        <w:t>irare la contrattazione sociale</w:t>
      </w:r>
      <w:r w:rsidR="003E132D">
        <w:rPr>
          <w:rFonts w:ascii="Century Gothic" w:hAnsi="Century Gothic"/>
        </w:rPr>
        <w:t xml:space="preserve"> (</w:t>
      </w:r>
      <w:r>
        <w:rPr>
          <w:rFonts w:ascii="Century Gothic" w:hAnsi="Century Gothic"/>
        </w:rPr>
        <w:t xml:space="preserve">metodo concertativo </w:t>
      </w:r>
      <w:r w:rsidR="003E132D">
        <w:rPr>
          <w:rFonts w:ascii="Century Gothic" w:hAnsi="Century Gothic"/>
        </w:rPr>
        <w:t>e</w:t>
      </w:r>
      <w:r>
        <w:rPr>
          <w:rFonts w:ascii="Century Gothic" w:hAnsi="Century Gothic"/>
        </w:rPr>
        <w:t xml:space="preserve"> tutela del welfare locale</w:t>
      </w:r>
      <w:r w:rsidR="003E132D">
        <w:rPr>
          <w:rFonts w:ascii="Century Gothic" w:hAnsi="Century Gothic"/>
        </w:rPr>
        <w:t xml:space="preserve">) </w:t>
      </w:r>
      <w:r>
        <w:rPr>
          <w:rFonts w:ascii="Century Gothic" w:hAnsi="Century Gothic"/>
        </w:rPr>
        <w:t xml:space="preserve">sia </w:t>
      </w:r>
      <w:r w:rsidR="007F58DA">
        <w:rPr>
          <w:rFonts w:ascii="Century Gothic" w:hAnsi="Century Gothic"/>
        </w:rPr>
        <w:t>i principali ambiti di attuazione</w:t>
      </w:r>
      <w:r w:rsidR="003E132D">
        <w:rPr>
          <w:rFonts w:ascii="Century Gothic" w:hAnsi="Century Gothic"/>
        </w:rPr>
        <w:t xml:space="preserve">: </w:t>
      </w:r>
      <w:r>
        <w:rPr>
          <w:rFonts w:ascii="Century Gothic" w:hAnsi="Century Gothic"/>
        </w:rPr>
        <w:t>politiche fiscali e lotta all’evasione, politiche abitative, organizzazione della pubblica amministrazione, gestione degli appalti, interve</w:t>
      </w:r>
      <w:r w:rsidR="003E132D">
        <w:rPr>
          <w:rFonts w:ascii="Century Gothic" w:hAnsi="Century Gothic"/>
        </w:rPr>
        <w:t>nti per la non-autosufficienza</w:t>
      </w:r>
      <w:r w:rsidR="00890C09">
        <w:rPr>
          <w:rFonts w:ascii="Century Gothic" w:hAnsi="Century Gothic"/>
        </w:rPr>
        <w:t>,</w:t>
      </w:r>
      <w:r w:rsidR="003E132D" w:rsidRPr="003E132D">
        <w:rPr>
          <w:rFonts w:ascii="Century Gothic" w:hAnsi="Century Gothic"/>
        </w:rPr>
        <w:t xml:space="preserve"> </w:t>
      </w:r>
      <w:r w:rsidR="003E132D">
        <w:rPr>
          <w:rFonts w:ascii="Century Gothic" w:hAnsi="Century Gothic"/>
        </w:rPr>
        <w:t xml:space="preserve">misure di </w:t>
      </w:r>
      <w:r w:rsidR="003E132D" w:rsidRPr="00B0545F">
        <w:rPr>
          <w:rFonts w:ascii="Century Gothic" w:hAnsi="Century Gothic"/>
        </w:rPr>
        <w:t>sostegno</w:t>
      </w:r>
      <w:r w:rsidR="003E132D">
        <w:rPr>
          <w:rFonts w:ascii="Century Gothic" w:hAnsi="Century Gothic"/>
        </w:rPr>
        <w:t xml:space="preserve"> per lavoratori in cassa integrazione e mobilità. </w:t>
      </w:r>
      <w:r w:rsidR="000008D4">
        <w:rPr>
          <w:rFonts w:ascii="Century Gothic" w:hAnsi="Century Gothic"/>
        </w:rPr>
        <w:t>Da entrambe le parti viene considerato positivamente l’allentamento del Patto di Stabilità, misura che era auspicata nel precedente accordo</w:t>
      </w:r>
      <w:r w:rsidR="00890C09">
        <w:rPr>
          <w:rFonts w:ascii="Century Gothic" w:hAnsi="Century Gothic"/>
        </w:rPr>
        <w:t>,</w:t>
      </w:r>
      <w:r w:rsidR="000008D4">
        <w:rPr>
          <w:rFonts w:ascii="Century Gothic" w:hAnsi="Century Gothic"/>
        </w:rPr>
        <w:t xml:space="preserve"> al fine di liberare risorse per la messa in sicurezza del territorio e degli edifici pubblici, in particolare quelli scolastici. </w:t>
      </w:r>
    </w:p>
    <w:p w:rsidR="000008D4" w:rsidRDefault="000008D4" w:rsidP="00D24996">
      <w:pPr>
        <w:jc w:val="both"/>
        <w:rPr>
          <w:rFonts w:ascii="Century Gothic" w:hAnsi="Century Gothic"/>
        </w:rPr>
      </w:pPr>
      <w:r>
        <w:rPr>
          <w:rFonts w:ascii="Century Gothic" w:hAnsi="Century Gothic"/>
        </w:rPr>
        <w:t>A livello regionale nel 2015 si rilevano altri due accordi e sono relativi all’ambito sanitario</w:t>
      </w:r>
      <w:r w:rsidR="006A4947">
        <w:rPr>
          <w:rFonts w:ascii="Century Gothic" w:hAnsi="Century Gothic"/>
        </w:rPr>
        <w:t>, in particolare uno riguarda il sistema delle relazioni sindacali nel riordino del Servizio Sanitario Regionale e l’altro l’introduzione delle clausole sociali negli appalti sempre del Servizio Sanitario Toscano. S</w:t>
      </w:r>
      <w:r>
        <w:rPr>
          <w:rFonts w:ascii="Century Gothic" w:hAnsi="Century Gothic"/>
        </w:rPr>
        <w:t>i tratta</w:t>
      </w:r>
      <w:r w:rsidR="006A4947">
        <w:rPr>
          <w:rFonts w:ascii="Century Gothic" w:hAnsi="Century Gothic"/>
        </w:rPr>
        <w:t xml:space="preserve">, quindi, </w:t>
      </w:r>
      <w:r>
        <w:rPr>
          <w:rFonts w:ascii="Century Gothic" w:hAnsi="Century Gothic"/>
        </w:rPr>
        <w:t xml:space="preserve"> dei protocolli di intesa approvati </w:t>
      </w:r>
      <w:r w:rsidR="006A4947">
        <w:rPr>
          <w:rFonts w:ascii="Century Gothic" w:hAnsi="Century Gothic"/>
        </w:rPr>
        <w:t xml:space="preserve">dalla Giunta regionale dei quali si è parlato nel paragrafo sulle delibere </w:t>
      </w:r>
    </w:p>
    <w:p w:rsidR="008F4CD6" w:rsidRDefault="00D24996" w:rsidP="00D24996">
      <w:pPr>
        <w:jc w:val="both"/>
        <w:rPr>
          <w:rFonts w:ascii="Century Gothic" w:hAnsi="Century Gothic"/>
        </w:rPr>
      </w:pPr>
      <w:r>
        <w:rPr>
          <w:rFonts w:ascii="Century Gothic" w:hAnsi="Century Gothic"/>
        </w:rPr>
        <w:t xml:space="preserve">Sempre in tema sanitario passiamo ad analizzare gli accordi siglati con le </w:t>
      </w:r>
      <w:r w:rsidRPr="002F602A">
        <w:rPr>
          <w:rFonts w:ascii="Century Gothic" w:hAnsi="Century Gothic"/>
        </w:rPr>
        <w:t>Società della Salute</w:t>
      </w:r>
      <w:r>
        <w:rPr>
          <w:rFonts w:ascii="Century Gothic" w:hAnsi="Century Gothic"/>
        </w:rPr>
        <w:t xml:space="preserve"> e le ASL che subiscono una </w:t>
      </w:r>
      <w:r w:rsidR="00A80452">
        <w:rPr>
          <w:rFonts w:ascii="Century Gothic" w:hAnsi="Century Gothic"/>
        </w:rPr>
        <w:t xml:space="preserve">leggera </w:t>
      </w:r>
      <w:r>
        <w:rPr>
          <w:rFonts w:ascii="Century Gothic" w:hAnsi="Century Gothic"/>
        </w:rPr>
        <w:t xml:space="preserve">diminuzione rispetto </w:t>
      </w:r>
      <w:r w:rsidR="00A80452">
        <w:rPr>
          <w:rFonts w:ascii="Century Gothic" w:hAnsi="Century Gothic"/>
        </w:rPr>
        <w:t>al</w:t>
      </w:r>
      <w:r>
        <w:rPr>
          <w:rFonts w:ascii="Century Gothic" w:hAnsi="Century Gothic"/>
        </w:rPr>
        <w:t xml:space="preserve"> 201</w:t>
      </w:r>
      <w:r w:rsidR="00A80452">
        <w:rPr>
          <w:rFonts w:ascii="Century Gothic" w:hAnsi="Century Gothic"/>
        </w:rPr>
        <w:t>4</w:t>
      </w:r>
      <w:r>
        <w:rPr>
          <w:rFonts w:ascii="Century Gothic" w:hAnsi="Century Gothic"/>
        </w:rPr>
        <w:t xml:space="preserve">, </w:t>
      </w:r>
      <w:r w:rsidR="00A80452">
        <w:rPr>
          <w:rFonts w:ascii="Century Gothic" w:hAnsi="Century Gothic"/>
        </w:rPr>
        <w:t xml:space="preserve">ma si mantengono comunque intorno al 3%. </w:t>
      </w:r>
      <w:r w:rsidR="00E62380">
        <w:rPr>
          <w:rFonts w:ascii="Century Gothic" w:hAnsi="Century Gothic"/>
        </w:rPr>
        <w:t xml:space="preserve">In </w:t>
      </w:r>
      <w:r w:rsidR="00E62380" w:rsidRPr="008B3815">
        <w:rPr>
          <w:rFonts w:ascii="Century Gothic" w:hAnsi="Century Gothic"/>
        </w:rPr>
        <w:t>valori assoluti si tratta di due accordi,</w:t>
      </w:r>
      <w:r w:rsidR="00E62380">
        <w:rPr>
          <w:rFonts w:ascii="Century Gothic" w:hAnsi="Century Gothic"/>
        </w:rPr>
        <w:t xml:space="preserve"> di cui </w:t>
      </w:r>
      <w:r w:rsidR="00BB56D2">
        <w:rPr>
          <w:rFonts w:ascii="Century Gothic" w:hAnsi="Century Gothic"/>
        </w:rPr>
        <w:t xml:space="preserve">uno </w:t>
      </w:r>
      <w:r w:rsidR="00E62380">
        <w:rPr>
          <w:rFonts w:ascii="Century Gothic" w:hAnsi="Century Gothic"/>
        </w:rPr>
        <w:t xml:space="preserve">relativo all’Area Vasta Sud Est e </w:t>
      </w:r>
      <w:r w:rsidR="00BB56D2">
        <w:rPr>
          <w:rFonts w:ascii="Century Gothic" w:hAnsi="Century Gothic"/>
        </w:rPr>
        <w:t xml:space="preserve">l’altro </w:t>
      </w:r>
      <w:r w:rsidR="00E62380">
        <w:rPr>
          <w:rFonts w:ascii="Century Gothic" w:hAnsi="Century Gothic"/>
        </w:rPr>
        <w:t xml:space="preserve">concernente l’ambito più circoscritto dell’ASL 7, che fa comunque parte di questa area. </w:t>
      </w:r>
      <w:r w:rsidR="00BB56D2">
        <w:rPr>
          <w:rFonts w:ascii="Century Gothic" w:hAnsi="Century Gothic"/>
        </w:rPr>
        <w:t xml:space="preserve">Nel primo caso si tratta di un protocollo di relazioni sindacali per la programmazione socio-sanitaria, in cui vengono definiti le regole del confronto, i tempi e le modalità, le materie oggetto di confronto, gli strumenti di </w:t>
      </w:r>
      <w:r w:rsidR="00BB56D2">
        <w:rPr>
          <w:rFonts w:ascii="Century Gothic" w:hAnsi="Century Gothic"/>
        </w:rPr>
        <w:lastRenderedPageBreak/>
        <w:t xml:space="preserve">verifica. A tale protocollo di relazioni si richiama la seconda intesa </w:t>
      </w:r>
      <w:r w:rsidR="008F4CD6">
        <w:rPr>
          <w:rFonts w:ascii="Century Gothic" w:hAnsi="Century Gothic"/>
        </w:rPr>
        <w:t>che definisce le modalità di attivazione e organizzazione delle Società della Salute afferenti all’ASL 7, quindi collocate nella provincia di Siena. La finalità è il mantenimento del livello dei servizi, integrando l’aspetto sociale e quello sanitario</w:t>
      </w:r>
      <w:r w:rsidR="00890C09">
        <w:rPr>
          <w:rFonts w:ascii="Century Gothic" w:hAnsi="Century Gothic"/>
        </w:rPr>
        <w:t>,</w:t>
      </w:r>
      <w:r w:rsidR="008F4CD6">
        <w:rPr>
          <w:rFonts w:ascii="Century Gothic" w:hAnsi="Century Gothic"/>
        </w:rPr>
        <w:t xml:space="preserve"> con una progressiva uniformazione </w:t>
      </w:r>
      <w:r w:rsidR="00890C09">
        <w:rPr>
          <w:rFonts w:ascii="Century Gothic" w:hAnsi="Century Gothic"/>
        </w:rPr>
        <w:t>in modo</w:t>
      </w:r>
      <w:r w:rsidR="008F4CD6">
        <w:rPr>
          <w:rFonts w:ascii="Century Gothic" w:hAnsi="Century Gothic"/>
        </w:rPr>
        <w:t xml:space="preserve"> </w:t>
      </w:r>
      <w:r w:rsidR="00890C09">
        <w:rPr>
          <w:rFonts w:ascii="Century Gothic" w:hAnsi="Century Gothic"/>
        </w:rPr>
        <w:t>da</w:t>
      </w:r>
      <w:r w:rsidR="008F4CD6">
        <w:rPr>
          <w:rFonts w:ascii="Century Gothic" w:hAnsi="Century Gothic"/>
        </w:rPr>
        <w:t xml:space="preserve"> garantire ai cittadini risposte equivalenti e corrispondenti alle necessità.</w:t>
      </w:r>
    </w:p>
    <w:p w:rsidR="00E87781" w:rsidRDefault="00E87781" w:rsidP="00D24996">
      <w:pPr>
        <w:jc w:val="both"/>
        <w:rPr>
          <w:rFonts w:ascii="Century Gothic" w:hAnsi="Century Gothic"/>
        </w:rPr>
      </w:pPr>
      <w:r>
        <w:rPr>
          <w:rFonts w:ascii="Century Gothic" w:hAnsi="Century Gothic"/>
        </w:rPr>
        <w:t xml:space="preserve">Negli accordi intercomunali si registra una crescita di un certo rilievo con il passaggio </w:t>
      </w:r>
      <w:r w:rsidRPr="00F91EC4">
        <w:rPr>
          <w:rFonts w:ascii="Century Gothic" w:hAnsi="Century Gothic"/>
        </w:rPr>
        <w:t>dall’1,7%</w:t>
      </w:r>
      <w:r>
        <w:rPr>
          <w:rFonts w:ascii="Century Gothic" w:hAnsi="Century Gothic"/>
        </w:rPr>
        <w:t xml:space="preserve"> del 201</w:t>
      </w:r>
      <w:r w:rsidR="000F4C7F">
        <w:rPr>
          <w:rFonts w:ascii="Century Gothic" w:hAnsi="Century Gothic"/>
        </w:rPr>
        <w:t>4</w:t>
      </w:r>
      <w:r>
        <w:rPr>
          <w:rFonts w:ascii="Century Gothic" w:hAnsi="Century Gothic"/>
        </w:rPr>
        <w:t xml:space="preserve"> al 5,6% del 2015, valore che, pur lontano dal picco del 15,2% del 2013</w:t>
      </w:r>
      <w:r w:rsidR="00BF46B2">
        <w:rPr>
          <w:rStyle w:val="Rimandonotaapidipagina"/>
          <w:rFonts w:ascii="Century Gothic" w:hAnsi="Century Gothic"/>
        </w:rPr>
        <w:footnoteReference w:id="3"/>
      </w:r>
      <w:r>
        <w:rPr>
          <w:rFonts w:ascii="Century Gothic" w:hAnsi="Century Gothic"/>
        </w:rPr>
        <w:t xml:space="preserve">, si avvicina alle quote del triennio 2009-2011. In maniera prevalente </w:t>
      </w:r>
      <w:r w:rsidR="00890C09">
        <w:rPr>
          <w:rFonts w:ascii="Century Gothic" w:hAnsi="Century Gothic"/>
        </w:rPr>
        <w:t xml:space="preserve">questa tipologia </w:t>
      </w:r>
      <w:r>
        <w:rPr>
          <w:rFonts w:ascii="Century Gothic" w:hAnsi="Century Gothic"/>
        </w:rPr>
        <w:t xml:space="preserve">si colloca nella provincia di Arezzo, dove si rilevano tre accordi afferenti alla piattaforma presentata nel 2014 con validità anche per il 2015, di cui si è parlato </w:t>
      </w:r>
      <w:r w:rsidR="000F4C7F">
        <w:rPr>
          <w:rFonts w:ascii="Century Gothic" w:hAnsi="Century Gothic"/>
        </w:rPr>
        <w:t xml:space="preserve">in precedenza </w:t>
      </w:r>
      <w:r>
        <w:rPr>
          <w:rFonts w:ascii="Century Gothic" w:hAnsi="Century Gothic"/>
        </w:rPr>
        <w:t xml:space="preserve">nel paragrafo </w:t>
      </w:r>
      <w:r w:rsidR="000F4C7F">
        <w:rPr>
          <w:rFonts w:ascii="Century Gothic" w:hAnsi="Century Gothic"/>
        </w:rPr>
        <w:t xml:space="preserve">2.2.. </w:t>
      </w:r>
      <w:r w:rsidR="00890C09">
        <w:rPr>
          <w:rFonts w:ascii="Century Gothic" w:hAnsi="Century Gothic"/>
        </w:rPr>
        <w:t xml:space="preserve">In </w:t>
      </w:r>
      <w:r w:rsidR="00890C09" w:rsidRPr="00890C09">
        <w:rPr>
          <w:rFonts w:ascii="Century Gothic" w:hAnsi="Century Gothic"/>
        </w:rPr>
        <w:t>p</w:t>
      </w:r>
      <w:r w:rsidR="000F4C7F" w:rsidRPr="00890C09">
        <w:rPr>
          <w:rFonts w:ascii="Century Gothic" w:hAnsi="Century Gothic"/>
        </w:rPr>
        <w:t xml:space="preserve">rovincia </w:t>
      </w:r>
      <w:r w:rsidR="00890C09" w:rsidRPr="00890C09">
        <w:rPr>
          <w:rFonts w:ascii="Century Gothic" w:hAnsi="Century Gothic"/>
        </w:rPr>
        <w:t xml:space="preserve">di </w:t>
      </w:r>
      <w:r w:rsidR="000F4C7F" w:rsidRPr="00890C09">
        <w:rPr>
          <w:rFonts w:ascii="Century Gothic" w:hAnsi="Century Gothic"/>
        </w:rPr>
        <w:t xml:space="preserve">Lucca </w:t>
      </w:r>
      <w:r w:rsidR="00890C09">
        <w:rPr>
          <w:rFonts w:ascii="Century Gothic" w:hAnsi="Century Gothic"/>
        </w:rPr>
        <w:t>sono segnalati due accordi di questo livello, di cui uno relativo all’Unione dei comuni della Media Valle del Serchio e l’altro all’Unione comuni Garfagnana, anche se di quest’ultim</w:t>
      </w:r>
      <w:r w:rsidR="00AC08DE">
        <w:rPr>
          <w:rFonts w:ascii="Century Gothic" w:hAnsi="Century Gothic"/>
        </w:rPr>
        <w:t>a</w:t>
      </w:r>
      <w:r w:rsidR="00890C09">
        <w:rPr>
          <w:rFonts w:ascii="Century Gothic" w:hAnsi="Century Gothic"/>
        </w:rPr>
        <w:t xml:space="preserve"> </w:t>
      </w:r>
      <w:r w:rsidR="00AC08DE">
        <w:rPr>
          <w:rFonts w:ascii="Century Gothic" w:hAnsi="Century Gothic"/>
        </w:rPr>
        <w:t>intesa</w:t>
      </w:r>
      <w:r w:rsidR="00890C09">
        <w:rPr>
          <w:rFonts w:ascii="Century Gothic" w:hAnsi="Century Gothic"/>
        </w:rPr>
        <w:t xml:space="preserve"> non è stato po</w:t>
      </w:r>
      <w:r w:rsidR="00AC08DE">
        <w:rPr>
          <w:rFonts w:ascii="Century Gothic" w:hAnsi="Century Gothic"/>
        </w:rPr>
        <w:t xml:space="preserve">ssibile reperire il documento. In provincia di </w:t>
      </w:r>
      <w:r w:rsidR="000F4C7F" w:rsidRPr="00AC08DE">
        <w:rPr>
          <w:rFonts w:ascii="Century Gothic" w:hAnsi="Century Gothic"/>
        </w:rPr>
        <w:t>Firenze</w:t>
      </w:r>
      <w:r w:rsidR="00AC08DE">
        <w:rPr>
          <w:rFonts w:ascii="Century Gothic" w:hAnsi="Century Gothic"/>
        </w:rPr>
        <w:t xml:space="preserve"> si rileva un accordo che interessa due amministrazioni </w:t>
      </w:r>
      <w:r w:rsidR="00AC08DE" w:rsidRPr="00F91EC4">
        <w:rPr>
          <w:rFonts w:ascii="Century Gothic" w:hAnsi="Century Gothic"/>
        </w:rPr>
        <w:t>del Chianti Fiorentino</w:t>
      </w:r>
      <w:r w:rsidR="00AC08DE">
        <w:rPr>
          <w:rFonts w:ascii="Century Gothic" w:hAnsi="Century Gothic"/>
        </w:rPr>
        <w:t xml:space="preserve"> (Barberino Val d’Elsa e Tavarnelle Val di Pesa) in vista di una futura fusione dei due comuni.</w:t>
      </w:r>
    </w:p>
    <w:p w:rsidR="00D24996" w:rsidRDefault="00230139" w:rsidP="00D24996">
      <w:pPr>
        <w:jc w:val="both"/>
        <w:rPr>
          <w:rFonts w:ascii="Century Gothic" w:hAnsi="Century Gothic"/>
        </w:rPr>
      </w:pPr>
      <w:r w:rsidRPr="00230139">
        <w:rPr>
          <w:rFonts w:ascii="Century Gothic" w:hAnsi="Century Gothic"/>
        </w:rPr>
        <w:t>Dal 2014 n</w:t>
      </w:r>
      <w:r w:rsidR="00D24996" w:rsidRPr="00230139">
        <w:rPr>
          <w:rFonts w:ascii="Century Gothic" w:hAnsi="Century Gothic"/>
        </w:rPr>
        <w:t xml:space="preserve">on si rilevano accordi di livello provinciale, </w:t>
      </w:r>
      <w:r w:rsidRPr="00F91EC4">
        <w:rPr>
          <w:rFonts w:ascii="Century Gothic" w:hAnsi="Century Gothic"/>
        </w:rPr>
        <w:t>dato il progressivo riordino degli enti locali con l’eliminazione di questo livello.</w:t>
      </w:r>
    </w:p>
    <w:p w:rsidR="00D24996" w:rsidRDefault="000F4C7F" w:rsidP="00D24996">
      <w:pPr>
        <w:jc w:val="both"/>
        <w:rPr>
          <w:rFonts w:ascii="Century Gothic" w:hAnsi="Century Gothic"/>
        </w:rPr>
      </w:pPr>
      <w:r>
        <w:rPr>
          <w:rFonts w:ascii="Century Gothic" w:hAnsi="Century Gothic"/>
        </w:rPr>
        <w:t xml:space="preserve">L’accordo tradizionale </w:t>
      </w:r>
      <w:r w:rsidR="00D24996">
        <w:rPr>
          <w:rFonts w:ascii="Century Gothic" w:hAnsi="Century Gothic"/>
        </w:rPr>
        <w:t xml:space="preserve">di tipo comunale </w:t>
      </w:r>
      <w:r>
        <w:rPr>
          <w:rFonts w:ascii="Century Gothic" w:hAnsi="Century Gothic"/>
        </w:rPr>
        <w:t xml:space="preserve">si mantiene sui livelli del 2014, </w:t>
      </w:r>
      <w:r w:rsidR="00D24996">
        <w:rPr>
          <w:rFonts w:ascii="Century Gothic" w:hAnsi="Century Gothic"/>
        </w:rPr>
        <w:t>registra</w:t>
      </w:r>
      <w:r>
        <w:rPr>
          <w:rFonts w:ascii="Century Gothic" w:hAnsi="Century Gothic"/>
        </w:rPr>
        <w:t>ndo</w:t>
      </w:r>
      <w:r w:rsidR="00D24996">
        <w:rPr>
          <w:rFonts w:ascii="Century Gothic" w:hAnsi="Century Gothic"/>
        </w:rPr>
        <w:t xml:space="preserve"> un </w:t>
      </w:r>
      <w:r>
        <w:rPr>
          <w:rFonts w:ascii="Century Gothic" w:hAnsi="Century Gothic"/>
        </w:rPr>
        <w:t>leggero aumento, e in linea con i valori</w:t>
      </w:r>
      <w:r w:rsidR="00D24996">
        <w:rPr>
          <w:rFonts w:ascii="Century Gothic" w:hAnsi="Century Gothic"/>
        </w:rPr>
        <w:t xml:space="preserve"> del triennio 2009-2011. </w:t>
      </w:r>
      <w:r>
        <w:rPr>
          <w:rFonts w:ascii="Century Gothic" w:hAnsi="Century Gothic"/>
        </w:rPr>
        <w:t xml:space="preserve">Soltanto nel biennio 2012-2013 </w:t>
      </w:r>
      <w:r w:rsidR="0037320A">
        <w:rPr>
          <w:rFonts w:ascii="Century Gothic" w:hAnsi="Century Gothic"/>
        </w:rPr>
        <w:t>si erano verificati</w:t>
      </w:r>
      <w:r>
        <w:rPr>
          <w:rFonts w:ascii="Century Gothic" w:hAnsi="Century Gothic"/>
        </w:rPr>
        <w:t xml:space="preserve"> valori inferiori all’80%, nel 2013 anche al 70%</w:t>
      </w:r>
      <w:r w:rsidR="0037320A">
        <w:rPr>
          <w:rFonts w:ascii="Century Gothic" w:hAnsi="Century Gothic"/>
        </w:rPr>
        <w:t xml:space="preserve">, per la rilevante presenza di accordi intercomunali. </w:t>
      </w:r>
      <w:r w:rsidR="00D24996">
        <w:rPr>
          <w:rFonts w:ascii="Century Gothic" w:hAnsi="Century Gothic"/>
        </w:rPr>
        <w:t>Le caratteristiche e i contenuti degli accordi comunali verranno trattati in maniera approfondita nei capitoli 3 e 4.</w:t>
      </w:r>
    </w:p>
    <w:p w:rsidR="00F94C52" w:rsidRDefault="00F94C52" w:rsidP="00462B52">
      <w:pPr>
        <w:jc w:val="both"/>
        <w:rPr>
          <w:rFonts w:ascii="Century Gothic" w:hAnsi="Century Gothic"/>
        </w:rPr>
      </w:pPr>
    </w:p>
    <w:p w:rsidR="00EA7A0D" w:rsidRDefault="00916AC1" w:rsidP="00462B52">
      <w:pPr>
        <w:jc w:val="both"/>
        <w:rPr>
          <w:rFonts w:ascii="Century Gothic" w:hAnsi="Century Gothic"/>
        </w:rPr>
      </w:pPr>
      <w:r w:rsidRPr="002D230E">
        <w:rPr>
          <w:rFonts w:ascii="Century Gothic" w:hAnsi="Century Gothic"/>
          <w:b/>
        </w:rPr>
        <w:t xml:space="preserve"> </w:t>
      </w:r>
      <w:r w:rsidR="00715247">
        <w:rPr>
          <w:rFonts w:ascii="Century Gothic" w:hAnsi="Century Gothic"/>
          <w:b/>
        </w:rPr>
        <w:t>2</w:t>
      </w:r>
      <w:r w:rsidR="00EA7A0D" w:rsidRPr="002D230E">
        <w:rPr>
          <w:rFonts w:ascii="Century Gothic" w:hAnsi="Century Gothic"/>
          <w:b/>
        </w:rPr>
        <w:t>.</w:t>
      </w:r>
      <w:r w:rsidR="0090759C">
        <w:rPr>
          <w:rFonts w:ascii="Century Gothic" w:hAnsi="Century Gothic"/>
          <w:b/>
        </w:rPr>
        <w:t>4</w:t>
      </w:r>
      <w:r w:rsidR="00EA7A0D" w:rsidRPr="002D230E">
        <w:rPr>
          <w:rFonts w:ascii="Century Gothic" w:hAnsi="Century Gothic"/>
          <w:b/>
        </w:rPr>
        <w:t xml:space="preserve">. La delegazione trattante e </w:t>
      </w:r>
      <w:r w:rsidR="00EA7A0D" w:rsidRPr="002D3388">
        <w:rPr>
          <w:rFonts w:ascii="Century Gothic" w:hAnsi="Century Gothic"/>
          <w:b/>
        </w:rPr>
        <w:t>i firmatari</w:t>
      </w:r>
      <w:r w:rsidR="00F91EC4">
        <w:rPr>
          <w:rFonts w:ascii="Century Gothic" w:hAnsi="Century Gothic"/>
        </w:rPr>
        <w:t xml:space="preserve"> </w:t>
      </w:r>
    </w:p>
    <w:p w:rsidR="00F91EC4" w:rsidRDefault="00F91EC4" w:rsidP="00462B52">
      <w:pPr>
        <w:jc w:val="both"/>
        <w:rPr>
          <w:rFonts w:ascii="Century Gothic" w:hAnsi="Century Gothic"/>
        </w:rPr>
      </w:pPr>
    </w:p>
    <w:p w:rsidR="00EA7A0D" w:rsidRDefault="00DB43F8" w:rsidP="00462B52">
      <w:pPr>
        <w:jc w:val="both"/>
        <w:rPr>
          <w:rFonts w:ascii="Century Gothic" w:hAnsi="Century Gothic"/>
        </w:rPr>
      </w:pPr>
      <w:r>
        <w:rPr>
          <w:rFonts w:ascii="Century Gothic" w:hAnsi="Century Gothic"/>
        </w:rPr>
        <w:t>Esaminiamo in questo paragrafo i componenti della delegazione che negozia e sigla gli accordi comunali e intercomunali, che, come precedentemente ri</w:t>
      </w:r>
      <w:r w:rsidR="00250B76">
        <w:rPr>
          <w:rFonts w:ascii="Century Gothic" w:hAnsi="Century Gothic"/>
        </w:rPr>
        <w:t>scontrato</w:t>
      </w:r>
      <w:r>
        <w:rPr>
          <w:rFonts w:ascii="Century Gothic" w:hAnsi="Century Gothic"/>
        </w:rPr>
        <w:t xml:space="preserve">, costituiscono la parte </w:t>
      </w:r>
      <w:r w:rsidRPr="002F602A">
        <w:rPr>
          <w:rFonts w:ascii="Century Gothic" w:hAnsi="Century Gothic"/>
        </w:rPr>
        <w:t>più rilevante</w:t>
      </w:r>
      <w:r>
        <w:rPr>
          <w:rFonts w:ascii="Century Gothic" w:hAnsi="Century Gothic"/>
        </w:rPr>
        <w:t xml:space="preserve"> della contrattazione sociale. L</w:t>
      </w:r>
      <w:r w:rsidR="00EA7A0D" w:rsidRPr="002D230E">
        <w:rPr>
          <w:rFonts w:ascii="Century Gothic" w:hAnsi="Century Gothic"/>
        </w:rPr>
        <w:t>a delegazione trattante è</w:t>
      </w:r>
      <w:r w:rsidR="00EA7A0D">
        <w:rPr>
          <w:rFonts w:ascii="Century Gothic" w:hAnsi="Century Gothic"/>
        </w:rPr>
        <w:t>, in genere,</w:t>
      </w:r>
      <w:r w:rsidR="00EA7A0D" w:rsidRPr="002D230E">
        <w:rPr>
          <w:rFonts w:ascii="Century Gothic" w:hAnsi="Century Gothic"/>
        </w:rPr>
        <w:t xml:space="preserve"> composta</w:t>
      </w:r>
      <w:r w:rsidR="00EA7A0D">
        <w:rPr>
          <w:rFonts w:ascii="Century Gothic" w:hAnsi="Century Gothic"/>
        </w:rPr>
        <w:t xml:space="preserve"> </w:t>
      </w:r>
      <w:r w:rsidR="00EA7A0D" w:rsidRPr="002D230E">
        <w:rPr>
          <w:rFonts w:ascii="Century Gothic" w:hAnsi="Century Gothic"/>
        </w:rPr>
        <w:t xml:space="preserve">dai </w:t>
      </w:r>
      <w:r w:rsidR="00EA7A0D" w:rsidRPr="00D8083C">
        <w:rPr>
          <w:rFonts w:ascii="Century Gothic" w:hAnsi="Century Gothic"/>
        </w:rPr>
        <w:t>Sindacati Confederali, dai segretari provinciali e dalle Leghe dei Pensionati</w:t>
      </w:r>
      <w:r w:rsidR="00EA7A0D" w:rsidRPr="002D230E">
        <w:rPr>
          <w:rFonts w:ascii="Century Gothic" w:hAnsi="Century Gothic"/>
        </w:rPr>
        <w:t>, che si presentano quasi sempre in modo unitario.</w:t>
      </w:r>
      <w:r w:rsidR="00EA7A0D">
        <w:rPr>
          <w:rFonts w:ascii="Century Gothic" w:hAnsi="Century Gothic"/>
        </w:rPr>
        <w:t xml:space="preserve"> </w:t>
      </w:r>
    </w:p>
    <w:p w:rsidR="00EA7A0D" w:rsidRDefault="00EA7A0D" w:rsidP="00462B52">
      <w:pPr>
        <w:jc w:val="both"/>
        <w:rPr>
          <w:rFonts w:ascii="Century Gothic" w:hAnsi="Century Gothic"/>
        </w:rPr>
      </w:pPr>
    </w:p>
    <w:p w:rsidR="00EA7A0D" w:rsidRDefault="00EA7A0D" w:rsidP="00EA7A0D">
      <w:pPr>
        <w:rPr>
          <w:rFonts w:ascii="Century Gothic" w:hAnsi="Century Gothic"/>
          <w:b/>
          <w:bCs/>
          <w:iCs/>
        </w:rPr>
      </w:pPr>
      <w:r w:rsidRPr="0035601B">
        <w:rPr>
          <w:rFonts w:ascii="Century Gothic" w:hAnsi="Century Gothic"/>
          <w:b/>
          <w:bCs/>
          <w:iCs/>
        </w:rPr>
        <w:t xml:space="preserve">Tab. n. </w:t>
      </w:r>
      <w:r w:rsidR="002D304A">
        <w:rPr>
          <w:rFonts w:ascii="Century Gothic" w:hAnsi="Century Gothic"/>
          <w:b/>
          <w:bCs/>
          <w:iCs/>
        </w:rPr>
        <w:t>2</w:t>
      </w:r>
      <w:r w:rsidRPr="0035601B">
        <w:rPr>
          <w:rFonts w:ascii="Century Gothic" w:hAnsi="Century Gothic"/>
          <w:b/>
          <w:bCs/>
          <w:iCs/>
        </w:rPr>
        <w:t xml:space="preserve"> - I firmatari della contrattazione sociale in Toscana in %</w:t>
      </w:r>
    </w:p>
    <w:p w:rsidR="000430E2" w:rsidRDefault="000430E2">
      <w:pPr>
        <w:rPr>
          <w:rFonts w:ascii="Century Gothic" w:hAnsi="Century Gothic"/>
        </w:rPr>
      </w:pPr>
    </w:p>
    <w:tbl>
      <w:tblPr>
        <w:tblW w:w="6761" w:type="dxa"/>
        <w:tblInd w:w="57" w:type="dxa"/>
        <w:tblCellMar>
          <w:left w:w="70" w:type="dxa"/>
          <w:right w:w="70" w:type="dxa"/>
        </w:tblCellMar>
        <w:tblLook w:val="04A0" w:firstRow="1" w:lastRow="0" w:firstColumn="1" w:lastColumn="0" w:noHBand="0" w:noVBand="1"/>
      </w:tblPr>
      <w:tblGrid>
        <w:gridCol w:w="960"/>
        <w:gridCol w:w="1701"/>
        <w:gridCol w:w="1460"/>
        <w:gridCol w:w="1280"/>
        <w:gridCol w:w="1360"/>
      </w:tblGrid>
      <w:tr w:rsidR="000D1168" w:rsidRPr="000D1168" w:rsidTr="007518E8">
        <w:trPr>
          <w:trHeight w:val="300"/>
        </w:trPr>
        <w:tc>
          <w:tcPr>
            <w:tcW w:w="960" w:type="dxa"/>
            <w:vMerge w:val="restart"/>
            <w:tcBorders>
              <w:top w:val="single" w:sz="8" w:space="0" w:color="C0504D"/>
              <w:left w:val="single" w:sz="8" w:space="0" w:color="C0504D"/>
              <w:bottom w:val="single" w:sz="8" w:space="0" w:color="C0504D"/>
              <w:right w:val="nil"/>
            </w:tcBorders>
            <w:shd w:val="clear" w:color="000000" w:fill="C0504D"/>
            <w:noWrap/>
            <w:vAlign w:val="center"/>
            <w:hideMark/>
          </w:tcPr>
          <w:p w:rsidR="000D1168" w:rsidRPr="000D1168" w:rsidRDefault="000D1168" w:rsidP="000D1168">
            <w:pPr>
              <w:spacing w:line="240" w:lineRule="auto"/>
              <w:rPr>
                <w:rFonts w:ascii="Century Gothic" w:hAnsi="Century Gothic"/>
                <w:b/>
                <w:bCs/>
                <w:color w:val="000000"/>
                <w:sz w:val="20"/>
                <w:szCs w:val="20"/>
                <w:lang w:eastAsia="it-IT"/>
              </w:rPr>
            </w:pPr>
            <w:r w:rsidRPr="000D1168">
              <w:rPr>
                <w:rFonts w:ascii="Century Gothic" w:hAnsi="Century Gothic"/>
                <w:b/>
                <w:bCs/>
                <w:color w:val="000000"/>
                <w:sz w:val="20"/>
                <w:szCs w:val="20"/>
                <w:lang w:eastAsia="it-IT"/>
              </w:rPr>
              <w:t> </w:t>
            </w:r>
          </w:p>
        </w:tc>
        <w:tc>
          <w:tcPr>
            <w:tcW w:w="1701" w:type="dxa"/>
            <w:tcBorders>
              <w:top w:val="single" w:sz="8" w:space="0" w:color="C0504D"/>
              <w:left w:val="nil"/>
              <w:bottom w:val="nil"/>
              <w:right w:val="nil"/>
            </w:tcBorders>
            <w:shd w:val="clear" w:color="000000" w:fill="C0504D"/>
            <w:noWrap/>
            <w:vAlign w:val="center"/>
            <w:hideMark/>
          </w:tcPr>
          <w:p w:rsidR="000D1168" w:rsidRPr="000D1168" w:rsidRDefault="000D1168" w:rsidP="000D1168">
            <w:pPr>
              <w:spacing w:line="240" w:lineRule="auto"/>
              <w:rPr>
                <w:rFonts w:ascii="Century Gothic" w:hAnsi="Century Gothic"/>
                <w:b/>
                <w:bCs/>
                <w:color w:val="000000"/>
                <w:sz w:val="20"/>
                <w:szCs w:val="20"/>
                <w:lang w:eastAsia="it-IT"/>
              </w:rPr>
            </w:pPr>
            <w:r w:rsidRPr="000D1168">
              <w:rPr>
                <w:rFonts w:ascii="Century Gothic" w:hAnsi="Century Gothic"/>
                <w:b/>
                <w:bCs/>
                <w:color w:val="000000"/>
                <w:sz w:val="20"/>
                <w:szCs w:val="20"/>
                <w:lang w:eastAsia="it-IT"/>
              </w:rPr>
              <w:t>Confederazione</w:t>
            </w:r>
          </w:p>
        </w:tc>
        <w:tc>
          <w:tcPr>
            <w:tcW w:w="1460" w:type="dxa"/>
            <w:tcBorders>
              <w:top w:val="single" w:sz="8" w:space="0" w:color="C0504D"/>
              <w:left w:val="nil"/>
              <w:bottom w:val="nil"/>
              <w:right w:val="nil"/>
            </w:tcBorders>
            <w:shd w:val="clear" w:color="000000" w:fill="C0504D"/>
            <w:noWrap/>
            <w:vAlign w:val="center"/>
            <w:hideMark/>
          </w:tcPr>
          <w:p w:rsidR="000D1168" w:rsidRPr="000D1168" w:rsidRDefault="000D1168" w:rsidP="000D1168">
            <w:pPr>
              <w:spacing w:line="240" w:lineRule="auto"/>
              <w:rPr>
                <w:rFonts w:ascii="Century Gothic" w:hAnsi="Century Gothic"/>
                <w:b/>
                <w:bCs/>
                <w:color w:val="000000"/>
                <w:sz w:val="20"/>
                <w:szCs w:val="20"/>
                <w:lang w:eastAsia="it-IT"/>
              </w:rPr>
            </w:pPr>
            <w:r w:rsidRPr="000D1168">
              <w:rPr>
                <w:rFonts w:ascii="Century Gothic" w:hAnsi="Century Gothic"/>
                <w:b/>
                <w:bCs/>
                <w:color w:val="000000"/>
                <w:sz w:val="20"/>
                <w:szCs w:val="20"/>
                <w:lang w:eastAsia="it-IT"/>
              </w:rPr>
              <w:t>Pensionati</w:t>
            </w:r>
          </w:p>
        </w:tc>
        <w:tc>
          <w:tcPr>
            <w:tcW w:w="1280" w:type="dxa"/>
            <w:vMerge w:val="restart"/>
            <w:tcBorders>
              <w:top w:val="single" w:sz="8" w:space="0" w:color="C0504D"/>
              <w:left w:val="nil"/>
              <w:bottom w:val="single" w:sz="8" w:space="0" w:color="C0504D"/>
              <w:right w:val="nil"/>
            </w:tcBorders>
            <w:shd w:val="clear" w:color="000000" w:fill="C0504D"/>
            <w:noWrap/>
            <w:vAlign w:val="center"/>
            <w:hideMark/>
          </w:tcPr>
          <w:p w:rsidR="000D1168" w:rsidRPr="000D1168" w:rsidRDefault="000D1168" w:rsidP="000D1168">
            <w:pPr>
              <w:spacing w:line="240" w:lineRule="auto"/>
              <w:rPr>
                <w:rFonts w:ascii="Century Gothic" w:hAnsi="Century Gothic"/>
                <w:b/>
                <w:bCs/>
                <w:color w:val="000000"/>
                <w:sz w:val="20"/>
                <w:szCs w:val="20"/>
                <w:lang w:eastAsia="it-IT"/>
              </w:rPr>
            </w:pPr>
            <w:r w:rsidRPr="000D1168">
              <w:rPr>
                <w:rFonts w:ascii="Century Gothic" w:hAnsi="Century Gothic"/>
                <w:b/>
                <w:bCs/>
                <w:color w:val="000000"/>
                <w:sz w:val="20"/>
                <w:szCs w:val="20"/>
                <w:lang w:eastAsia="it-IT"/>
              </w:rPr>
              <w:t>Altri</w:t>
            </w:r>
          </w:p>
        </w:tc>
        <w:tc>
          <w:tcPr>
            <w:tcW w:w="1360" w:type="dxa"/>
            <w:vMerge w:val="restart"/>
            <w:tcBorders>
              <w:top w:val="single" w:sz="8" w:space="0" w:color="C0504D"/>
              <w:left w:val="nil"/>
              <w:bottom w:val="single" w:sz="8" w:space="0" w:color="C0504D"/>
              <w:right w:val="single" w:sz="8" w:space="0" w:color="C0504D"/>
            </w:tcBorders>
            <w:shd w:val="clear" w:color="000000" w:fill="C0504D"/>
            <w:noWrap/>
            <w:vAlign w:val="center"/>
            <w:hideMark/>
          </w:tcPr>
          <w:p w:rsidR="000D1168" w:rsidRPr="000D1168" w:rsidRDefault="000D1168" w:rsidP="000D1168">
            <w:pPr>
              <w:spacing w:line="240" w:lineRule="auto"/>
              <w:rPr>
                <w:rFonts w:ascii="Century Gothic" w:hAnsi="Century Gothic"/>
                <w:b/>
                <w:bCs/>
                <w:color w:val="000000"/>
                <w:sz w:val="20"/>
                <w:szCs w:val="20"/>
                <w:lang w:eastAsia="it-IT"/>
              </w:rPr>
            </w:pPr>
            <w:r w:rsidRPr="000D1168">
              <w:rPr>
                <w:rFonts w:ascii="Century Gothic" w:hAnsi="Century Gothic"/>
                <w:b/>
                <w:bCs/>
                <w:color w:val="000000"/>
                <w:sz w:val="20"/>
                <w:szCs w:val="20"/>
                <w:lang w:eastAsia="it-IT"/>
              </w:rPr>
              <w:t>Funzione pubblica</w:t>
            </w:r>
          </w:p>
        </w:tc>
      </w:tr>
      <w:tr w:rsidR="000D1168" w:rsidRPr="000D1168" w:rsidTr="007518E8">
        <w:trPr>
          <w:trHeight w:val="315"/>
        </w:trPr>
        <w:tc>
          <w:tcPr>
            <w:tcW w:w="960" w:type="dxa"/>
            <w:vMerge/>
            <w:tcBorders>
              <w:top w:val="single" w:sz="8" w:space="0" w:color="C0504D"/>
              <w:left w:val="single" w:sz="8" w:space="0" w:color="C0504D"/>
              <w:bottom w:val="single" w:sz="8" w:space="0" w:color="C0504D"/>
              <w:right w:val="nil"/>
            </w:tcBorders>
            <w:vAlign w:val="center"/>
            <w:hideMark/>
          </w:tcPr>
          <w:p w:rsidR="000D1168" w:rsidRPr="000D1168" w:rsidRDefault="000D1168" w:rsidP="000D1168">
            <w:pPr>
              <w:spacing w:line="240" w:lineRule="auto"/>
              <w:rPr>
                <w:rFonts w:ascii="Century Gothic" w:hAnsi="Century Gothic"/>
                <w:b/>
                <w:bCs/>
                <w:color w:val="000000"/>
                <w:sz w:val="20"/>
                <w:szCs w:val="20"/>
                <w:lang w:eastAsia="it-IT"/>
              </w:rPr>
            </w:pPr>
          </w:p>
        </w:tc>
        <w:tc>
          <w:tcPr>
            <w:tcW w:w="1701" w:type="dxa"/>
            <w:tcBorders>
              <w:top w:val="nil"/>
              <w:left w:val="nil"/>
              <w:bottom w:val="nil"/>
              <w:right w:val="nil"/>
            </w:tcBorders>
            <w:shd w:val="clear" w:color="000000" w:fill="C0504D"/>
            <w:noWrap/>
            <w:vAlign w:val="center"/>
            <w:hideMark/>
          </w:tcPr>
          <w:p w:rsidR="000D1168" w:rsidRPr="000D1168" w:rsidRDefault="000D1168" w:rsidP="000D1168">
            <w:pPr>
              <w:spacing w:line="240" w:lineRule="auto"/>
              <w:rPr>
                <w:rFonts w:ascii="Century Gothic" w:hAnsi="Century Gothic"/>
                <w:b/>
                <w:bCs/>
                <w:color w:val="000000"/>
                <w:sz w:val="20"/>
                <w:szCs w:val="20"/>
                <w:lang w:eastAsia="it-IT"/>
              </w:rPr>
            </w:pPr>
            <w:r w:rsidRPr="000D1168">
              <w:rPr>
                <w:rFonts w:ascii="Century Gothic" w:hAnsi="Century Gothic"/>
                <w:b/>
                <w:bCs/>
                <w:color w:val="000000"/>
                <w:sz w:val="20"/>
                <w:szCs w:val="20"/>
                <w:lang w:eastAsia="it-IT"/>
              </w:rPr>
              <w:t>CGIL-CISL-UIL</w:t>
            </w:r>
          </w:p>
        </w:tc>
        <w:tc>
          <w:tcPr>
            <w:tcW w:w="1460" w:type="dxa"/>
            <w:tcBorders>
              <w:top w:val="nil"/>
              <w:left w:val="nil"/>
              <w:bottom w:val="nil"/>
              <w:right w:val="nil"/>
            </w:tcBorders>
            <w:shd w:val="clear" w:color="000000" w:fill="C0504D"/>
            <w:noWrap/>
            <w:vAlign w:val="center"/>
            <w:hideMark/>
          </w:tcPr>
          <w:p w:rsidR="000D1168" w:rsidRPr="000D1168" w:rsidRDefault="000D1168" w:rsidP="000D1168">
            <w:pPr>
              <w:spacing w:line="240" w:lineRule="auto"/>
              <w:rPr>
                <w:rFonts w:ascii="Century Gothic" w:hAnsi="Century Gothic"/>
                <w:b/>
                <w:bCs/>
                <w:color w:val="000000"/>
                <w:sz w:val="20"/>
                <w:szCs w:val="20"/>
                <w:lang w:eastAsia="it-IT"/>
              </w:rPr>
            </w:pPr>
            <w:r w:rsidRPr="000D1168">
              <w:rPr>
                <w:rFonts w:ascii="Century Gothic" w:hAnsi="Century Gothic"/>
                <w:b/>
                <w:bCs/>
                <w:color w:val="000000"/>
                <w:sz w:val="20"/>
                <w:szCs w:val="20"/>
                <w:lang w:eastAsia="it-IT"/>
              </w:rPr>
              <w:t>SPI-FNP-UILP</w:t>
            </w:r>
          </w:p>
        </w:tc>
        <w:tc>
          <w:tcPr>
            <w:tcW w:w="1280" w:type="dxa"/>
            <w:vMerge/>
            <w:tcBorders>
              <w:top w:val="single" w:sz="8" w:space="0" w:color="C0504D"/>
              <w:left w:val="nil"/>
              <w:bottom w:val="single" w:sz="8" w:space="0" w:color="C0504D"/>
              <w:right w:val="nil"/>
            </w:tcBorders>
            <w:vAlign w:val="center"/>
            <w:hideMark/>
          </w:tcPr>
          <w:p w:rsidR="000D1168" w:rsidRPr="000D1168" w:rsidRDefault="000D1168" w:rsidP="000D1168">
            <w:pPr>
              <w:spacing w:line="240" w:lineRule="auto"/>
              <w:rPr>
                <w:rFonts w:ascii="Century Gothic" w:hAnsi="Century Gothic"/>
                <w:b/>
                <w:bCs/>
                <w:color w:val="000000"/>
                <w:sz w:val="20"/>
                <w:szCs w:val="20"/>
                <w:lang w:eastAsia="it-IT"/>
              </w:rPr>
            </w:pPr>
          </w:p>
        </w:tc>
        <w:tc>
          <w:tcPr>
            <w:tcW w:w="1360" w:type="dxa"/>
            <w:vMerge/>
            <w:tcBorders>
              <w:top w:val="single" w:sz="8" w:space="0" w:color="C0504D"/>
              <w:left w:val="nil"/>
              <w:bottom w:val="single" w:sz="8" w:space="0" w:color="C0504D"/>
              <w:right w:val="single" w:sz="8" w:space="0" w:color="C0504D"/>
            </w:tcBorders>
            <w:vAlign w:val="center"/>
            <w:hideMark/>
          </w:tcPr>
          <w:p w:rsidR="000D1168" w:rsidRPr="000D1168" w:rsidRDefault="000D1168" w:rsidP="000D1168">
            <w:pPr>
              <w:spacing w:line="240" w:lineRule="auto"/>
              <w:rPr>
                <w:rFonts w:ascii="Century Gothic" w:hAnsi="Century Gothic"/>
                <w:b/>
                <w:bCs/>
                <w:color w:val="000000"/>
                <w:sz w:val="20"/>
                <w:szCs w:val="20"/>
                <w:lang w:eastAsia="it-IT"/>
              </w:rPr>
            </w:pPr>
          </w:p>
        </w:tc>
      </w:tr>
      <w:tr w:rsidR="000D1168" w:rsidRPr="000D1168" w:rsidTr="007518E8">
        <w:trPr>
          <w:trHeight w:val="315"/>
        </w:trPr>
        <w:tc>
          <w:tcPr>
            <w:tcW w:w="960" w:type="dxa"/>
            <w:tcBorders>
              <w:top w:val="nil"/>
              <w:left w:val="single" w:sz="8" w:space="0" w:color="C0504D"/>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2009</w:t>
            </w:r>
          </w:p>
        </w:tc>
        <w:tc>
          <w:tcPr>
            <w:tcW w:w="1701" w:type="dxa"/>
            <w:tcBorders>
              <w:top w:val="single" w:sz="8" w:space="0" w:color="C0504D"/>
              <w:left w:val="nil"/>
              <w:bottom w:val="nil"/>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82,6%</w:t>
            </w:r>
          </w:p>
        </w:tc>
        <w:tc>
          <w:tcPr>
            <w:tcW w:w="1460" w:type="dxa"/>
            <w:tcBorders>
              <w:top w:val="single" w:sz="8" w:space="0" w:color="C0504D"/>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65,2%</w:t>
            </w:r>
          </w:p>
        </w:tc>
        <w:tc>
          <w:tcPr>
            <w:tcW w:w="1280" w:type="dxa"/>
            <w:tcBorders>
              <w:top w:val="nil"/>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7,6%</w:t>
            </w:r>
          </w:p>
        </w:tc>
        <w:tc>
          <w:tcPr>
            <w:tcW w:w="1360" w:type="dxa"/>
            <w:tcBorders>
              <w:top w:val="nil"/>
              <w:left w:val="nil"/>
              <w:bottom w:val="single" w:sz="4" w:space="0" w:color="F33989"/>
              <w:right w:val="single" w:sz="8" w:space="0" w:color="C0504D"/>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0,0%</w:t>
            </w:r>
          </w:p>
        </w:tc>
      </w:tr>
      <w:tr w:rsidR="000D1168" w:rsidRPr="000D1168" w:rsidTr="007518E8">
        <w:trPr>
          <w:trHeight w:val="300"/>
        </w:trPr>
        <w:tc>
          <w:tcPr>
            <w:tcW w:w="960" w:type="dxa"/>
            <w:tcBorders>
              <w:top w:val="nil"/>
              <w:left w:val="single" w:sz="8" w:space="0" w:color="C0504D"/>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2010</w:t>
            </w:r>
          </w:p>
        </w:tc>
        <w:tc>
          <w:tcPr>
            <w:tcW w:w="1701" w:type="dxa"/>
            <w:tcBorders>
              <w:top w:val="single" w:sz="8" w:space="0" w:color="C0504D"/>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90,2%</w:t>
            </w:r>
          </w:p>
        </w:tc>
        <w:tc>
          <w:tcPr>
            <w:tcW w:w="1460" w:type="dxa"/>
            <w:tcBorders>
              <w:top w:val="nil"/>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76,1%</w:t>
            </w:r>
          </w:p>
        </w:tc>
        <w:tc>
          <w:tcPr>
            <w:tcW w:w="1280" w:type="dxa"/>
            <w:tcBorders>
              <w:top w:val="nil"/>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5,7%</w:t>
            </w:r>
          </w:p>
        </w:tc>
        <w:tc>
          <w:tcPr>
            <w:tcW w:w="1360" w:type="dxa"/>
            <w:tcBorders>
              <w:top w:val="nil"/>
              <w:left w:val="nil"/>
              <w:bottom w:val="single" w:sz="4" w:space="0" w:color="F33989"/>
              <w:right w:val="single" w:sz="8" w:space="0" w:color="C0504D"/>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1,1%</w:t>
            </w:r>
          </w:p>
        </w:tc>
      </w:tr>
      <w:tr w:rsidR="000D1168" w:rsidRPr="000D1168" w:rsidTr="007518E8">
        <w:trPr>
          <w:trHeight w:val="300"/>
        </w:trPr>
        <w:tc>
          <w:tcPr>
            <w:tcW w:w="960" w:type="dxa"/>
            <w:tcBorders>
              <w:top w:val="nil"/>
              <w:left w:val="single" w:sz="8" w:space="0" w:color="C0504D"/>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2011</w:t>
            </w:r>
          </w:p>
        </w:tc>
        <w:tc>
          <w:tcPr>
            <w:tcW w:w="1701" w:type="dxa"/>
            <w:tcBorders>
              <w:top w:val="nil"/>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76,8%</w:t>
            </w:r>
          </w:p>
        </w:tc>
        <w:tc>
          <w:tcPr>
            <w:tcW w:w="1460" w:type="dxa"/>
            <w:tcBorders>
              <w:top w:val="nil"/>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76,8%</w:t>
            </w:r>
          </w:p>
        </w:tc>
        <w:tc>
          <w:tcPr>
            <w:tcW w:w="1280" w:type="dxa"/>
            <w:tcBorders>
              <w:top w:val="nil"/>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4,9%</w:t>
            </w:r>
          </w:p>
        </w:tc>
        <w:tc>
          <w:tcPr>
            <w:tcW w:w="1360" w:type="dxa"/>
            <w:tcBorders>
              <w:top w:val="nil"/>
              <w:left w:val="nil"/>
              <w:bottom w:val="single" w:sz="4" w:space="0" w:color="F33989"/>
              <w:right w:val="single" w:sz="8" w:space="0" w:color="C0504D"/>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4,9%</w:t>
            </w:r>
          </w:p>
        </w:tc>
      </w:tr>
      <w:tr w:rsidR="000D1168" w:rsidRPr="000D1168" w:rsidTr="007518E8">
        <w:trPr>
          <w:trHeight w:val="300"/>
        </w:trPr>
        <w:tc>
          <w:tcPr>
            <w:tcW w:w="960" w:type="dxa"/>
            <w:tcBorders>
              <w:top w:val="nil"/>
              <w:left w:val="single" w:sz="8" w:space="0" w:color="C0504D"/>
              <w:bottom w:val="nil"/>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2012</w:t>
            </w:r>
          </w:p>
        </w:tc>
        <w:tc>
          <w:tcPr>
            <w:tcW w:w="1701" w:type="dxa"/>
            <w:tcBorders>
              <w:top w:val="nil"/>
              <w:left w:val="nil"/>
              <w:bottom w:val="nil"/>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80,3%</w:t>
            </w:r>
          </w:p>
        </w:tc>
        <w:tc>
          <w:tcPr>
            <w:tcW w:w="1460" w:type="dxa"/>
            <w:tcBorders>
              <w:top w:val="nil"/>
              <w:left w:val="nil"/>
              <w:bottom w:val="nil"/>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78,0%</w:t>
            </w:r>
          </w:p>
        </w:tc>
        <w:tc>
          <w:tcPr>
            <w:tcW w:w="1280" w:type="dxa"/>
            <w:tcBorders>
              <w:top w:val="nil"/>
              <w:left w:val="nil"/>
              <w:bottom w:val="nil"/>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2,4%</w:t>
            </w:r>
          </w:p>
        </w:tc>
        <w:tc>
          <w:tcPr>
            <w:tcW w:w="1360" w:type="dxa"/>
            <w:tcBorders>
              <w:top w:val="nil"/>
              <w:left w:val="nil"/>
              <w:bottom w:val="nil"/>
              <w:right w:val="single" w:sz="8" w:space="0" w:color="C0504D"/>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3,3%</w:t>
            </w:r>
          </w:p>
        </w:tc>
      </w:tr>
      <w:tr w:rsidR="000D1168" w:rsidRPr="000D1168" w:rsidTr="007518E8">
        <w:trPr>
          <w:trHeight w:val="300"/>
        </w:trPr>
        <w:tc>
          <w:tcPr>
            <w:tcW w:w="960" w:type="dxa"/>
            <w:tcBorders>
              <w:top w:val="single" w:sz="4" w:space="0" w:color="F33989"/>
              <w:left w:val="single" w:sz="4" w:space="0" w:color="F33989"/>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2013</w:t>
            </w:r>
          </w:p>
        </w:tc>
        <w:tc>
          <w:tcPr>
            <w:tcW w:w="1701" w:type="dxa"/>
            <w:tcBorders>
              <w:top w:val="single" w:sz="4" w:space="0" w:color="F33989"/>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77,7%</w:t>
            </w:r>
          </w:p>
        </w:tc>
        <w:tc>
          <w:tcPr>
            <w:tcW w:w="1460" w:type="dxa"/>
            <w:tcBorders>
              <w:top w:val="single" w:sz="4" w:space="0" w:color="F33989"/>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87,1%</w:t>
            </w:r>
          </w:p>
        </w:tc>
        <w:tc>
          <w:tcPr>
            <w:tcW w:w="1280" w:type="dxa"/>
            <w:tcBorders>
              <w:top w:val="single" w:sz="4" w:space="0" w:color="F33989"/>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4,7%</w:t>
            </w:r>
          </w:p>
        </w:tc>
        <w:tc>
          <w:tcPr>
            <w:tcW w:w="1360" w:type="dxa"/>
            <w:tcBorders>
              <w:top w:val="single" w:sz="4" w:space="0" w:color="F33989"/>
              <w:left w:val="nil"/>
              <w:bottom w:val="single" w:sz="4" w:space="0" w:color="F33989"/>
              <w:right w:val="single" w:sz="4" w:space="0" w:color="F33989"/>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8,3%</w:t>
            </w:r>
          </w:p>
        </w:tc>
      </w:tr>
      <w:tr w:rsidR="000D1168" w:rsidRPr="000D1168" w:rsidTr="007518E8">
        <w:trPr>
          <w:trHeight w:val="300"/>
        </w:trPr>
        <w:tc>
          <w:tcPr>
            <w:tcW w:w="960" w:type="dxa"/>
            <w:tcBorders>
              <w:top w:val="nil"/>
              <w:left w:val="single" w:sz="8" w:space="0" w:color="C0504D"/>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2014</w:t>
            </w:r>
          </w:p>
        </w:tc>
        <w:tc>
          <w:tcPr>
            <w:tcW w:w="1701" w:type="dxa"/>
            <w:tcBorders>
              <w:top w:val="nil"/>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88,2%</w:t>
            </w:r>
          </w:p>
        </w:tc>
        <w:tc>
          <w:tcPr>
            <w:tcW w:w="1460" w:type="dxa"/>
            <w:tcBorders>
              <w:top w:val="nil"/>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88,2%</w:t>
            </w:r>
          </w:p>
        </w:tc>
        <w:tc>
          <w:tcPr>
            <w:tcW w:w="1280" w:type="dxa"/>
            <w:tcBorders>
              <w:top w:val="nil"/>
              <w:left w:val="nil"/>
              <w:bottom w:val="single" w:sz="4" w:space="0" w:color="F33989"/>
              <w:right w:val="nil"/>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6,0%</w:t>
            </w:r>
          </w:p>
        </w:tc>
        <w:tc>
          <w:tcPr>
            <w:tcW w:w="1360" w:type="dxa"/>
            <w:tcBorders>
              <w:top w:val="nil"/>
              <w:left w:val="nil"/>
              <w:bottom w:val="single" w:sz="4" w:space="0" w:color="F33989"/>
              <w:right w:val="single" w:sz="8" w:space="0" w:color="C0504D"/>
            </w:tcBorders>
            <w:shd w:val="clear" w:color="auto" w:fill="auto"/>
            <w:noWrap/>
            <w:vAlign w:val="center"/>
            <w:hideMark/>
          </w:tcPr>
          <w:p w:rsidR="000D1168" w:rsidRPr="000D1168" w:rsidRDefault="000D116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21,6%</w:t>
            </w:r>
          </w:p>
        </w:tc>
      </w:tr>
      <w:tr w:rsidR="007518E8" w:rsidRPr="000D1168" w:rsidTr="007518E8">
        <w:trPr>
          <w:trHeight w:val="300"/>
        </w:trPr>
        <w:tc>
          <w:tcPr>
            <w:tcW w:w="960" w:type="dxa"/>
            <w:tcBorders>
              <w:top w:val="nil"/>
              <w:left w:val="nil"/>
              <w:bottom w:val="single" w:sz="4" w:space="0" w:color="auto"/>
              <w:right w:val="nil"/>
            </w:tcBorders>
            <w:shd w:val="clear" w:color="auto" w:fill="auto"/>
            <w:noWrap/>
            <w:vAlign w:val="center"/>
            <w:hideMark/>
          </w:tcPr>
          <w:p w:rsidR="007518E8" w:rsidRPr="000D1168" w:rsidRDefault="007518E8" w:rsidP="000D1168">
            <w:pPr>
              <w:spacing w:line="240" w:lineRule="auto"/>
              <w:jc w:val="right"/>
              <w:rPr>
                <w:rFonts w:ascii="Century Gothic" w:hAnsi="Century Gothic"/>
                <w:color w:val="000000"/>
                <w:sz w:val="20"/>
                <w:szCs w:val="20"/>
                <w:lang w:eastAsia="it-IT"/>
              </w:rPr>
            </w:pPr>
            <w:r w:rsidRPr="000D1168">
              <w:rPr>
                <w:rFonts w:ascii="Century Gothic" w:hAnsi="Century Gothic"/>
                <w:color w:val="000000"/>
                <w:sz w:val="20"/>
                <w:szCs w:val="20"/>
                <w:lang w:eastAsia="it-IT"/>
              </w:rPr>
              <w:t>2015</w:t>
            </w:r>
          </w:p>
        </w:tc>
        <w:tc>
          <w:tcPr>
            <w:tcW w:w="1701" w:type="dxa"/>
            <w:tcBorders>
              <w:top w:val="nil"/>
              <w:left w:val="nil"/>
              <w:bottom w:val="single" w:sz="4" w:space="0" w:color="auto"/>
              <w:right w:val="nil"/>
            </w:tcBorders>
            <w:shd w:val="clear" w:color="auto" w:fill="auto"/>
            <w:noWrap/>
            <w:vAlign w:val="center"/>
            <w:hideMark/>
          </w:tcPr>
          <w:p w:rsidR="007518E8" w:rsidRDefault="007518E8">
            <w:pPr>
              <w:jc w:val="right"/>
              <w:rPr>
                <w:rFonts w:ascii="Century Gothic" w:hAnsi="Century Gothic"/>
                <w:color w:val="000000"/>
                <w:sz w:val="20"/>
                <w:szCs w:val="20"/>
              </w:rPr>
            </w:pPr>
            <w:r>
              <w:rPr>
                <w:rFonts w:ascii="Century Gothic" w:hAnsi="Century Gothic"/>
                <w:color w:val="000000"/>
                <w:sz w:val="20"/>
                <w:szCs w:val="20"/>
              </w:rPr>
              <w:t>85,1%</w:t>
            </w:r>
          </w:p>
        </w:tc>
        <w:tc>
          <w:tcPr>
            <w:tcW w:w="1460" w:type="dxa"/>
            <w:tcBorders>
              <w:top w:val="nil"/>
              <w:left w:val="nil"/>
              <w:bottom w:val="single" w:sz="4" w:space="0" w:color="auto"/>
              <w:right w:val="nil"/>
            </w:tcBorders>
            <w:shd w:val="clear" w:color="auto" w:fill="auto"/>
            <w:noWrap/>
            <w:vAlign w:val="center"/>
            <w:hideMark/>
          </w:tcPr>
          <w:p w:rsidR="007518E8" w:rsidRDefault="007518E8">
            <w:pPr>
              <w:jc w:val="right"/>
              <w:rPr>
                <w:rFonts w:ascii="Century Gothic" w:hAnsi="Century Gothic"/>
                <w:color w:val="000000"/>
                <w:sz w:val="20"/>
                <w:szCs w:val="20"/>
              </w:rPr>
            </w:pPr>
            <w:r>
              <w:rPr>
                <w:rFonts w:ascii="Century Gothic" w:hAnsi="Century Gothic"/>
                <w:color w:val="000000"/>
                <w:sz w:val="20"/>
                <w:szCs w:val="20"/>
              </w:rPr>
              <w:t>82,1%</w:t>
            </w:r>
          </w:p>
        </w:tc>
        <w:tc>
          <w:tcPr>
            <w:tcW w:w="1280" w:type="dxa"/>
            <w:tcBorders>
              <w:top w:val="nil"/>
              <w:left w:val="nil"/>
              <w:bottom w:val="single" w:sz="4" w:space="0" w:color="auto"/>
              <w:right w:val="nil"/>
            </w:tcBorders>
            <w:shd w:val="clear" w:color="auto" w:fill="auto"/>
            <w:noWrap/>
            <w:vAlign w:val="center"/>
            <w:hideMark/>
          </w:tcPr>
          <w:p w:rsidR="007518E8" w:rsidRDefault="007518E8">
            <w:pPr>
              <w:jc w:val="right"/>
              <w:rPr>
                <w:rFonts w:ascii="Century Gothic" w:hAnsi="Century Gothic"/>
                <w:color w:val="000000"/>
                <w:sz w:val="20"/>
                <w:szCs w:val="20"/>
              </w:rPr>
            </w:pPr>
            <w:r>
              <w:rPr>
                <w:rFonts w:ascii="Century Gothic" w:hAnsi="Century Gothic"/>
                <w:color w:val="000000"/>
                <w:sz w:val="20"/>
                <w:szCs w:val="20"/>
              </w:rPr>
              <w:t>7,0%</w:t>
            </w:r>
          </w:p>
        </w:tc>
        <w:tc>
          <w:tcPr>
            <w:tcW w:w="1360" w:type="dxa"/>
            <w:tcBorders>
              <w:top w:val="nil"/>
              <w:left w:val="nil"/>
              <w:bottom w:val="single" w:sz="4" w:space="0" w:color="auto"/>
              <w:right w:val="single" w:sz="4" w:space="0" w:color="auto"/>
            </w:tcBorders>
            <w:shd w:val="clear" w:color="auto" w:fill="auto"/>
            <w:noWrap/>
            <w:vAlign w:val="center"/>
            <w:hideMark/>
          </w:tcPr>
          <w:p w:rsidR="007518E8" w:rsidRDefault="007518E8" w:rsidP="007518E8">
            <w:pPr>
              <w:jc w:val="right"/>
              <w:rPr>
                <w:rFonts w:ascii="Century Gothic" w:hAnsi="Century Gothic"/>
                <w:color w:val="000000"/>
                <w:sz w:val="20"/>
                <w:szCs w:val="20"/>
              </w:rPr>
            </w:pPr>
            <w:r>
              <w:rPr>
                <w:rFonts w:ascii="Century Gothic" w:hAnsi="Century Gothic"/>
                <w:color w:val="000000"/>
                <w:sz w:val="20"/>
                <w:szCs w:val="20"/>
              </w:rPr>
              <w:t>6,0%</w:t>
            </w:r>
          </w:p>
        </w:tc>
      </w:tr>
    </w:tbl>
    <w:p w:rsidR="007518E8" w:rsidRDefault="007518E8" w:rsidP="00CB75BF">
      <w:pPr>
        <w:jc w:val="both"/>
        <w:rPr>
          <w:rFonts w:ascii="Century Gothic" w:hAnsi="Century Gothic"/>
        </w:rPr>
      </w:pPr>
      <w:r>
        <w:rPr>
          <w:rFonts w:ascii="Century Gothic" w:hAnsi="Century Gothic"/>
        </w:rPr>
        <w:lastRenderedPageBreak/>
        <w:t xml:space="preserve">La </w:t>
      </w:r>
      <w:r w:rsidRPr="00D8083C">
        <w:rPr>
          <w:rFonts w:ascii="Century Gothic" w:hAnsi="Century Gothic"/>
        </w:rPr>
        <w:t>Confederazione</w:t>
      </w:r>
      <w:r>
        <w:rPr>
          <w:rFonts w:ascii="Century Gothic" w:hAnsi="Century Gothic"/>
        </w:rPr>
        <w:t xml:space="preserve"> è presente nell’8</w:t>
      </w:r>
      <w:r w:rsidR="00CB75BF">
        <w:rPr>
          <w:rFonts w:ascii="Century Gothic" w:hAnsi="Century Gothic"/>
        </w:rPr>
        <w:t xml:space="preserve">5 </w:t>
      </w:r>
      <w:r>
        <w:rPr>
          <w:rFonts w:ascii="Century Gothic" w:hAnsi="Century Gothic"/>
        </w:rPr>
        <w:t xml:space="preserve">% degli accordi, con un </w:t>
      </w:r>
      <w:r w:rsidR="00CB75BF">
        <w:rPr>
          <w:rFonts w:ascii="Century Gothic" w:hAnsi="Century Gothic"/>
        </w:rPr>
        <w:t>leggero de</w:t>
      </w:r>
      <w:r>
        <w:rPr>
          <w:rFonts w:ascii="Century Gothic" w:hAnsi="Century Gothic"/>
        </w:rPr>
        <w:t xml:space="preserve">cremento </w:t>
      </w:r>
      <w:r w:rsidR="00CB75BF">
        <w:rPr>
          <w:rFonts w:ascii="Century Gothic" w:hAnsi="Century Gothic"/>
        </w:rPr>
        <w:t>di tre puti rispetto al 2014 (88,2%), ma con un valore superiore a quelli del periodo analizzato</w:t>
      </w:r>
      <w:r w:rsidR="00F20D9A">
        <w:rPr>
          <w:rFonts w:ascii="Century Gothic" w:hAnsi="Century Gothic"/>
        </w:rPr>
        <w:t>,</w:t>
      </w:r>
      <w:r w:rsidR="00CB75BF">
        <w:rPr>
          <w:rFonts w:ascii="Century Gothic" w:hAnsi="Century Gothic"/>
        </w:rPr>
        <w:t xml:space="preserve"> a parte il picco</w:t>
      </w:r>
      <w:r>
        <w:rPr>
          <w:rFonts w:ascii="Century Gothic" w:hAnsi="Century Gothic"/>
        </w:rPr>
        <w:t xml:space="preserve"> registrato nel 2010 (90,2%).</w:t>
      </w:r>
      <w:r w:rsidR="00CB75BF">
        <w:rPr>
          <w:rFonts w:ascii="Century Gothic" w:hAnsi="Century Gothic"/>
        </w:rPr>
        <w:t xml:space="preserve"> Nei restanti casi, a parte 3 accordi, </w:t>
      </w:r>
      <w:r w:rsidR="00670308">
        <w:rPr>
          <w:rFonts w:ascii="Century Gothic" w:hAnsi="Century Gothic"/>
        </w:rPr>
        <w:t xml:space="preserve">le intese sono sottoscritte in forma congiunta da CGIL e CISL. </w:t>
      </w:r>
      <w:r w:rsidR="00670308" w:rsidRPr="00F91EC4">
        <w:rPr>
          <w:rFonts w:ascii="Century Gothic" w:hAnsi="Century Gothic"/>
        </w:rPr>
        <w:t>Generalmente</w:t>
      </w:r>
      <w:r w:rsidR="00670308">
        <w:rPr>
          <w:rFonts w:ascii="Century Gothic" w:hAnsi="Century Gothic"/>
        </w:rPr>
        <w:t xml:space="preserve"> l’assenza della UIL non è dovuta a un disaccordo sui contenuti quanto a problemi organizzativi o di presenza</w:t>
      </w:r>
      <w:r w:rsidR="00670308" w:rsidRPr="006C3C6B">
        <w:rPr>
          <w:rFonts w:ascii="Century Gothic" w:hAnsi="Century Gothic"/>
        </w:rPr>
        <w:t>.</w:t>
      </w:r>
      <w:r w:rsidR="00670308">
        <w:rPr>
          <w:rFonts w:ascii="Century Gothic" w:hAnsi="Century Gothic"/>
        </w:rPr>
        <w:t xml:space="preserve"> Infatti, come si apprende dai comunicati sindacali, </w:t>
      </w:r>
      <w:r w:rsidR="00F20D9A">
        <w:rPr>
          <w:rFonts w:ascii="Century Gothic" w:hAnsi="Century Gothic"/>
        </w:rPr>
        <w:t>nella maggior parte dei casi</w:t>
      </w:r>
      <w:r w:rsidR="00703A7A">
        <w:rPr>
          <w:rFonts w:ascii="Century Gothic" w:hAnsi="Century Gothic"/>
        </w:rPr>
        <w:t xml:space="preserve">, </w:t>
      </w:r>
      <w:r w:rsidR="00670308">
        <w:rPr>
          <w:rFonts w:ascii="Century Gothic" w:hAnsi="Century Gothic"/>
        </w:rPr>
        <w:t xml:space="preserve">l’iniziativa di contrattazione è partita in forma unitaria dalle tre organizzazioni sindacali. Viene, quindi, confermato </w:t>
      </w:r>
      <w:r w:rsidR="00670308" w:rsidRPr="006C3C6B">
        <w:rPr>
          <w:rFonts w:ascii="Century Gothic" w:hAnsi="Century Gothic"/>
        </w:rPr>
        <w:t xml:space="preserve">il ruolo centrale della confederalità, </w:t>
      </w:r>
      <w:r w:rsidR="00670308">
        <w:rPr>
          <w:rFonts w:ascii="Century Gothic" w:hAnsi="Century Gothic"/>
        </w:rPr>
        <w:t xml:space="preserve">rilevato nel corso degli anni e non </w:t>
      </w:r>
      <w:r w:rsidR="00670308" w:rsidRPr="006C3C6B">
        <w:rPr>
          <w:rFonts w:ascii="Century Gothic" w:hAnsi="Century Gothic"/>
        </w:rPr>
        <w:t>incrinato da</w:t>
      </w:r>
      <w:r w:rsidR="00670308">
        <w:rPr>
          <w:rFonts w:ascii="Century Gothic" w:hAnsi="Century Gothic"/>
        </w:rPr>
        <w:t xml:space="preserve">lle </w:t>
      </w:r>
      <w:r w:rsidR="00670308" w:rsidRPr="006C3C6B">
        <w:rPr>
          <w:rFonts w:ascii="Century Gothic" w:hAnsi="Century Gothic"/>
        </w:rPr>
        <w:t xml:space="preserve">maggiori </w:t>
      </w:r>
      <w:r w:rsidR="00670308">
        <w:rPr>
          <w:rFonts w:ascii="Century Gothic" w:hAnsi="Century Gothic"/>
        </w:rPr>
        <w:t>difficoltà derivate</w:t>
      </w:r>
      <w:r w:rsidR="00670308" w:rsidRPr="006C3C6B">
        <w:rPr>
          <w:rFonts w:ascii="Century Gothic" w:hAnsi="Century Gothic"/>
        </w:rPr>
        <w:t xml:space="preserve"> dalla crisi.</w:t>
      </w:r>
      <w:r w:rsidR="00670308">
        <w:rPr>
          <w:rFonts w:ascii="Century Gothic" w:hAnsi="Century Gothic"/>
        </w:rPr>
        <w:t xml:space="preserve"> </w:t>
      </w:r>
      <w:r w:rsidR="00670308" w:rsidRPr="006C3C6B">
        <w:rPr>
          <w:rFonts w:ascii="Century Gothic" w:hAnsi="Century Gothic"/>
        </w:rPr>
        <w:t xml:space="preserve">All’interno di questo ambito </w:t>
      </w:r>
      <w:r w:rsidR="00670308">
        <w:rPr>
          <w:rFonts w:ascii="Century Gothic" w:hAnsi="Century Gothic"/>
        </w:rPr>
        <w:t>trova conferma</w:t>
      </w:r>
      <w:r w:rsidR="00670308" w:rsidRPr="006C3C6B">
        <w:rPr>
          <w:rFonts w:ascii="Century Gothic" w:hAnsi="Century Gothic"/>
        </w:rPr>
        <w:t xml:space="preserve"> anche la funzione di iniziativa </w:t>
      </w:r>
      <w:r w:rsidR="00670308" w:rsidRPr="008B3815">
        <w:rPr>
          <w:rFonts w:ascii="Century Gothic" w:hAnsi="Century Gothic"/>
        </w:rPr>
        <w:t>e di proposta</w:t>
      </w:r>
      <w:r w:rsidR="00670308" w:rsidRPr="006C3C6B">
        <w:rPr>
          <w:rFonts w:ascii="Century Gothic" w:hAnsi="Century Gothic"/>
        </w:rPr>
        <w:t xml:space="preserve"> della CGIL e dello SPI</w:t>
      </w:r>
      <w:r w:rsidR="00670308">
        <w:rPr>
          <w:rFonts w:ascii="Century Gothic" w:hAnsi="Century Gothic"/>
        </w:rPr>
        <w:t xml:space="preserve">.  </w:t>
      </w:r>
    </w:p>
    <w:p w:rsidR="004C1DB4" w:rsidRDefault="00703A7A" w:rsidP="004C1DB4">
      <w:pPr>
        <w:jc w:val="both"/>
        <w:rPr>
          <w:rFonts w:ascii="Century Gothic" w:hAnsi="Century Gothic"/>
        </w:rPr>
      </w:pPr>
      <w:r>
        <w:rPr>
          <w:rFonts w:ascii="Century Gothic" w:hAnsi="Century Gothic"/>
        </w:rPr>
        <w:t>La quota di accordi firmati dalle</w:t>
      </w:r>
      <w:r w:rsidR="007518E8">
        <w:rPr>
          <w:rFonts w:ascii="Century Gothic" w:hAnsi="Century Gothic"/>
        </w:rPr>
        <w:t xml:space="preserve"> categorie dei pensionati </w:t>
      </w:r>
      <w:r>
        <w:rPr>
          <w:rFonts w:ascii="Century Gothic" w:hAnsi="Century Gothic"/>
        </w:rPr>
        <w:t>diminuisce di 5-6 punti rispetto al biennio 2013-2014, ma si mantiene al di sopra dell’80%</w:t>
      </w:r>
      <w:r w:rsidR="007518E8">
        <w:rPr>
          <w:rFonts w:ascii="Century Gothic" w:hAnsi="Century Gothic"/>
        </w:rPr>
        <w:t xml:space="preserve">, </w:t>
      </w:r>
      <w:r>
        <w:rPr>
          <w:rFonts w:ascii="Century Gothic" w:hAnsi="Century Gothic"/>
        </w:rPr>
        <w:t xml:space="preserve">valore superiore a quelli del periodo 2009-2012. </w:t>
      </w:r>
      <w:r w:rsidR="004C1DB4">
        <w:rPr>
          <w:rFonts w:ascii="Century Gothic" w:hAnsi="Century Gothic"/>
        </w:rPr>
        <w:t xml:space="preserve">Nella maggior parte degli altri casi, si registra la partecipazione e la firma congiunte di SPI-CGIL e di FNP-CISL. </w:t>
      </w:r>
    </w:p>
    <w:p w:rsidR="004C1DB4" w:rsidRDefault="004C1DB4" w:rsidP="004C1DB4">
      <w:pPr>
        <w:jc w:val="both"/>
        <w:rPr>
          <w:rFonts w:ascii="Century Gothic" w:hAnsi="Century Gothic"/>
        </w:rPr>
      </w:pPr>
      <w:r>
        <w:rPr>
          <w:rFonts w:ascii="Century Gothic" w:hAnsi="Century Gothic"/>
        </w:rPr>
        <w:t>In conclusione, d</w:t>
      </w:r>
      <w:r w:rsidR="007518E8">
        <w:rPr>
          <w:rFonts w:ascii="Century Gothic" w:hAnsi="Century Gothic"/>
        </w:rPr>
        <w:t xml:space="preserve">all’esame </w:t>
      </w:r>
      <w:r>
        <w:rPr>
          <w:rFonts w:ascii="Century Gothic" w:hAnsi="Century Gothic"/>
        </w:rPr>
        <w:t xml:space="preserve">complessivo della </w:t>
      </w:r>
      <w:r w:rsidR="00703A7A">
        <w:rPr>
          <w:rFonts w:ascii="Century Gothic" w:hAnsi="Century Gothic"/>
        </w:rPr>
        <w:t>documentazione, si rileva come</w:t>
      </w:r>
      <w:r w:rsidR="007B1882">
        <w:rPr>
          <w:rFonts w:ascii="Century Gothic" w:hAnsi="Century Gothic"/>
        </w:rPr>
        <w:t>,</w:t>
      </w:r>
      <w:r w:rsidR="00703A7A">
        <w:rPr>
          <w:rFonts w:ascii="Century Gothic" w:hAnsi="Century Gothic"/>
        </w:rPr>
        <w:t xml:space="preserve"> nella maggior parte delle province</w:t>
      </w:r>
      <w:r w:rsidR="007B1882">
        <w:rPr>
          <w:rFonts w:ascii="Century Gothic" w:hAnsi="Century Gothic"/>
        </w:rPr>
        <w:t>,</w:t>
      </w:r>
      <w:r w:rsidR="00703A7A">
        <w:rPr>
          <w:rFonts w:ascii="Century Gothic" w:hAnsi="Century Gothic"/>
        </w:rPr>
        <w:t xml:space="preserve"> le intese siano state concordate e firmate in maniera congiunta dalle organizzazioni sindacali confederali con le relative leghe dei pensionati. </w:t>
      </w:r>
      <w:r>
        <w:rPr>
          <w:rFonts w:ascii="Century Gothic" w:hAnsi="Century Gothic"/>
        </w:rPr>
        <w:t>Inoltre</w:t>
      </w:r>
      <w:r w:rsidR="00A23595">
        <w:rPr>
          <w:rFonts w:ascii="Century Gothic" w:hAnsi="Century Gothic"/>
        </w:rPr>
        <w:t xml:space="preserve"> </w:t>
      </w:r>
      <w:r>
        <w:rPr>
          <w:rFonts w:ascii="Century Gothic" w:hAnsi="Century Gothic"/>
        </w:rPr>
        <w:t>nella</w:t>
      </w:r>
      <w:r w:rsidR="00A23595">
        <w:rPr>
          <w:rFonts w:ascii="Century Gothic" w:hAnsi="Century Gothic"/>
        </w:rPr>
        <w:t xml:space="preserve"> quasi totalità degli accordi </w:t>
      </w:r>
      <w:r>
        <w:rPr>
          <w:rFonts w:ascii="Century Gothic" w:hAnsi="Century Gothic"/>
        </w:rPr>
        <w:t>si riscontra</w:t>
      </w:r>
      <w:r w:rsidR="007B1882">
        <w:rPr>
          <w:rFonts w:ascii="Century Gothic" w:hAnsi="Century Gothic"/>
        </w:rPr>
        <w:t>, comunque,</w:t>
      </w:r>
      <w:r w:rsidR="00A23595">
        <w:rPr>
          <w:rFonts w:ascii="Century Gothic" w:hAnsi="Century Gothic"/>
        </w:rPr>
        <w:t xml:space="preserve"> la partecipazione </w:t>
      </w:r>
      <w:r>
        <w:rPr>
          <w:rFonts w:ascii="Century Gothic" w:hAnsi="Century Gothic"/>
        </w:rPr>
        <w:t>e la firma di</w:t>
      </w:r>
      <w:r w:rsidR="00A23595">
        <w:rPr>
          <w:rFonts w:ascii="Century Gothic" w:hAnsi="Century Gothic"/>
        </w:rPr>
        <w:t xml:space="preserve"> CGIL e di CISL </w:t>
      </w:r>
      <w:r>
        <w:rPr>
          <w:rFonts w:ascii="Century Gothic" w:hAnsi="Century Gothic"/>
        </w:rPr>
        <w:t>con le</w:t>
      </w:r>
      <w:r w:rsidR="00A23595">
        <w:rPr>
          <w:rFonts w:ascii="Century Gothic" w:hAnsi="Century Gothic"/>
        </w:rPr>
        <w:t xml:space="preserve"> relative leghe dei pensionati. </w:t>
      </w:r>
      <w:r>
        <w:rPr>
          <w:rFonts w:ascii="Century Gothic" w:hAnsi="Century Gothic"/>
        </w:rPr>
        <w:t>Nei processi negoziali del 2015 trova conferma quella collaborazione e quel mutuo sostegno tra sindacati confederali e rispettive leghe dei pensionati, già evidenziati negli anni precedenti.</w:t>
      </w:r>
    </w:p>
    <w:p w:rsidR="00651E9B" w:rsidRDefault="00651E9B" w:rsidP="00651E9B">
      <w:pPr>
        <w:jc w:val="both"/>
        <w:rPr>
          <w:rFonts w:ascii="Century Gothic" w:hAnsi="Century Gothic"/>
        </w:rPr>
      </w:pPr>
      <w:r>
        <w:rPr>
          <w:rFonts w:ascii="Century Gothic" w:hAnsi="Century Gothic"/>
        </w:rPr>
        <w:t xml:space="preserve">La presenza della Funzione pubblica ritorna a valori al di sotto del 10% conseguendo una quota del 6%. Il numero di accordi sottoscritti </w:t>
      </w:r>
      <w:r w:rsidR="00560438">
        <w:rPr>
          <w:rFonts w:ascii="Century Gothic" w:hAnsi="Century Gothic"/>
        </w:rPr>
        <w:t xml:space="preserve">da questa categoria </w:t>
      </w:r>
      <w:r>
        <w:rPr>
          <w:rFonts w:ascii="Century Gothic" w:hAnsi="Century Gothic"/>
        </w:rPr>
        <w:t xml:space="preserve">è circa la metà </w:t>
      </w:r>
      <w:r w:rsidR="00560438">
        <w:rPr>
          <w:rFonts w:ascii="Century Gothic" w:hAnsi="Century Gothic"/>
        </w:rPr>
        <w:t>di quello del 2014, ma il peso è circa un quarto in quanto il numero totale delle intese è maggiore (67 nel 2015 rispetto a 51 nel 2014).</w:t>
      </w:r>
    </w:p>
    <w:p w:rsidR="007518E8" w:rsidRDefault="00560438" w:rsidP="007518E8">
      <w:pPr>
        <w:jc w:val="both"/>
        <w:rPr>
          <w:rFonts w:ascii="Century Gothic" w:hAnsi="Century Gothic"/>
        </w:rPr>
      </w:pPr>
      <w:r>
        <w:rPr>
          <w:rFonts w:ascii="Century Gothic" w:hAnsi="Century Gothic"/>
        </w:rPr>
        <w:t>La categoria residuale “altri” mantiene lo stesso peso (</w:t>
      </w:r>
      <w:r w:rsidR="007518E8">
        <w:rPr>
          <w:rFonts w:ascii="Century Gothic" w:hAnsi="Century Gothic"/>
        </w:rPr>
        <w:t>6%</w:t>
      </w:r>
      <w:r>
        <w:rPr>
          <w:rFonts w:ascii="Century Gothic" w:hAnsi="Century Gothic"/>
        </w:rPr>
        <w:t>) del 2014. Come negli anni precedenti si tratta della presenza</w:t>
      </w:r>
      <w:r w:rsidR="007B1882">
        <w:rPr>
          <w:rFonts w:ascii="Century Gothic" w:hAnsi="Century Gothic"/>
        </w:rPr>
        <w:t>,</w:t>
      </w:r>
      <w:r>
        <w:rPr>
          <w:rFonts w:ascii="Century Gothic" w:hAnsi="Century Gothic"/>
        </w:rPr>
        <w:t xml:space="preserve"> in intese siglate nella provincia </w:t>
      </w:r>
      <w:r w:rsidRPr="00D8083C">
        <w:rPr>
          <w:rFonts w:ascii="Century Gothic" w:hAnsi="Century Gothic"/>
        </w:rPr>
        <w:t>di Siena</w:t>
      </w:r>
      <w:r w:rsidR="007518E8">
        <w:rPr>
          <w:rFonts w:ascii="Century Gothic" w:hAnsi="Century Gothic"/>
        </w:rPr>
        <w:t xml:space="preserve"> </w:t>
      </w:r>
      <w:r w:rsidR="007B1882">
        <w:rPr>
          <w:rFonts w:ascii="Century Gothic" w:hAnsi="Century Gothic"/>
        </w:rPr>
        <w:t>,</w:t>
      </w:r>
      <w:r w:rsidR="007518E8">
        <w:rPr>
          <w:rFonts w:ascii="Century Gothic" w:hAnsi="Century Gothic"/>
        </w:rPr>
        <w:t>di associazioni di categoria</w:t>
      </w:r>
      <w:r w:rsidRPr="00F91EC4">
        <w:rPr>
          <w:rFonts w:ascii="Century Gothic" w:hAnsi="Century Gothic"/>
        </w:rPr>
        <w:t>, in genere</w:t>
      </w:r>
      <w:r w:rsidR="007518E8" w:rsidRPr="00F91EC4">
        <w:rPr>
          <w:rFonts w:ascii="Century Gothic" w:hAnsi="Century Gothic"/>
        </w:rPr>
        <w:t xml:space="preserve"> relativ</w:t>
      </w:r>
      <w:r w:rsidRPr="00F91EC4">
        <w:rPr>
          <w:rFonts w:ascii="Century Gothic" w:hAnsi="Century Gothic"/>
        </w:rPr>
        <w:t xml:space="preserve">e al commercio, ma anche al manifatturiero (Confindustria, </w:t>
      </w:r>
      <w:r w:rsidR="003E70C9" w:rsidRPr="00F91EC4">
        <w:rPr>
          <w:rFonts w:ascii="Century Gothic" w:hAnsi="Century Gothic"/>
        </w:rPr>
        <w:t>Piccole e Medie Imprese) o all’agricoltura (CIA).</w:t>
      </w:r>
    </w:p>
    <w:p w:rsidR="007518E8" w:rsidRDefault="007518E8">
      <w:pPr>
        <w:rPr>
          <w:rFonts w:ascii="Century Gothic" w:hAnsi="Century Gothic"/>
        </w:rPr>
      </w:pPr>
    </w:p>
    <w:p w:rsidR="00256008" w:rsidRDefault="00256008">
      <w:pPr>
        <w:rPr>
          <w:rFonts w:ascii="Century Gothic" w:hAnsi="Century Gothic"/>
        </w:rPr>
      </w:pPr>
      <w:r>
        <w:rPr>
          <w:rFonts w:ascii="Century Gothic" w:hAnsi="Century Gothic"/>
        </w:rPr>
        <w:br w:type="page"/>
      </w:r>
    </w:p>
    <w:p w:rsidR="00256008" w:rsidRPr="00462B52" w:rsidRDefault="00256008" w:rsidP="00256008">
      <w:pPr>
        <w:jc w:val="both"/>
        <w:rPr>
          <w:rFonts w:ascii="Century Gothic" w:hAnsi="Century Gothic"/>
          <w:b/>
          <w:sz w:val="28"/>
          <w:szCs w:val="28"/>
        </w:rPr>
      </w:pPr>
      <w:r>
        <w:rPr>
          <w:rFonts w:ascii="Century Gothic" w:hAnsi="Century Gothic"/>
          <w:b/>
          <w:sz w:val="28"/>
          <w:szCs w:val="28"/>
        </w:rPr>
        <w:lastRenderedPageBreak/>
        <w:t>3</w:t>
      </w:r>
      <w:r w:rsidRPr="00462B52">
        <w:rPr>
          <w:rFonts w:ascii="Century Gothic" w:hAnsi="Century Gothic"/>
          <w:b/>
          <w:sz w:val="28"/>
          <w:szCs w:val="28"/>
        </w:rPr>
        <w:t xml:space="preserve">. </w:t>
      </w:r>
      <w:smartTag w:uri="urn:schemas-microsoft-com:office:smarttags" w:element="PersonName">
        <w:smartTagPr>
          <w:attr w:name="ProductID" w:val="LA PROPENSIONE CONTRATTUALE"/>
        </w:smartTagPr>
        <w:smartTag w:uri="urn:schemas-microsoft-com:office:smarttags" w:element="PersonName">
          <w:smartTagPr>
            <w:attr w:name="ProductID" w:val="LA PROPENSIONE"/>
          </w:smartTagPr>
          <w:r w:rsidRPr="00462B52">
            <w:rPr>
              <w:rFonts w:ascii="Century Gothic" w:hAnsi="Century Gothic"/>
              <w:b/>
              <w:sz w:val="28"/>
              <w:szCs w:val="28"/>
            </w:rPr>
            <w:t>LA PROPENSIONE</w:t>
          </w:r>
        </w:smartTag>
        <w:r w:rsidRPr="00462B52">
          <w:rPr>
            <w:rFonts w:ascii="Century Gothic" w:hAnsi="Century Gothic"/>
            <w:b/>
            <w:sz w:val="28"/>
            <w:szCs w:val="28"/>
          </w:rPr>
          <w:t xml:space="preserve"> CONTRATTUALE</w:t>
        </w:r>
      </w:smartTag>
      <w:r w:rsidRPr="00462B52">
        <w:rPr>
          <w:rFonts w:ascii="Century Gothic" w:hAnsi="Century Gothic"/>
          <w:b/>
          <w:sz w:val="28"/>
          <w:szCs w:val="28"/>
        </w:rPr>
        <w:t xml:space="preserve"> IN TOSCANA</w:t>
      </w:r>
    </w:p>
    <w:p w:rsidR="00256008" w:rsidRPr="0035601B" w:rsidRDefault="00256008" w:rsidP="00256008">
      <w:pPr>
        <w:jc w:val="both"/>
        <w:rPr>
          <w:rFonts w:ascii="Century Gothic" w:hAnsi="Century Gothic"/>
        </w:rPr>
      </w:pPr>
    </w:p>
    <w:p w:rsidR="00256008" w:rsidRDefault="00256008" w:rsidP="00256008">
      <w:pPr>
        <w:jc w:val="both"/>
        <w:rPr>
          <w:rFonts w:ascii="Century Gothic" w:hAnsi="Century Gothic"/>
          <w:b/>
        </w:rPr>
      </w:pPr>
      <w:r>
        <w:rPr>
          <w:rFonts w:ascii="Century Gothic" w:hAnsi="Century Gothic"/>
          <w:b/>
        </w:rPr>
        <w:t>3</w:t>
      </w:r>
      <w:r w:rsidRPr="0035601B">
        <w:rPr>
          <w:rFonts w:ascii="Century Gothic" w:hAnsi="Century Gothic"/>
          <w:b/>
        </w:rPr>
        <w:t>.1</w:t>
      </w:r>
      <w:r>
        <w:rPr>
          <w:rFonts w:ascii="Century Gothic" w:hAnsi="Century Gothic"/>
          <w:b/>
        </w:rPr>
        <w:t>.</w:t>
      </w:r>
      <w:r w:rsidRPr="0035601B">
        <w:rPr>
          <w:rFonts w:ascii="Century Gothic" w:hAnsi="Century Gothic"/>
          <w:b/>
        </w:rPr>
        <w:t xml:space="preserve"> Un quadro complessivo della regione</w:t>
      </w:r>
    </w:p>
    <w:p w:rsidR="00232261" w:rsidRDefault="00232261" w:rsidP="00256008">
      <w:pPr>
        <w:jc w:val="both"/>
        <w:rPr>
          <w:rFonts w:ascii="Century Gothic" w:hAnsi="Century Gothic"/>
        </w:rPr>
      </w:pPr>
      <w:r>
        <w:rPr>
          <w:rFonts w:ascii="Century Gothic" w:hAnsi="Century Gothic"/>
        </w:rPr>
        <w:t xml:space="preserve">Nell’esame diacronico della propensione contrattuale, si </w:t>
      </w:r>
      <w:r w:rsidR="00B4561F">
        <w:rPr>
          <w:rFonts w:ascii="Century Gothic" w:hAnsi="Century Gothic"/>
        </w:rPr>
        <w:t>rileva chiaramente che nel 2013 si è verificata</w:t>
      </w:r>
      <w:r>
        <w:rPr>
          <w:rFonts w:ascii="Century Gothic" w:hAnsi="Century Gothic"/>
        </w:rPr>
        <w:t xml:space="preserve"> una diminuzione della contrattazione sociale sia </w:t>
      </w:r>
      <w:r w:rsidR="00B4561F">
        <w:rPr>
          <w:rFonts w:ascii="Century Gothic" w:hAnsi="Century Gothic"/>
        </w:rPr>
        <w:t>come</w:t>
      </w:r>
      <w:r>
        <w:rPr>
          <w:rFonts w:ascii="Century Gothic" w:hAnsi="Century Gothic"/>
        </w:rPr>
        <w:t xml:space="preserve"> popolazione coperta che </w:t>
      </w:r>
      <w:r w:rsidR="00B4561F">
        <w:rPr>
          <w:rFonts w:ascii="Century Gothic" w:hAnsi="Century Gothic"/>
        </w:rPr>
        <w:t>come</w:t>
      </w:r>
      <w:r>
        <w:rPr>
          <w:rFonts w:ascii="Century Gothic" w:hAnsi="Century Gothic"/>
        </w:rPr>
        <w:t xml:space="preserve"> comuni coinvolti rispetto al trend ascendente che aveva portato al picco del 2012 (</w:t>
      </w:r>
      <w:r w:rsidR="003B3520">
        <w:rPr>
          <w:rFonts w:ascii="Century Gothic" w:hAnsi="Century Gothic"/>
        </w:rPr>
        <w:t xml:space="preserve">rispettivamente </w:t>
      </w:r>
      <w:r>
        <w:rPr>
          <w:rFonts w:ascii="Century Gothic" w:hAnsi="Century Gothic"/>
        </w:rPr>
        <w:t xml:space="preserve">quasi il </w:t>
      </w:r>
      <w:r w:rsidR="003B3520">
        <w:rPr>
          <w:rFonts w:ascii="Century Gothic" w:hAnsi="Century Gothic"/>
        </w:rPr>
        <w:t>7</w:t>
      </w:r>
      <w:r>
        <w:rPr>
          <w:rFonts w:ascii="Century Gothic" w:hAnsi="Century Gothic"/>
        </w:rPr>
        <w:t xml:space="preserve">0% </w:t>
      </w:r>
      <w:r w:rsidR="003B3520">
        <w:rPr>
          <w:rFonts w:ascii="Century Gothic" w:hAnsi="Century Gothic"/>
        </w:rPr>
        <w:t xml:space="preserve"> e il 60%</w:t>
      </w:r>
      <w:r>
        <w:rPr>
          <w:rFonts w:ascii="Century Gothic" w:hAnsi="Century Gothic"/>
        </w:rPr>
        <w:t xml:space="preserve">). Nel corso del 2014 si </w:t>
      </w:r>
      <w:r w:rsidR="003B3520">
        <w:rPr>
          <w:rFonts w:ascii="Century Gothic" w:hAnsi="Century Gothic"/>
        </w:rPr>
        <w:t>assiste a</w:t>
      </w:r>
      <w:r>
        <w:rPr>
          <w:rFonts w:ascii="Century Gothic" w:hAnsi="Century Gothic"/>
        </w:rPr>
        <w:t xml:space="preserve"> un’ulteriore riduzione che ha comportato una copertura del 29% per quanto concerne la popolazione e del 19% riguardo ai comuni. Nel 2015 si verifica un’inversione di tendenza </w:t>
      </w:r>
      <w:r w:rsidR="003B3520">
        <w:rPr>
          <w:rFonts w:ascii="Century Gothic" w:hAnsi="Century Gothic"/>
        </w:rPr>
        <w:t xml:space="preserve">che arriva a una copertura di </w:t>
      </w:r>
      <w:r w:rsidR="003B3520" w:rsidRPr="00B4561F">
        <w:rPr>
          <w:rFonts w:ascii="Century Gothic" w:hAnsi="Century Gothic"/>
        </w:rPr>
        <w:t>circa due quinti</w:t>
      </w:r>
      <w:r w:rsidR="003B3520">
        <w:rPr>
          <w:rFonts w:ascii="Century Gothic" w:hAnsi="Century Gothic"/>
        </w:rPr>
        <w:t xml:space="preserve"> della popolazione e di un terzo dei comuni. I valori rimangono inferiori rispetto al quadriennio 2009-2013, però è già importante che si sia a</w:t>
      </w:r>
      <w:r w:rsidR="008348D0">
        <w:rPr>
          <w:rFonts w:ascii="Century Gothic" w:hAnsi="Century Gothic"/>
        </w:rPr>
        <w:t xml:space="preserve">rrestato il trend discendente. </w:t>
      </w:r>
      <w:r w:rsidR="00C33122">
        <w:rPr>
          <w:rFonts w:ascii="Century Gothic" w:hAnsi="Century Gothic"/>
        </w:rPr>
        <w:t>Inoltre la quota di comuni che hanno siglato accordi nel 2015 (3</w:t>
      </w:r>
      <w:r w:rsidR="006E1D9B">
        <w:rPr>
          <w:rFonts w:ascii="Century Gothic" w:hAnsi="Century Gothic"/>
        </w:rPr>
        <w:t>1</w:t>
      </w:r>
      <w:r w:rsidR="00C33122">
        <w:rPr>
          <w:rFonts w:ascii="Century Gothic" w:hAnsi="Century Gothic"/>
        </w:rPr>
        <w:t>%) è vicina a quella del 2009 (35%)</w:t>
      </w:r>
    </w:p>
    <w:p w:rsidR="00C33122" w:rsidRDefault="00C33122" w:rsidP="00256008">
      <w:pPr>
        <w:jc w:val="both"/>
        <w:rPr>
          <w:rFonts w:ascii="Century Gothic" w:hAnsi="Century Gothic"/>
        </w:rPr>
      </w:pPr>
    </w:p>
    <w:p w:rsidR="00256008" w:rsidRDefault="00256008" w:rsidP="00256008">
      <w:pPr>
        <w:jc w:val="both"/>
        <w:rPr>
          <w:rFonts w:ascii="Century Gothic" w:hAnsi="Century Gothic"/>
          <w:b/>
        </w:rPr>
      </w:pPr>
      <w:r>
        <w:rPr>
          <w:rFonts w:ascii="Century Gothic" w:hAnsi="Century Gothic"/>
          <w:b/>
        </w:rPr>
        <w:t>Graf. n.</w:t>
      </w:r>
      <w:r w:rsidRPr="0035601B">
        <w:rPr>
          <w:rFonts w:ascii="Century Gothic" w:hAnsi="Century Gothic"/>
          <w:b/>
        </w:rPr>
        <w:t xml:space="preserve"> </w:t>
      </w:r>
      <w:r>
        <w:rPr>
          <w:rFonts w:ascii="Century Gothic" w:hAnsi="Century Gothic"/>
          <w:b/>
        </w:rPr>
        <w:t xml:space="preserve">3 </w:t>
      </w:r>
      <w:r w:rsidRPr="0035601B">
        <w:rPr>
          <w:rFonts w:ascii="Century Gothic" w:hAnsi="Century Gothic"/>
          <w:b/>
        </w:rPr>
        <w:t>- La contrattazione sociale territoriale in Toscana: propensione contrattuale per comuni e</w:t>
      </w:r>
      <w:r>
        <w:rPr>
          <w:rFonts w:ascii="Century Gothic" w:hAnsi="Century Gothic"/>
          <w:b/>
        </w:rPr>
        <w:t xml:space="preserve"> per popolazione 2009-201</w:t>
      </w:r>
      <w:r w:rsidR="00087350">
        <w:rPr>
          <w:rFonts w:ascii="Century Gothic" w:hAnsi="Century Gothic"/>
          <w:b/>
        </w:rPr>
        <w:t>5</w:t>
      </w:r>
    </w:p>
    <w:p w:rsidR="00F13F8C" w:rsidRDefault="00F13F8C" w:rsidP="00256008">
      <w:pPr>
        <w:jc w:val="both"/>
        <w:rPr>
          <w:rFonts w:ascii="Century Gothic" w:hAnsi="Century Gothic"/>
        </w:rPr>
      </w:pPr>
      <w:r w:rsidRPr="00F13F8C">
        <w:rPr>
          <w:rFonts w:ascii="Century Gothic" w:hAnsi="Century Gothic"/>
          <w:noProof/>
          <w:lang w:eastAsia="it-IT"/>
        </w:rPr>
        <w:drawing>
          <wp:inline distT="0" distB="0" distL="0" distR="0">
            <wp:extent cx="5210175" cy="2743200"/>
            <wp:effectExtent l="19050" t="0" r="9525" b="0"/>
            <wp:docPr id="5"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6008" w:rsidRDefault="00F13F8C" w:rsidP="00256008">
      <w:pPr>
        <w:jc w:val="both"/>
        <w:rPr>
          <w:rFonts w:ascii="Century Gothic" w:hAnsi="Century Gothic"/>
        </w:rPr>
      </w:pPr>
      <w:r w:rsidRPr="00F13F8C">
        <w:rPr>
          <w:rFonts w:ascii="Century Gothic" w:hAnsi="Century Gothic"/>
          <w:noProof/>
          <w:lang w:eastAsia="it-IT"/>
        </w:rPr>
        <w:drawing>
          <wp:inline distT="0" distB="0" distL="0" distR="0">
            <wp:extent cx="5207568" cy="2743200"/>
            <wp:effectExtent l="19050" t="0" r="12132" b="0"/>
            <wp:docPr id="6"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34DD" w:rsidRDefault="00C51127" w:rsidP="00232261">
      <w:pPr>
        <w:jc w:val="both"/>
        <w:rPr>
          <w:rFonts w:ascii="Century Gothic" w:hAnsi="Century Gothic"/>
        </w:rPr>
      </w:pPr>
      <w:r>
        <w:rPr>
          <w:rFonts w:ascii="Century Gothic" w:hAnsi="Century Gothic"/>
        </w:rPr>
        <w:lastRenderedPageBreak/>
        <w:t>In valori assoluti, nel corso del 2015, gli accordi siglati hanno riguardato 8</w:t>
      </w:r>
      <w:r w:rsidR="008348D0">
        <w:rPr>
          <w:rFonts w:ascii="Century Gothic" w:hAnsi="Century Gothic"/>
        </w:rPr>
        <w:t>7</w:t>
      </w:r>
      <w:r>
        <w:rPr>
          <w:rFonts w:ascii="Century Gothic" w:hAnsi="Century Gothic"/>
        </w:rPr>
        <w:t xml:space="preserve"> comuni rispetto </w:t>
      </w:r>
      <w:r w:rsidR="00143ADA">
        <w:rPr>
          <w:rFonts w:ascii="Century Gothic" w:hAnsi="Century Gothic"/>
        </w:rPr>
        <w:t xml:space="preserve">ai 54 del 2015 su 279 comuni della Toscana. </w:t>
      </w:r>
      <w:r w:rsidR="00523BE0">
        <w:rPr>
          <w:rFonts w:ascii="Century Gothic" w:hAnsi="Century Gothic"/>
        </w:rPr>
        <w:t xml:space="preserve">Bisogna segnalare che dal 2013 in Toscana sono avvenute delle fusioni di comuni in alcune province, per cui nel 2015 il numero dei comuni </w:t>
      </w:r>
      <w:r w:rsidR="00FD34DD">
        <w:rPr>
          <w:rFonts w:ascii="Century Gothic" w:hAnsi="Century Gothic"/>
        </w:rPr>
        <w:t>si è attestato sul valore di 279 rispetto a</w:t>
      </w:r>
      <w:r w:rsidR="00913DC8">
        <w:rPr>
          <w:rFonts w:ascii="Century Gothic" w:hAnsi="Century Gothic"/>
        </w:rPr>
        <w:t>i</w:t>
      </w:r>
      <w:r w:rsidR="00FD34DD">
        <w:rPr>
          <w:rFonts w:ascii="Century Gothic" w:hAnsi="Century Gothic"/>
        </w:rPr>
        <w:t xml:space="preserve"> </w:t>
      </w:r>
      <w:r w:rsidR="00523BE0">
        <w:rPr>
          <w:rFonts w:ascii="Century Gothic" w:hAnsi="Century Gothic"/>
        </w:rPr>
        <w:t xml:space="preserve">288 </w:t>
      </w:r>
      <w:r w:rsidR="00FD34DD">
        <w:rPr>
          <w:rFonts w:ascii="Century Gothic" w:hAnsi="Century Gothic"/>
        </w:rPr>
        <w:t>di partenza</w:t>
      </w:r>
      <w:r w:rsidR="00523BE0">
        <w:rPr>
          <w:rFonts w:ascii="Century Gothic" w:hAnsi="Century Gothic"/>
        </w:rPr>
        <w:t xml:space="preserve"> </w:t>
      </w:r>
      <w:r w:rsidR="00FD34DD">
        <w:rPr>
          <w:rFonts w:ascii="Century Gothic" w:hAnsi="Century Gothic"/>
        </w:rPr>
        <w:t>Per effettuare un confronto con gli anni precedenti è stato fatto un adeguamento, ossia</w:t>
      </w:r>
      <w:r w:rsidR="00913DC8">
        <w:rPr>
          <w:rFonts w:ascii="Century Gothic" w:hAnsi="Century Gothic"/>
        </w:rPr>
        <w:t>, anche per il periodo 2009-2014,</w:t>
      </w:r>
      <w:r w:rsidR="00FD34DD">
        <w:rPr>
          <w:rFonts w:ascii="Century Gothic" w:hAnsi="Century Gothic"/>
        </w:rPr>
        <w:t xml:space="preserve"> sono stati considerati accorpati quei comuni in cui si è poi verificata la fusione. Naturalmente per la popolazione coperta non è stato necessario effettuare questo genere di modifica.</w:t>
      </w:r>
    </w:p>
    <w:p w:rsidR="00256008" w:rsidRDefault="001C5585" w:rsidP="00256008">
      <w:pPr>
        <w:jc w:val="both"/>
        <w:rPr>
          <w:rFonts w:ascii="Century Gothic" w:hAnsi="Century Gothic"/>
        </w:rPr>
      </w:pPr>
      <w:r>
        <w:rPr>
          <w:rFonts w:ascii="Century Gothic" w:hAnsi="Century Gothic"/>
        </w:rPr>
        <w:t xml:space="preserve">A parte il sopraccitato processo di adeguamento del numero dei comuni, </w:t>
      </w:r>
      <w:r w:rsidR="003350CC">
        <w:rPr>
          <w:rFonts w:ascii="Century Gothic" w:hAnsi="Century Gothic"/>
        </w:rPr>
        <w:t>nel</w:t>
      </w:r>
      <w:r w:rsidR="003350CC" w:rsidRPr="008B3815">
        <w:rPr>
          <w:rFonts w:ascii="Century Gothic" w:hAnsi="Century Gothic"/>
        </w:rPr>
        <w:t>l’analisi della propensione contrattuale in Toscana nel 201</w:t>
      </w:r>
      <w:r w:rsidR="003350CC">
        <w:rPr>
          <w:rFonts w:ascii="Century Gothic" w:hAnsi="Century Gothic"/>
        </w:rPr>
        <w:t>5, l</w:t>
      </w:r>
      <w:r w:rsidR="003350CC" w:rsidRPr="008B3815">
        <w:rPr>
          <w:rFonts w:ascii="Century Gothic" w:hAnsi="Century Gothic"/>
        </w:rPr>
        <w:t xml:space="preserve">a metodologia adottata </w:t>
      </w:r>
      <w:r w:rsidR="003350CC">
        <w:rPr>
          <w:rFonts w:ascii="Century Gothic" w:hAnsi="Century Gothic"/>
        </w:rPr>
        <w:t>corrisponde a quella d</w:t>
      </w:r>
      <w:r w:rsidR="003350CC" w:rsidRPr="008B3815">
        <w:rPr>
          <w:rFonts w:ascii="Century Gothic" w:hAnsi="Century Gothic"/>
        </w:rPr>
        <w:t>ei precedenti rapporti al fine di una comparazione dei dati. E’ stato, quindi, esaminato l’insieme degli accordi che possono avere denominazioni varie (Accordi, Intese, Protocolli di intesa, Verbali di intesa) e dei verbali di incontro assimilabili ad accordi</w:t>
      </w:r>
      <w:r w:rsidR="003350CC" w:rsidRPr="008B3815">
        <w:rPr>
          <w:rStyle w:val="Rimandonotaapidipagina"/>
          <w:rFonts w:ascii="Century Gothic" w:hAnsi="Century Gothic"/>
        </w:rPr>
        <w:footnoteReference w:id="4"/>
      </w:r>
      <w:r w:rsidR="003350CC" w:rsidRPr="008B3815">
        <w:rPr>
          <w:rFonts w:ascii="Century Gothic" w:hAnsi="Century Gothic"/>
        </w:rPr>
        <w:t>. Dal punto di vista dell’ambito territoriale è stato scelto il livello comunale, intercomunale, quello dei distretti socio-sanitari se riguardano aree definite come le Società della Salute o se sono presenti anche le amministrazioni comunali. Non sono, invece, calcolati gli accordi tra organizzazioni sindacali e/o leghe dei pensionati con le ASL senza la presenza dei comuni. In ogni caso, il livello prevalente è sempre quello comunale, come si può vedere dall’analisi diacronica nel capitolo 2, paragrafo 2.2. .</w:t>
      </w:r>
    </w:p>
    <w:p w:rsidR="003350CC" w:rsidRPr="003350CC" w:rsidRDefault="003350CC" w:rsidP="00256008">
      <w:pPr>
        <w:jc w:val="both"/>
        <w:rPr>
          <w:rFonts w:ascii="Century Gothic" w:hAnsi="Century Gothic"/>
        </w:rPr>
      </w:pPr>
    </w:p>
    <w:p w:rsidR="00256008" w:rsidRDefault="00256008" w:rsidP="00256008">
      <w:pPr>
        <w:jc w:val="both"/>
        <w:rPr>
          <w:rFonts w:ascii="Century Gothic" w:hAnsi="Century Gothic"/>
          <w:b/>
        </w:rPr>
      </w:pPr>
      <w:r>
        <w:rPr>
          <w:rFonts w:ascii="Century Gothic" w:hAnsi="Century Gothic"/>
          <w:b/>
        </w:rPr>
        <w:t>3</w:t>
      </w:r>
      <w:r w:rsidRPr="0035601B">
        <w:rPr>
          <w:rFonts w:ascii="Century Gothic" w:hAnsi="Century Gothic"/>
          <w:b/>
        </w:rPr>
        <w:t>.2. La propensione negoziale per numero di comuni coperti da contrattazione sociale</w:t>
      </w:r>
    </w:p>
    <w:p w:rsidR="008348D0" w:rsidRDefault="008348D0" w:rsidP="00256008">
      <w:pPr>
        <w:jc w:val="both"/>
        <w:rPr>
          <w:rFonts w:ascii="Century Gothic" w:hAnsi="Century Gothic"/>
          <w:b/>
        </w:rPr>
      </w:pPr>
    </w:p>
    <w:p w:rsidR="006A4A9D" w:rsidRDefault="00143ADA" w:rsidP="00256008">
      <w:pPr>
        <w:jc w:val="both"/>
        <w:rPr>
          <w:rFonts w:ascii="Century Gothic" w:hAnsi="Century Gothic"/>
        </w:rPr>
      </w:pPr>
      <w:r>
        <w:rPr>
          <w:rFonts w:ascii="Century Gothic" w:hAnsi="Century Gothic"/>
        </w:rPr>
        <w:t xml:space="preserve">Il trend ascendente rilevato complessivamente a livello regionale può essere riscontrato in buona parte delle province. </w:t>
      </w:r>
      <w:r w:rsidR="00A02A03">
        <w:rPr>
          <w:rFonts w:ascii="Century Gothic" w:hAnsi="Century Gothic"/>
        </w:rPr>
        <w:t>Entrando più nel dettaglio</w:t>
      </w:r>
      <w:r>
        <w:rPr>
          <w:rFonts w:ascii="Century Gothic" w:hAnsi="Century Gothic"/>
        </w:rPr>
        <w:t xml:space="preserve"> l’aumento è rilevante nell’area di Arezzo</w:t>
      </w:r>
      <w:r w:rsidR="003F6147">
        <w:rPr>
          <w:rFonts w:ascii="Century Gothic" w:hAnsi="Century Gothic"/>
        </w:rPr>
        <w:t>,</w:t>
      </w:r>
      <w:r>
        <w:rPr>
          <w:rFonts w:ascii="Century Gothic" w:hAnsi="Century Gothic"/>
        </w:rPr>
        <w:t xml:space="preserve"> dove i comuni interessati passano da 5 a 22; ciò è dovuto essenzialmente alla presenza di due accordi intercomunali collegati con la piattaforma </w:t>
      </w:r>
      <w:r w:rsidR="006A4A9D">
        <w:rPr>
          <w:rFonts w:ascii="Century Gothic" w:hAnsi="Century Gothic"/>
        </w:rPr>
        <w:t xml:space="preserve">di contrattazione sociale 2014-2015 presentata a livello provinciale nel 2014. </w:t>
      </w:r>
    </w:p>
    <w:p w:rsidR="00F56B17" w:rsidRDefault="00F56B17">
      <w:pPr>
        <w:rPr>
          <w:rFonts w:ascii="Century Gothic" w:hAnsi="Century Gothic"/>
          <w:b/>
        </w:rPr>
      </w:pPr>
    </w:p>
    <w:p w:rsidR="00256008" w:rsidRDefault="00256008" w:rsidP="00256008">
      <w:pPr>
        <w:jc w:val="both"/>
        <w:rPr>
          <w:rFonts w:ascii="Century Gothic" w:hAnsi="Century Gothic"/>
          <w:b/>
        </w:rPr>
      </w:pPr>
      <w:r>
        <w:rPr>
          <w:rFonts w:ascii="Century Gothic" w:hAnsi="Century Gothic"/>
          <w:b/>
        </w:rPr>
        <w:t>Tab.n. 3</w:t>
      </w:r>
      <w:r w:rsidRPr="0035601B">
        <w:rPr>
          <w:rFonts w:ascii="Century Gothic" w:hAnsi="Century Gothic"/>
          <w:b/>
        </w:rPr>
        <w:t>- Numero dei comuni coperti da contrattazione sociale per pro</w:t>
      </w:r>
      <w:r>
        <w:rPr>
          <w:rFonts w:ascii="Century Gothic" w:hAnsi="Century Gothic"/>
          <w:b/>
        </w:rPr>
        <w:t>vincia 2009-201</w:t>
      </w:r>
      <w:r w:rsidR="00143ADA">
        <w:rPr>
          <w:rFonts w:ascii="Century Gothic" w:hAnsi="Century Gothic"/>
          <w:b/>
        </w:rPr>
        <w:t>5</w:t>
      </w:r>
      <w:r w:rsidRPr="0035601B">
        <w:rPr>
          <w:rFonts w:ascii="Century Gothic" w:hAnsi="Century Gothic"/>
          <w:b/>
        </w:rPr>
        <w:t xml:space="preserve"> </w:t>
      </w:r>
    </w:p>
    <w:tbl>
      <w:tblPr>
        <w:tblW w:w="8460" w:type="dxa"/>
        <w:tblInd w:w="65" w:type="dxa"/>
        <w:tblCellMar>
          <w:left w:w="70" w:type="dxa"/>
          <w:right w:w="70" w:type="dxa"/>
        </w:tblCellMar>
        <w:tblLook w:val="04A0" w:firstRow="1" w:lastRow="0" w:firstColumn="1" w:lastColumn="0" w:noHBand="0" w:noVBand="1"/>
      </w:tblPr>
      <w:tblGrid>
        <w:gridCol w:w="1740"/>
        <w:gridCol w:w="960"/>
        <w:gridCol w:w="960"/>
        <w:gridCol w:w="960"/>
        <w:gridCol w:w="960"/>
        <w:gridCol w:w="960"/>
        <w:gridCol w:w="960"/>
        <w:gridCol w:w="960"/>
      </w:tblGrid>
      <w:tr w:rsidR="00C51127" w:rsidRPr="00C51127" w:rsidTr="00C51127">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rPr>
                <w:rFonts w:ascii="Century Gothic" w:hAnsi="Century Gothic"/>
                <w:color w:val="000000"/>
                <w:sz w:val="20"/>
                <w:szCs w:val="20"/>
                <w:lang w:eastAsia="it-IT"/>
              </w:rPr>
            </w:pPr>
            <w:r w:rsidRPr="00C51127">
              <w:rPr>
                <w:rFonts w:ascii="Century Gothic" w:hAnsi="Century Gothic"/>
                <w:color w:val="000000"/>
                <w:sz w:val="20"/>
                <w:szCs w:val="20"/>
                <w:lang w:eastAsia="it-IT"/>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color w:val="000000"/>
                <w:sz w:val="20"/>
                <w:szCs w:val="20"/>
                <w:lang w:eastAsia="it-IT"/>
              </w:rPr>
            </w:pPr>
            <w:r w:rsidRPr="00C51127">
              <w:rPr>
                <w:rFonts w:ascii="Century Gothic" w:hAnsi="Century Gothic"/>
                <w:color w:val="000000"/>
                <w:sz w:val="20"/>
                <w:szCs w:val="20"/>
                <w:lang w:eastAsia="it-IT"/>
              </w:rPr>
              <w:t>2009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color w:val="000000"/>
                <w:sz w:val="20"/>
                <w:szCs w:val="20"/>
                <w:lang w:eastAsia="it-IT"/>
              </w:rPr>
            </w:pPr>
            <w:r w:rsidRPr="00C51127">
              <w:rPr>
                <w:rFonts w:ascii="Century Gothic" w:hAnsi="Century Gothic"/>
                <w:color w:val="000000"/>
                <w:sz w:val="20"/>
                <w:szCs w:val="20"/>
                <w:lang w:eastAsia="it-IT"/>
              </w:rPr>
              <w:t>2010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color w:val="000000"/>
                <w:sz w:val="20"/>
                <w:szCs w:val="20"/>
                <w:lang w:eastAsia="it-IT"/>
              </w:rPr>
            </w:pPr>
            <w:r w:rsidRPr="00C51127">
              <w:rPr>
                <w:rFonts w:ascii="Century Gothic" w:hAnsi="Century Gothic"/>
                <w:color w:val="000000"/>
                <w:sz w:val="20"/>
                <w:szCs w:val="20"/>
                <w:lang w:eastAsia="it-IT"/>
              </w:rPr>
              <w:t>2011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color w:val="000000"/>
                <w:sz w:val="20"/>
                <w:szCs w:val="20"/>
                <w:lang w:eastAsia="it-IT"/>
              </w:rPr>
            </w:pPr>
            <w:r w:rsidRPr="00C51127">
              <w:rPr>
                <w:rFonts w:ascii="Century Gothic" w:hAnsi="Century Gothic"/>
                <w:color w:val="000000"/>
                <w:sz w:val="20"/>
                <w:szCs w:val="20"/>
                <w:lang w:eastAsia="it-IT"/>
              </w:rPr>
              <w:t>2012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color w:val="000000"/>
                <w:sz w:val="20"/>
                <w:szCs w:val="20"/>
                <w:lang w:eastAsia="it-IT"/>
              </w:rPr>
            </w:pPr>
            <w:r w:rsidRPr="00C51127">
              <w:rPr>
                <w:rFonts w:ascii="Century Gothic" w:hAnsi="Century Gothic"/>
                <w:color w:val="000000"/>
                <w:sz w:val="20"/>
                <w:szCs w:val="20"/>
                <w:lang w:eastAsia="it-IT"/>
              </w:rPr>
              <w:t>2013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color w:val="000000"/>
                <w:sz w:val="20"/>
                <w:szCs w:val="20"/>
                <w:lang w:eastAsia="it-IT"/>
              </w:rPr>
            </w:pPr>
            <w:r w:rsidRPr="00C51127">
              <w:rPr>
                <w:rFonts w:ascii="Century Gothic" w:hAnsi="Century Gothic"/>
                <w:color w:val="000000"/>
                <w:sz w:val="20"/>
                <w:szCs w:val="20"/>
                <w:lang w:eastAsia="it-IT"/>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color w:val="000000"/>
                <w:sz w:val="20"/>
                <w:szCs w:val="20"/>
                <w:lang w:eastAsia="it-IT"/>
              </w:rPr>
            </w:pPr>
            <w:r w:rsidRPr="00C51127">
              <w:rPr>
                <w:rFonts w:ascii="Century Gothic" w:hAnsi="Century Gothic"/>
                <w:color w:val="000000"/>
                <w:sz w:val="20"/>
                <w:szCs w:val="20"/>
                <w:lang w:eastAsia="it-IT"/>
              </w:rPr>
              <w:t>2015</w:t>
            </w:r>
          </w:p>
        </w:tc>
      </w:tr>
      <w:tr w:rsidR="00C51127" w:rsidRPr="00C51127" w:rsidTr="00C5112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Arezzo</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10</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10</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30</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36</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33</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5</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22</w:t>
            </w:r>
          </w:p>
        </w:tc>
      </w:tr>
      <w:tr w:rsidR="00C51127" w:rsidRPr="00C51127" w:rsidTr="00C5112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Firenze</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31</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28</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29</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28</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16</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5</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7</w:t>
            </w:r>
          </w:p>
        </w:tc>
      </w:tr>
      <w:tr w:rsidR="00C51127" w:rsidRPr="00C51127" w:rsidTr="00C5112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Grosseto</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5</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8</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12</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16</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10</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4</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0</w:t>
            </w:r>
          </w:p>
        </w:tc>
      </w:tr>
      <w:tr w:rsidR="00C51127" w:rsidRPr="00C51127" w:rsidTr="00C5112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Livorno</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6</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11</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7</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4</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5</w:t>
            </w:r>
          </w:p>
        </w:tc>
      </w:tr>
      <w:tr w:rsidR="00C51127" w:rsidRPr="00C51127" w:rsidTr="00C5112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Lucca</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27</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6</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15</w:t>
            </w:r>
          </w:p>
        </w:tc>
      </w:tr>
      <w:tr w:rsidR="00C51127" w:rsidRPr="00C51127" w:rsidTr="00C5112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Massa-Carrara</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14</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4</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4</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w:t>
            </w:r>
          </w:p>
        </w:tc>
      </w:tr>
      <w:tr w:rsidR="00C51127" w:rsidRPr="00C51127" w:rsidTr="00C5112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Pisa</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7</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9</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17</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16</w:t>
            </w:r>
          </w:p>
        </w:tc>
      </w:tr>
      <w:tr w:rsidR="00C51127" w:rsidRPr="00C51127" w:rsidTr="00C5112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Pistoia</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14</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9</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7</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4</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w:t>
            </w:r>
          </w:p>
        </w:tc>
      </w:tr>
      <w:tr w:rsidR="00C51127" w:rsidRPr="00C51127" w:rsidTr="00C5112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Prato</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3</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3</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7</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5</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4</w:t>
            </w:r>
          </w:p>
        </w:tc>
      </w:tr>
      <w:tr w:rsidR="00C51127" w:rsidRPr="00C51127" w:rsidTr="00C5112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Siena</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13</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26</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26</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22</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23</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10</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6E1D9B">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w:t>
            </w:r>
            <w:r w:rsidR="006E1D9B">
              <w:rPr>
                <w:rFonts w:ascii="Century Gothic" w:hAnsi="Century Gothic"/>
                <w:b/>
                <w:bCs/>
                <w:color w:val="000000"/>
                <w:sz w:val="20"/>
                <w:szCs w:val="20"/>
                <w:lang w:eastAsia="it-IT"/>
              </w:rPr>
              <w:t>4</w:t>
            </w:r>
          </w:p>
        </w:tc>
      </w:tr>
      <w:tr w:rsidR="00C51127" w:rsidRPr="00C51127" w:rsidTr="00C5112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Toscana</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99</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106</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162</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160</w:t>
            </w:r>
          </w:p>
        </w:tc>
        <w:tc>
          <w:tcPr>
            <w:tcW w:w="960" w:type="dxa"/>
            <w:tcBorders>
              <w:top w:val="nil"/>
              <w:left w:val="nil"/>
              <w:bottom w:val="single" w:sz="4" w:space="0" w:color="auto"/>
              <w:right w:val="single" w:sz="4" w:space="0" w:color="auto"/>
            </w:tcBorders>
            <w:shd w:val="clear" w:color="auto" w:fill="auto"/>
            <w:noWrap/>
            <w:vAlign w:val="center"/>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121</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C51127">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54</w:t>
            </w:r>
          </w:p>
        </w:tc>
        <w:tc>
          <w:tcPr>
            <w:tcW w:w="960" w:type="dxa"/>
            <w:tcBorders>
              <w:top w:val="nil"/>
              <w:left w:val="nil"/>
              <w:bottom w:val="single" w:sz="4" w:space="0" w:color="auto"/>
              <w:right w:val="single" w:sz="4" w:space="0" w:color="auto"/>
            </w:tcBorders>
            <w:shd w:val="clear" w:color="auto" w:fill="auto"/>
            <w:noWrap/>
            <w:vAlign w:val="bottom"/>
            <w:hideMark/>
          </w:tcPr>
          <w:p w:rsidR="00C51127" w:rsidRPr="00C51127" w:rsidRDefault="00C51127" w:rsidP="006E1D9B">
            <w:pPr>
              <w:spacing w:line="240" w:lineRule="auto"/>
              <w:jc w:val="right"/>
              <w:rPr>
                <w:rFonts w:ascii="Century Gothic" w:hAnsi="Century Gothic"/>
                <w:b/>
                <w:bCs/>
                <w:color w:val="000000"/>
                <w:sz w:val="20"/>
                <w:szCs w:val="20"/>
                <w:lang w:eastAsia="it-IT"/>
              </w:rPr>
            </w:pPr>
            <w:r w:rsidRPr="00C51127">
              <w:rPr>
                <w:rFonts w:ascii="Century Gothic" w:hAnsi="Century Gothic"/>
                <w:b/>
                <w:bCs/>
                <w:color w:val="000000"/>
                <w:sz w:val="20"/>
                <w:szCs w:val="20"/>
                <w:lang w:eastAsia="it-IT"/>
              </w:rPr>
              <w:t>8</w:t>
            </w:r>
            <w:r w:rsidR="006E1D9B">
              <w:rPr>
                <w:rFonts w:ascii="Century Gothic" w:hAnsi="Century Gothic"/>
                <w:b/>
                <w:bCs/>
                <w:color w:val="000000"/>
                <w:sz w:val="20"/>
                <w:szCs w:val="20"/>
                <w:lang w:eastAsia="it-IT"/>
              </w:rPr>
              <w:t>7</w:t>
            </w:r>
          </w:p>
        </w:tc>
      </w:tr>
    </w:tbl>
    <w:p w:rsidR="00755552" w:rsidRDefault="00755552" w:rsidP="00256008">
      <w:pPr>
        <w:jc w:val="both"/>
        <w:rPr>
          <w:rFonts w:ascii="Century Gothic" w:hAnsi="Century Gothic"/>
          <w:b/>
        </w:rPr>
      </w:pPr>
    </w:p>
    <w:p w:rsidR="00913DC8" w:rsidRDefault="00913DC8" w:rsidP="00913DC8">
      <w:pPr>
        <w:jc w:val="both"/>
        <w:rPr>
          <w:rFonts w:ascii="Century Gothic" w:hAnsi="Century Gothic"/>
        </w:rPr>
      </w:pPr>
      <w:r>
        <w:rPr>
          <w:rFonts w:ascii="Century Gothic" w:hAnsi="Century Gothic"/>
        </w:rPr>
        <w:lastRenderedPageBreak/>
        <w:t xml:space="preserve">Anche nella provincia di Siena e, in particolare, in quella di Lucca si assiste a una crescita di un certo rilievo che porta </w:t>
      </w:r>
      <w:r w:rsidR="006E1D9B">
        <w:rPr>
          <w:rFonts w:ascii="Century Gothic" w:hAnsi="Century Gothic"/>
        </w:rPr>
        <w:t xml:space="preserve">rispettivamente </w:t>
      </w:r>
      <w:r>
        <w:rPr>
          <w:rFonts w:ascii="Century Gothic" w:hAnsi="Century Gothic"/>
        </w:rPr>
        <w:t xml:space="preserve">a </w:t>
      </w:r>
      <w:r w:rsidR="006E1D9B">
        <w:rPr>
          <w:rFonts w:ascii="Century Gothic" w:hAnsi="Century Gothic"/>
        </w:rPr>
        <w:t xml:space="preserve">14 e a </w:t>
      </w:r>
      <w:r>
        <w:rPr>
          <w:rFonts w:ascii="Century Gothic" w:hAnsi="Century Gothic"/>
        </w:rPr>
        <w:t xml:space="preserve">15 i comuni coinvolti in accordi. Bisogna poi segnalare la presenza dei accordi in due province nelle quali non era stata siglata alcuna intesa nel 2014: Livorno e Massa (rispettivamente 5 e 2 comuni interessati). </w:t>
      </w:r>
    </w:p>
    <w:p w:rsidR="00913DC8" w:rsidRDefault="00913DC8" w:rsidP="00913DC8">
      <w:pPr>
        <w:jc w:val="both"/>
        <w:rPr>
          <w:rFonts w:ascii="Century Gothic" w:hAnsi="Century Gothic"/>
        </w:rPr>
      </w:pPr>
      <w:r>
        <w:rPr>
          <w:rFonts w:ascii="Century Gothic" w:hAnsi="Century Gothic"/>
        </w:rPr>
        <w:t xml:space="preserve">Nelle province di Firenze, Pisa, Pistoia, Prato il numero di comuni che hanno firmato accordi è circa lo stesso dell’anno precedente. Pisa mantiene quasi lo stesso </w:t>
      </w:r>
      <w:r w:rsidRPr="0019393E">
        <w:rPr>
          <w:rFonts w:ascii="Century Gothic" w:hAnsi="Century Gothic"/>
        </w:rPr>
        <w:t xml:space="preserve">numero </w:t>
      </w:r>
      <w:r w:rsidRPr="00D6085A">
        <w:rPr>
          <w:rFonts w:ascii="Century Gothic" w:hAnsi="Century Gothic"/>
        </w:rPr>
        <w:t>di comuni coperti</w:t>
      </w:r>
      <w:r>
        <w:rPr>
          <w:rFonts w:ascii="Century Gothic" w:hAnsi="Century Gothic"/>
        </w:rPr>
        <w:t xml:space="preserve"> del 2014, anno in cui, nonostante le difficoltà generali di negoziazione sociale, era riuscita a incrementare in maniera significativa le amministrazioni comunali coinvolte rispetto al 2013.</w:t>
      </w:r>
    </w:p>
    <w:p w:rsidR="00755552" w:rsidRDefault="00755552">
      <w:pPr>
        <w:rPr>
          <w:rFonts w:ascii="Century Gothic" w:hAnsi="Century Gothic"/>
          <w:b/>
        </w:rPr>
      </w:pPr>
    </w:p>
    <w:p w:rsidR="00256008" w:rsidRDefault="00256008" w:rsidP="00256008">
      <w:pPr>
        <w:jc w:val="both"/>
        <w:rPr>
          <w:rFonts w:ascii="Century Gothic" w:hAnsi="Century Gothic"/>
          <w:b/>
        </w:rPr>
      </w:pPr>
      <w:r w:rsidRPr="0035601B">
        <w:rPr>
          <w:rFonts w:ascii="Century Gothic" w:hAnsi="Century Gothic"/>
          <w:b/>
        </w:rPr>
        <w:t xml:space="preserve">Tab.n. </w:t>
      </w:r>
      <w:r>
        <w:rPr>
          <w:rFonts w:ascii="Century Gothic" w:hAnsi="Century Gothic"/>
          <w:b/>
        </w:rPr>
        <w:t xml:space="preserve">4 </w:t>
      </w:r>
      <w:r w:rsidRPr="0035601B">
        <w:rPr>
          <w:rFonts w:ascii="Century Gothic" w:hAnsi="Century Gothic"/>
          <w:b/>
        </w:rPr>
        <w:t>- Numero e percentuale di comuni coperti da contrattazione sociale per provincia</w:t>
      </w:r>
      <w:r>
        <w:rPr>
          <w:rFonts w:ascii="Century Gothic" w:hAnsi="Century Gothic"/>
          <w:b/>
        </w:rPr>
        <w:t>.</w:t>
      </w:r>
      <w:r w:rsidRPr="0035601B">
        <w:rPr>
          <w:rFonts w:ascii="Century Gothic" w:hAnsi="Century Gothic"/>
          <w:b/>
        </w:rPr>
        <w:t xml:space="preserve"> </w:t>
      </w:r>
      <w:r>
        <w:rPr>
          <w:rFonts w:ascii="Century Gothic" w:hAnsi="Century Gothic"/>
          <w:b/>
        </w:rPr>
        <w:t>Raffronto 201</w:t>
      </w:r>
      <w:r w:rsidR="0037320A">
        <w:rPr>
          <w:rFonts w:ascii="Century Gothic" w:hAnsi="Century Gothic"/>
          <w:b/>
        </w:rPr>
        <w:t>4</w:t>
      </w:r>
      <w:r>
        <w:rPr>
          <w:rFonts w:ascii="Century Gothic" w:hAnsi="Century Gothic"/>
          <w:b/>
        </w:rPr>
        <w:t>-201</w:t>
      </w:r>
      <w:r w:rsidR="00B4561F">
        <w:rPr>
          <w:rFonts w:ascii="Century Gothic" w:hAnsi="Century Gothic"/>
          <w:b/>
        </w:rPr>
        <w:t>5</w:t>
      </w:r>
      <w:r w:rsidRPr="0035601B">
        <w:rPr>
          <w:rFonts w:ascii="Century Gothic" w:hAnsi="Century Gothic"/>
          <w:b/>
        </w:rPr>
        <w:t xml:space="preserve">  </w:t>
      </w:r>
    </w:p>
    <w:tbl>
      <w:tblPr>
        <w:tblW w:w="6840" w:type="dxa"/>
        <w:tblInd w:w="60" w:type="dxa"/>
        <w:tblCellMar>
          <w:left w:w="70" w:type="dxa"/>
          <w:right w:w="70" w:type="dxa"/>
        </w:tblCellMar>
        <w:tblLook w:val="04A0" w:firstRow="1" w:lastRow="0" w:firstColumn="1" w:lastColumn="0" w:noHBand="0" w:noVBand="1"/>
      </w:tblPr>
      <w:tblGrid>
        <w:gridCol w:w="2048"/>
        <w:gridCol w:w="945"/>
        <w:gridCol w:w="968"/>
        <w:gridCol w:w="968"/>
        <w:gridCol w:w="968"/>
        <w:gridCol w:w="968"/>
      </w:tblGrid>
      <w:tr w:rsidR="00755552" w:rsidRPr="00755552" w:rsidTr="00755552">
        <w:trPr>
          <w:trHeight w:val="615"/>
        </w:trPr>
        <w:tc>
          <w:tcPr>
            <w:tcW w:w="2048" w:type="dxa"/>
            <w:tcBorders>
              <w:top w:val="single" w:sz="8" w:space="0" w:color="FFFFFF"/>
              <w:left w:val="single" w:sz="8" w:space="0" w:color="FFFFFF"/>
              <w:bottom w:val="single" w:sz="8" w:space="0" w:color="FFFFFF"/>
              <w:right w:val="nil"/>
            </w:tcBorders>
            <w:shd w:val="clear" w:color="000000" w:fill="ED7D31"/>
            <w:noWrap/>
            <w:hideMark/>
          </w:tcPr>
          <w:p w:rsidR="00755552" w:rsidRPr="00755552" w:rsidRDefault="00755552" w:rsidP="00755552">
            <w:pPr>
              <w:spacing w:line="240" w:lineRule="auto"/>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 </w:t>
            </w:r>
          </w:p>
        </w:tc>
        <w:tc>
          <w:tcPr>
            <w:tcW w:w="920" w:type="dxa"/>
            <w:tcBorders>
              <w:top w:val="single" w:sz="8" w:space="0" w:color="FFFFFF"/>
              <w:left w:val="nil"/>
              <w:bottom w:val="single" w:sz="8" w:space="0" w:color="FFFFFF"/>
              <w:right w:val="nil"/>
            </w:tcBorders>
            <w:shd w:val="clear" w:color="000000" w:fill="ED7D31"/>
            <w:hideMark/>
          </w:tcPr>
          <w:p w:rsidR="00755552" w:rsidRPr="00755552" w:rsidRDefault="00755552" w:rsidP="00755552">
            <w:pPr>
              <w:spacing w:line="240" w:lineRule="auto"/>
              <w:rPr>
                <w:b/>
                <w:bCs/>
                <w:color w:val="000000"/>
                <w:lang w:eastAsia="it-IT"/>
              </w:rPr>
            </w:pPr>
            <w:r w:rsidRPr="00755552">
              <w:rPr>
                <w:b/>
                <w:bCs/>
                <w:color w:val="000000"/>
                <w:lang w:eastAsia="it-IT"/>
              </w:rPr>
              <w:t>TOTALE COMUNI</w:t>
            </w:r>
          </w:p>
        </w:tc>
        <w:tc>
          <w:tcPr>
            <w:tcW w:w="968" w:type="dxa"/>
            <w:tcBorders>
              <w:top w:val="single" w:sz="8" w:space="0" w:color="FFFFFF"/>
              <w:left w:val="nil"/>
              <w:bottom w:val="single" w:sz="8" w:space="0" w:color="FFFFFF"/>
              <w:right w:val="nil"/>
            </w:tcBorders>
            <w:shd w:val="clear" w:color="000000" w:fill="ED7D31"/>
            <w:noWrap/>
            <w:hideMark/>
          </w:tcPr>
          <w:p w:rsidR="00755552" w:rsidRPr="00755552" w:rsidRDefault="00755552" w:rsidP="00755552">
            <w:pPr>
              <w:spacing w:line="240" w:lineRule="auto"/>
              <w:jc w:val="right"/>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2014</w:t>
            </w:r>
          </w:p>
        </w:tc>
        <w:tc>
          <w:tcPr>
            <w:tcW w:w="968" w:type="dxa"/>
            <w:tcBorders>
              <w:top w:val="single" w:sz="8" w:space="0" w:color="FFFFFF"/>
              <w:left w:val="nil"/>
              <w:bottom w:val="single" w:sz="8" w:space="0" w:color="FFFFFF"/>
              <w:right w:val="single" w:sz="8" w:space="0" w:color="FFFFFF"/>
            </w:tcBorders>
            <w:shd w:val="clear" w:color="000000" w:fill="ED7D31"/>
            <w:noWrap/>
            <w:hideMark/>
          </w:tcPr>
          <w:p w:rsidR="00755552" w:rsidRPr="00755552" w:rsidRDefault="00755552" w:rsidP="00755552">
            <w:pPr>
              <w:spacing w:line="240" w:lineRule="auto"/>
              <w:jc w:val="right"/>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2014%</w:t>
            </w:r>
          </w:p>
        </w:tc>
        <w:tc>
          <w:tcPr>
            <w:tcW w:w="968" w:type="dxa"/>
            <w:tcBorders>
              <w:top w:val="single" w:sz="8" w:space="0" w:color="FFFFFF"/>
              <w:left w:val="nil"/>
              <w:bottom w:val="single" w:sz="8" w:space="0" w:color="FFFFFF"/>
              <w:right w:val="nil"/>
            </w:tcBorders>
            <w:shd w:val="clear" w:color="000000" w:fill="ED7D31"/>
            <w:noWrap/>
            <w:hideMark/>
          </w:tcPr>
          <w:p w:rsidR="00755552" w:rsidRPr="00755552" w:rsidRDefault="00755552" w:rsidP="00755552">
            <w:pPr>
              <w:spacing w:line="240" w:lineRule="auto"/>
              <w:jc w:val="right"/>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2015</w:t>
            </w:r>
          </w:p>
        </w:tc>
        <w:tc>
          <w:tcPr>
            <w:tcW w:w="968" w:type="dxa"/>
            <w:tcBorders>
              <w:top w:val="single" w:sz="8" w:space="0" w:color="FFFFFF"/>
              <w:left w:val="nil"/>
              <w:bottom w:val="single" w:sz="8" w:space="0" w:color="FFFFFF"/>
              <w:right w:val="single" w:sz="8" w:space="0" w:color="FFFFFF"/>
            </w:tcBorders>
            <w:shd w:val="clear" w:color="000000" w:fill="ED7D31"/>
            <w:noWrap/>
            <w:hideMark/>
          </w:tcPr>
          <w:p w:rsidR="00755552" w:rsidRPr="00755552" w:rsidRDefault="00755552" w:rsidP="00755552">
            <w:pPr>
              <w:spacing w:line="240" w:lineRule="auto"/>
              <w:jc w:val="right"/>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2015%</w:t>
            </w:r>
          </w:p>
        </w:tc>
      </w:tr>
      <w:tr w:rsidR="00755552" w:rsidRPr="00755552" w:rsidTr="00755552">
        <w:trPr>
          <w:trHeight w:val="315"/>
        </w:trPr>
        <w:tc>
          <w:tcPr>
            <w:tcW w:w="2048" w:type="dxa"/>
            <w:tcBorders>
              <w:top w:val="nil"/>
              <w:left w:val="single" w:sz="8" w:space="0" w:color="FFFFFF"/>
              <w:bottom w:val="single" w:sz="8" w:space="0" w:color="FFFFFF"/>
              <w:right w:val="single" w:sz="8" w:space="0" w:color="FFFFFF"/>
            </w:tcBorders>
            <w:shd w:val="clear" w:color="000000" w:fill="ED7D31"/>
            <w:noWrap/>
            <w:hideMark/>
          </w:tcPr>
          <w:p w:rsidR="00755552" w:rsidRPr="00755552" w:rsidRDefault="00755552" w:rsidP="00755552">
            <w:pPr>
              <w:spacing w:line="240" w:lineRule="auto"/>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Arezzo</w:t>
            </w:r>
          </w:p>
        </w:tc>
        <w:tc>
          <w:tcPr>
            <w:tcW w:w="920" w:type="dxa"/>
            <w:tcBorders>
              <w:top w:val="nil"/>
              <w:left w:val="nil"/>
              <w:bottom w:val="single" w:sz="8" w:space="0" w:color="FFFFFF"/>
              <w:right w:val="single" w:sz="8" w:space="0" w:color="FFFFFF"/>
            </w:tcBorders>
            <w:shd w:val="clear" w:color="000000" w:fill="F7CAAC"/>
            <w:hideMark/>
          </w:tcPr>
          <w:p w:rsidR="00755552" w:rsidRPr="00755552" w:rsidRDefault="00755552" w:rsidP="00755552">
            <w:pPr>
              <w:spacing w:line="240" w:lineRule="auto"/>
              <w:jc w:val="right"/>
              <w:rPr>
                <w:color w:val="000000"/>
                <w:lang w:eastAsia="it-IT"/>
              </w:rPr>
            </w:pPr>
            <w:r w:rsidRPr="00755552">
              <w:rPr>
                <w:color w:val="000000"/>
                <w:lang w:eastAsia="it-IT"/>
              </w:rPr>
              <w:t>37</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5</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14%</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22</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59%</w:t>
            </w:r>
          </w:p>
        </w:tc>
      </w:tr>
      <w:tr w:rsidR="00755552" w:rsidRPr="00755552" w:rsidTr="00755552">
        <w:trPr>
          <w:trHeight w:val="315"/>
        </w:trPr>
        <w:tc>
          <w:tcPr>
            <w:tcW w:w="2048" w:type="dxa"/>
            <w:tcBorders>
              <w:top w:val="nil"/>
              <w:left w:val="single" w:sz="8" w:space="0" w:color="FFFFFF"/>
              <w:bottom w:val="single" w:sz="8" w:space="0" w:color="FFFFFF"/>
              <w:right w:val="single" w:sz="8" w:space="0" w:color="FFFFFF"/>
            </w:tcBorders>
            <w:shd w:val="clear" w:color="000000" w:fill="ED7D31"/>
            <w:noWrap/>
            <w:hideMark/>
          </w:tcPr>
          <w:p w:rsidR="00755552" w:rsidRPr="00755552" w:rsidRDefault="00755552" w:rsidP="00755552">
            <w:pPr>
              <w:spacing w:line="240" w:lineRule="auto"/>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Firenze</w:t>
            </w:r>
          </w:p>
        </w:tc>
        <w:tc>
          <w:tcPr>
            <w:tcW w:w="920" w:type="dxa"/>
            <w:tcBorders>
              <w:top w:val="nil"/>
              <w:left w:val="nil"/>
              <w:bottom w:val="single" w:sz="8" w:space="0" w:color="FFFFFF"/>
              <w:right w:val="single" w:sz="8" w:space="0" w:color="FFFFFF"/>
            </w:tcBorders>
            <w:shd w:val="clear" w:color="000000" w:fill="FBE4D5"/>
            <w:hideMark/>
          </w:tcPr>
          <w:p w:rsidR="00755552" w:rsidRPr="00755552" w:rsidRDefault="00755552" w:rsidP="00755552">
            <w:pPr>
              <w:spacing w:line="240" w:lineRule="auto"/>
              <w:jc w:val="right"/>
              <w:rPr>
                <w:color w:val="000000"/>
                <w:lang w:eastAsia="it-IT"/>
              </w:rPr>
            </w:pPr>
            <w:r w:rsidRPr="00755552">
              <w:rPr>
                <w:color w:val="000000"/>
                <w:lang w:eastAsia="it-IT"/>
              </w:rPr>
              <w:t>42</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5</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12%</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7</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17%</w:t>
            </w:r>
          </w:p>
        </w:tc>
      </w:tr>
      <w:tr w:rsidR="00755552" w:rsidRPr="00755552" w:rsidTr="00755552">
        <w:trPr>
          <w:trHeight w:val="315"/>
        </w:trPr>
        <w:tc>
          <w:tcPr>
            <w:tcW w:w="2048" w:type="dxa"/>
            <w:tcBorders>
              <w:top w:val="nil"/>
              <w:left w:val="single" w:sz="8" w:space="0" w:color="FFFFFF"/>
              <w:bottom w:val="single" w:sz="8" w:space="0" w:color="FFFFFF"/>
              <w:right w:val="single" w:sz="8" w:space="0" w:color="FFFFFF"/>
            </w:tcBorders>
            <w:shd w:val="clear" w:color="000000" w:fill="ED7D31"/>
            <w:noWrap/>
            <w:hideMark/>
          </w:tcPr>
          <w:p w:rsidR="00755552" w:rsidRPr="00755552" w:rsidRDefault="00755552" w:rsidP="00755552">
            <w:pPr>
              <w:spacing w:line="240" w:lineRule="auto"/>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Grosseto</w:t>
            </w:r>
          </w:p>
        </w:tc>
        <w:tc>
          <w:tcPr>
            <w:tcW w:w="920" w:type="dxa"/>
            <w:tcBorders>
              <w:top w:val="nil"/>
              <w:left w:val="nil"/>
              <w:bottom w:val="single" w:sz="8" w:space="0" w:color="FFFFFF"/>
              <w:right w:val="single" w:sz="8" w:space="0" w:color="FFFFFF"/>
            </w:tcBorders>
            <w:shd w:val="clear" w:color="000000" w:fill="F7CAAC"/>
            <w:hideMark/>
          </w:tcPr>
          <w:p w:rsidR="00755552" w:rsidRPr="00755552" w:rsidRDefault="00755552" w:rsidP="00755552">
            <w:pPr>
              <w:spacing w:line="240" w:lineRule="auto"/>
              <w:jc w:val="right"/>
              <w:rPr>
                <w:color w:val="000000"/>
                <w:lang w:eastAsia="it-IT"/>
              </w:rPr>
            </w:pPr>
            <w:r w:rsidRPr="00755552">
              <w:rPr>
                <w:color w:val="000000"/>
                <w:lang w:eastAsia="it-IT"/>
              </w:rPr>
              <w:t>28</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4</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14%</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0</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0%</w:t>
            </w:r>
          </w:p>
        </w:tc>
      </w:tr>
      <w:tr w:rsidR="00755552" w:rsidRPr="00755552" w:rsidTr="00755552">
        <w:trPr>
          <w:trHeight w:val="315"/>
        </w:trPr>
        <w:tc>
          <w:tcPr>
            <w:tcW w:w="2048" w:type="dxa"/>
            <w:tcBorders>
              <w:top w:val="nil"/>
              <w:left w:val="single" w:sz="8" w:space="0" w:color="FFFFFF"/>
              <w:bottom w:val="single" w:sz="8" w:space="0" w:color="FFFFFF"/>
              <w:right w:val="single" w:sz="8" w:space="0" w:color="FFFFFF"/>
            </w:tcBorders>
            <w:shd w:val="clear" w:color="000000" w:fill="ED7D31"/>
            <w:noWrap/>
            <w:hideMark/>
          </w:tcPr>
          <w:p w:rsidR="00755552" w:rsidRPr="00755552" w:rsidRDefault="00755552" w:rsidP="00755552">
            <w:pPr>
              <w:spacing w:line="240" w:lineRule="auto"/>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Livorno</w:t>
            </w:r>
          </w:p>
        </w:tc>
        <w:tc>
          <w:tcPr>
            <w:tcW w:w="920" w:type="dxa"/>
            <w:tcBorders>
              <w:top w:val="nil"/>
              <w:left w:val="nil"/>
              <w:bottom w:val="single" w:sz="8" w:space="0" w:color="FFFFFF"/>
              <w:right w:val="single" w:sz="8" w:space="0" w:color="FFFFFF"/>
            </w:tcBorders>
            <w:shd w:val="clear" w:color="000000" w:fill="FBE4D5"/>
            <w:hideMark/>
          </w:tcPr>
          <w:p w:rsidR="00755552" w:rsidRPr="00755552" w:rsidRDefault="00755552" w:rsidP="00755552">
            <w:pPr>
              <w:spacing w:line="240" w:lineRule="auto"/>
              <w:jc w:val="right"/>
              <w:rPr>
                <w:color w:val="000000"/>
                <w:lang w:eastAsia="it-IT"/>
              </w:rPr>
            </w:pPr>
            <w:r w:rsidRPr="00755552">
              <w:rPr>
                <w:color w:val="000000"/>
                <w:lang w:eastAsia="it-IT"/>
              </w:rPr>
              <w:t>20</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0</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0%</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5</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25%</w:t>
            </w:r>
          </w:p>
        </w:tc>
      </w:tr>
      <w:tr w:rsidR="00755552" w:rsidRPr="00755552" w:rsidTr="00755552">
        <w:trPr>
          <w:trHeight w:val="315"/>
        </w:trPr>
        <w:tc>
          <w:tcPr>
            <w:tcW w:w="2048" w:type="dxa"/>
            <w:tcBorders>
              <w:top w:val="nil"/>
              <w:left w:val="single" w:sz="8" w:space="0" w:color="FFFFFF"/>
              <w:bottom w:val="single" w:sz="8" w:space="0" w:color="FFFFFF"/>
              <w:right w:val="single" w:sz="8" w:space="0" w:color="FFFFFF"/>
            </w:tcBorders>
            <w:shd w:val="clear" w:color="000000" w:fill="ED7D31"/>
            <w:noWrap/>
            <w:hideMark/>
          </w:tcPr>
          <w:p w:rsidR="00755552" w:rsidRPr="00755552" w:rsidRDefault="00755552" w:rsidP="00755552">
            <w:pPr>
              <w:spacing w:line="240" w:lineRule="auto"/>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Lucca</w:t>
            </w:r>
          </w:p>
        </w:tc>
        <w:tc>
          <w:tcPr>
            <w:tcW w:w="920" w:type="dxa"/>
            <w:tcBorders>
              <w:top w:val="nil"/>
              <w:left w:val="nil"/>
              <w:bottom w:val="single" w:sz="8" w:space="0" w:color="FFFFFF"/>
              <w:right w:val="single" w:sz="8" w:space="0" w:color="FFFFFF"/>
            </w:tcBorders>
            <w:shd w:val="clear" w:color="000000" w:fill="F7CAAC"/>
            <w:hideMark/>
          </w:tcPr>
          <w:p w:rsidR="00755552" w:rsidRPr="00755552" w:rsidRDefault="00755552" w:rsidP="00755552">
            <w:pPr>
              <w:spacing w:line="240" w:lineRule="auto"/>
              <w:jc w:val="right"/>
              <w:rPr>
                <w:color w:val="000000"/>
                <w:lang w:eastAsia="it-IT"/>
              </w:rPr>
            </w:pPr>
            <w:r w:rsidRPr="00755552">
              <w:rPr>
                <w:color w:val="000000"/>
                <w:lang w:eastAsia="it-IT"/>
              </w:rPr>
              <w:t>33</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6</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18%</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15</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45%</w:t>
            </w:r>
          </w:p>
        </w:tc>
      </w:tr>
      <w:tr w:rsidR="00755552" w:rsidRPr="00755552" w:rsidTr="00755552">
        <w:trPr>
          <w:trHeight w:val="315"/>
        </w:trPr>
        <w:tc>
          <w:tcPr>
            <w:tcW w:w="2048" w:type="dxa"/>
            <w:tcBorders>
              <w:top w:val="nil"/>
              <w:left w:val="single" w:sz="8" w:space="0" w:color="FFFFFF"/>
              <w:bottom w:val="single" w:sz="8" w:space="0" w:color="FFFFFF"/>
              <w:right w:val="single" w:sz="8" w:space="0" w:color="FFFFFF"/>
            </w:tcBorders>
            <w:shd w:val="clear" w:color="000000" w:fill="ED7D31"/>
            <w:noWrap/>
            <w:hideMark/>
          </w:tcPr>
          <w:p w:rsidR="00755552" w:rsidRPr="00755552" w:rsidRDefault="00755552" w:rsidP="00755552">
            <w:pPr>
              <w:spacing w:line="240" w:lineRule="auto"/>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Massa-Carrara</w:t>
            </w:r>
          </w:p>
        </w:tc>
        <w:tc>
          <w:tcPr>
            <w:tcW w:w="920" w:type="dxa"/>
            <w:tcBorders>
              <w:top w:val="nil"/>
              <w:left w:val="nil"/>
              <w:bottom w:val="single" w:sz="8" w:space="0" w:color="FFFFFF"/>
              <w:right w:val="single" w:sz="8" w:space="0" w:color="FFFFFF"/>
            </w:tcBorders>
            <w:shd w:val="clear" w:color="000000" w:fill="FBE4D5"/>
            <w:hideMark/>
          </w:tcPr>
          <w:p w:rsidR="00755552" w:rsidRPr="00755552" w:rsidRDefault="00755552" w:rsidP="00755552">
            <w:pPr>
              <w:spacing w:line="240" w:lineRule="auto"/>
              <w:jc w:val="right"/>
              <w:rPr>
                <w:color w:val="000000"/>
                <w:lang w:eastAsia="it-IT"/>
              </w:rPr>
            </w:pPr>
            <w:r w:rsidRPr="00755552">
              <w:rPr>
                <w:color w:val="000000"/>
                <w:lang w:eastAsia="it-IT"/>
              </w:rPr>
              <w:t>17</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0</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0%</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2</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12%</w:t>
            </w:r>
          </w:p>
        </w:tc>
      </w:tr>
      <w:tr w:rsidR="00755552" w:rsidRPr="00755552" w:rsidTr="00755552">
        <w:trPr>
          <w:trHeight w:val="315"/>
        </w:trPr>
        <w:tc>
          <w:tcPr>
            <w:tcW w:w="2048" w:type="dxa"/>
            <w:tcBorders>
              <w:top w:val="nil"/>
              <w:left w:val="single" w:sz="8" w:space="0" w:color="FFFFFF"/>
              <w:bottom w:val="single" w:sz="8" w:space="0" w:color="FFFFFF"/>
              <w:right w:val="single" w:sz="8" w:space="0" w:color="FFFFFF"/>
            </w:tcBorders>
            <w:shd w:val="clear" w:color="000000" w:fill="ED7D31"/>
            <w:noWrap/>
            <w:hideMark/>
          </w:tcPr>
          <w:p w:rsidR="00755552" w:rsidRPr="00755552" w:rsidRDefault="00755552" w:rsidP="00755552">
            <w:pPr>
              <w:spacing w:line="240" w:lineRule="auto"/>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Pisa</w:t>
            </w:r>
          </w:p>
        </w:tc>
        <w:tc>
          <w:tcPr>
            <w:tcW w:w="920" w:type="dxa"/>
            <w:tcBorders>
              <w:top w:val="nil"/>
              <w:left w:val="nil"/>
              <w:bottom w:val="single" w:sz="8" w:space="0" w:color="FFFFFF"/>
              <w:right w:val="single" w:sz="8" w:space="0" w:color="FFFFFF"/>
            </w:tcBorders>
            <w:shd w:val="clear" w:color="000000" w:fill="F7CAAC"/>
            <w:hideMark/>
          </w:tcPr>
          <w:p w:rsidR="00755552" w:rsidRPr="00755552" w:rsidRDefault="00755552" w:rsidP="00755552">
            <w:pPr>
              <w:spacing w:line="240" w:lineRule="auto"/>
              <w:jc w:val="right"/>
              <w:rPr>
                <w:color w:val="000000"/>
                <w:lang w:eastAsia="it-IT"/>
              </w:rPr>
            </w:pPr>
            <w:r w:rsidRPr="00755552">
              <w:rPr>
                <w:color w:val="000000"/>
                <w:lang w:eastAsia="it-IT"/>
              </w:rPr>
              <w:t>37</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17</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46%</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16</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43%</w:t>
            </w:r>
          </w:p>
        </w:tc>
      </w:tr>
      <w:tr w:rsidR="00755552" w:rsidRPr="0037320A" w:rsidTr="00755552">
        <w:trPr>
          <w:trHeight w:val="315"/>
        </w:trPr>
        <w:tc>
          <w:tcPr>
            <w:tcW w:w="2048" w:type="dxa"/>
            <w:tcBorders>
              <w:top w:val="nil"/>
              <w:left w:val="single" w:sz="8" w:space="0" w:color="FFFFFF"/>
              <w:bottom w:val="single" w:sz="8" w:space="0" w:color="FFFFFF"/>
              <w:right w:val="single" w:sz="8" w:space="0" w:color="FFFFFF"/>
            </w:tcBorders>
            <w:shd w:val="clear" w:color="000000" w:fill="ED7D31"/>
            <w:noWrap/>
            <w:hideMark/>
          </w:tcPr>
          <w:p w:rsidR="00755552" w:rsidRPr="00755552" w:rsidRDefault="00755552" w:rsidP="00755552">
            <w:pPr>
              <w:spacing w:line="240" w:lineRule="auto"/>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Pistoia</w:t>
            </w:r>
          </w:p>
        </w:tc>
        <w:tc>
          <w:tcPr>
            <w:tcW w:w="920" w:type="dxa"/>
            <w:tcBorders>
              <w:top w:val="nil"/>
              <w:left w:val="nil"/>
              <w:bottom w:val="single" w:sz="8" w:space="0" w:color="FFFFFF"/>
              <w:right w:val="single" w:sz="8" w:space="0" w:color="FFFFFF"/>
            </w:tcBorders>
            <w:shd w:val="clear" w:color="000000" w:fill="FBE4D5"/>
            <w:hideMark/>
          </w:tcPr>
          <w:p w:rsidR="00755552" w:rsidRPr="00755552" w:rsidRDefault="00755552" w:rsidP="00755552">
            <w:pPr>
              <w:spacing w:line="240" w:lineRule="auto"/>
              <w:jc w:val="right"/>
              <w:rPr>
                <w:color w:val="000000"/>
                <w:lang w:eastAsia="it-IT"/>
              </w:rPr>
            </w:pPr>
            <w:r w:rsidRPr="00755552">
              <w:rPr>
                <w:color w:val="000000"/>
                <w:lang w:eastAsia="it-IT"/>
              </w:rPr>
              <w:t>22</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2</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9%</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2</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9%</w:t>
            </w:r>
          </w:p>
        </w:tc>
      </w:tr>
      <w:tr w:rsidR="00755552" w:rsidRPr="0037320A" w:rsidTr="00755552">
        <w:trPr>
          <w:trHeight w:val="315"/>
        </w:trPr>
        <w:tc>
          <w:tcPr>
            <w:tcW w:w="2048" w:type="dxa"/>
            <w:tcBorders>
              <w:top w:val="nil"/>
              <w:left w:val="single" w:sz="8" w:space="0" w:color="FFFFFF"/>
              <w:bottom w:val="single" w:sz="8" w:space="0" w:color="FFFFFF"/>
              <w:right w:val="single" w:sz="8" w:space="0" w:color="FFFFFF"/>
            </w:tcBorders>
            <w:shd w:val="clear" w:color="000000" w:fill="ED7D31"/>
            <w:noWrap/>
            <w:hideMark/>
          </w:tcPr>
          <w:p w:rsidR="00755552" w:rsidRPr="00755552" w:rsidRDefault="00755552" w:rsidP="00755552">
            <w:pPr>
              <w:spacing w:line="240" w:lineRule="auto"/>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Prato</w:t>
            </w:r>
          </w:p>
        </w:tc>
        <w:tc>
          <w:tcPr>
            <w:tcW w:w="920" w:type="dxa"/>
            <w:tcBorders>
              <w:top w:val="nil"/>
              <w:left w:val="nil"/>
              <w:bottom w:val="single" w:sz="8" w:space="0" w:color="FFFFFF"/>
              <w:right w:val="single" w:sz="8" w:space="0" w:color="FFFFFF"/>
            </w:tcBorders>
            <w:shd w:val="clear" w:color="000000" w:fill="F7CAAC"/>
            <w:hideMark/>
          </w:tcPr>
          <w:p w:rsidR="00755552" w:rsidRPr="00755552" w:rsidRDefault="00755552" w:rsidP="00755552">
            <w:pPr>
              <w:spacing w:line="240" w:lineRule="auto"/>
              <w:jc w:val="right"/>
              <w:rPr>
                <w:color w:val="000000"/>
                <w:lang w:eastAsia="it-IT"/>
              </w:rPr>
            </w:pPr>
            <w:r w:rsidRPr="00755552">
              <w:rPr>
                <w:color w:val="000000"/>
                <w:lang w:eastAsia="it-IT"/>
              </w:rPr>
              <w:t>7</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5</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71%</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4</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57%</w:t>
            </w:r>
          </w:p>
        </w:tc>
      </w:tr>
      <w:tr w:rsidR="00755552" w:rsidRPr="00755552" w:rsidTr="00755552">
        <w:trPr>
          <w:trHeight w:val="315"/>
        </w:trPr>
        <w:tc>
          <w:tcPr>
            <w:tcW w:w="2048" w:type="dxa"/>
            <w:tcBorders>
              <w:top w:val="nil"/>
              <w:left w:val="single" w:sz="8" w:space="0" w:color="FFFFFF"/>
              <w:bottom w:val="single" w:sz="8" w:space="0" w:color="FFFFFF"/>
              <w:right w:val="single" w:sz="8" w:space="0" w:color="FFFFFF"/>
            </w:tcBorders>
            <w:shd w:val="clear" w:color="000000" w:fill="ED7D31"/>
            <w:noWrap/>
            <w:hideMark/>
          </w:tcPr>
          <w:p w:rsidR="00755552" w:rsidRPr="00755552" w:rsidRDefault="00755552" w:rsidP="00755552">
            <w:pPr>
              <w:spacing w:line="240" w:lineRule="auto"/>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Siena</w:t>
            </w:r>
          </w:p>
        </w:tc>
        <w:tc>
          <w:tcPr>
            <w:tcW w:w="920" w:type="dxa"/>
            <w:tcBorders>
              <w:top w:val="nil"/>
              <w:left w:val="nil"/>
              <w:bottom w:val="single" w:sz="8" w:space="0" w:color="FFFFFF"/>
              <w:right w:val="single" w:sz="8" w:space="0" w:color="FFFFFF"/>
            </w:tcBorders>
            <w:shd w:val="clear" w:color="000000" w:fill="FBE4D5"/>
            <w:hideMark/>
          </w:tcPr>
          <w:p w:rsidR="00755552" w:rsidRPr="00755552" w:rsidRDefault="00755552" w:rsidP="00755552">
            <w:pPr>
              <w:spacing w:line="240" w:lineRule="auto"/>
              <w:jc w:val="right"/>
              <w:rPr>
                <w:color w:val="000000"/>
                <w:lang w:eastAsia="it-IT"/>
              </w:rPr>
            </w:pPr>
            <w:r w:rsidRPr="00755552">
              <w:rPr>
                <w:color w:val="000000"/>
                <w:lang w:eastAsia="it-IT"/>
              </w:rPr>
              <w:t>36</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10</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28%</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755552" w:rsidP="006E1D9B">
            <w:pPr>
              <w:spacing w:line="240" w:lineRule="auto"/>
              <w:jc w:val="right"/>
              <w:rPr>
                <w:color w:val="000000"/>
                <w:lang w:eastAsia="it-IT"/>
              </w:rPr>
            </w:pPr>
            <w:r w:rsidRPr="00755552">
              <w:rPr>
                <w:color w:val="000000"/>
                <w:lang w:eastAsia="it-IT"/>
              </w:rPr>
              <w:t>1</w:t>
            </w:r>
            <w:r w:rsidR="006E1D9B">
              <w:rPr>
                <w:color w:val="000000"/>
                <w:lang w:eastAsia="it-IT"/>
              </w:rPr>
              <w:t>4</w:t>
            </w:r>
          </w:p>
        </w:tc>
        <w:tc>
          <w:tcPr>
            <w:tcW w:w="968" w:type="dxa"/>
            <w:tcBorders>
              <w:top w:val="nil"/>
              <w:left w:val="nil"/>
              <w:bottom w:val="single" w:sz="8" w:space="0" w:color="FFFFFF"/>
              <w:right w:val="single" w:sz="8" w:space="0" w:color="FFFFFF"/>
            </w:tcBorders>
            <w:shd w:val="clear" w:color="000000" w:fill="FBE4D5"/>
            <w:noWrap/>
            <w:vAlign w:val="bottom"/>
            <w:hideMark/>
          </w:tcPr>
          <w:p w:rsidR="00755552" w:rsidRPr="00755552" w:rsidRDefault="006E1D9B" w:rsidP="00755552">
            <w:pPr>
              <w:spacing w:line="240" w:lineRule="auto"/>
              <w:jc w:val="right"/>
              <w:rPr>
                <w:color w:val="000000"/>
                <w:lang w:eastAsia="it-IT"/>
              </w:rPr>
            </w:pPr>
            <w:r>
              <w:rPr>
                <w:color w:val="000000"/>
                <w:lang w:eastAsia="it-IT"/>
              </w:rPr>
              <w:t>39</w:t>
            </w:r>
            <w:r w:rsidR="00755552" w:rsidRPr="00755552">
              <w:rPr>
                <w:color w:val="000000"/>
                <w:lang w:eastAsia="it-IT"/>
              </w:rPr>
              <w:t>%</w:t>
            </w:r>
          </w:p>
        </w:tc>
      </w:tr>
      <w:tr w:rsidR="00755552" w:rsidRPr="00755552" w:rsidTr="00755552">
        <w:trPr>
          <w:trHeight w:val="315"/>
        </w:trPr>
        <w:tc>
          <w:tcPr>
            <w:tcW w:w="2048" w:type="dxa"/>
            <w:tcBorders>
              <w:top w:val="nil"/>
              <w:left w:val="single" w:sz="8" w:space="0" w:color="FFFFFF"/>
              <w:bottom w:val="single" w:sz="8" w:space="0" w:color="FFFFFF"/>
              <w:right w:val="single" w:sz="8" w:space="0" w:color="FFFFFF"/>
            </w:tcBorders>
            <w:shd w:val="clear" w:color="000000" w:fill="ED7D31"/>
            <w:noWrap/>
            <w:hideMark/>
          </w:tcPr>
          <w:p w:rsidR="00755552" w:rsidRPr="00755552" w:rsidRDefault="00755552" w:rsidP="00755552">
            <w:pPr>
              <w:spacing w:line="240" w:lineRule="auto"/>
              <w:rPr>
                <w:rFonts w:ascii="Century Gothic" w:hAnsi="Century Gothic"/>
                <w:b/>
                <w:bCs/>
                <w:color w:val="000000"/>
                <w:sz w:val="20"/>
                <w:szCs w:val="20"/>
                <w:lang w:eastAsia="it-IT"/>
              </w:rPr>
            </w:pPr>
            <w:r w:rsidRPr="00755552">
              <w:rPr>
                <w:rFonts w:ascii="Century Gothic" w:hAnsi="Century Gothic"/>
                <w:b/>
                <w:bCs/>
                <w:color w:val="000000"/>
                <w:sz w:val="20"/>
                <w:szCs w:val="20"/>
                <w:lang w:eastAsia="it-IT"/>
              </w:rPr>
              <w:t>Toscana</w:t>
            </w:r>
          </w:p>
        </w:tc>
        <w:tc>
          <w:tcPr>
            <w:tcW w:w="920" w:type="dxa"/>
            <w:tcBorders>
              <w:top w:val="nil"/>
              <w:left w:val="nil"/>
              <w:bottom w:val="single" w:sz="8" w:space="0" w:color="FFFFFF"/>
              <w:right w:val="single" w:sz="8" w:space="0" w:color="FFFFFF"/>
            </w:tcBorders>
            <w:shd w:val="clear" w:color="000000" w:fill="F7CAAC"/>
            <w:hideMark/>
          </w:tcPr>
          <w:p w:rsidR="00755552" w:rsidRPr="00755552" w:rsidRDefault="00755552" w:rsidP="00755552">
            <w:pPr>
              <w:spacing w:line="240" w:lineRule="auto"/>
              <w:jc w:val="right"/>
              <w:rPr>
                <w:color w:val="000000"/>
                <w:lang w:eastAsia="it-IT"/>
              </w:rPr>
            </w:pPr>
            <w:r w:rsidRPr="00755552">
              <w:rPr>
                <w:color w:val="000000"/>
                <w:lang w:eastAsia="it-IT"/>
              </w:rPr>
              <w:t>279</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54</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755552">
            <w:pPr>
              <w:spacing w:line="240" w:lineRule="auto"/>
              <w:jc w:val="right"/>
              <w:rPr>
                <w:color w:val="000000"/>
                <w:lang w:eastAsia="it-IT"/>
              </w:rPr>
            </w:pPr>
            <w:r w:rsidRPr="00755552">
              <w:rPr>
                <w:color w:val="000000"/>
                <w:lang w:eastAsia="it-IT"/>
              </w:rPr>
              <w:t>19%</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6E1D9B">
            <w:pPr>
              <w:spacing w:line="240" w:lineRule="auto"/>
              <w:jc w:val="right"/>
              <w:rPr>
                <w:color w:val="000000"/>
                <w:lang w:eastAsia="it-IT"/>
              </w:rPr>
            </w:pPr>
            <w:r w:rsidRPr="00755552">
              <w:rPr>
                <w:color w:val="000000"/>
                <w:lang w:eastAsia="it-IT"/>
              </w:rPr>
              <w:t>8</w:t>
            </w:r>
            <w:r w:rsidR="006E1D9B">
              <w:rPr>
                <w:color w:val="000000"/>
                <w:lang w:eastAsia="it-IT"/>
              </w:rPr>
              <w:t>7</w:t>
            </w:r>
          </w:p>
        </w:tc>
        <w:tc>
          <w:tcPr>
            <w:tcW w:w="968" w:type="dxa"/>
            <w:tcBorders>
              <w:top w:val="nil"/>
              <w:left w:val="nil"/>
              <w:bottom w:val="single" w:sz="8" w:space="0" w:color="FFFFFF"/>
              <w:right w:val="single" w:sz="8" w:space="0" w:color="FFFFFF"/>
            </w:tcBorders>
            <w:shd w:val="clear" w:color="000000" w:fill="F7CAAC"/>
            <w:noWrap/>
            <w:vAlign w:val="bottom"/>
            <w:hideMark/>
          </w:tcPr>
          <w:p w:rsidR="00755552" w:rsidRPr="00755552" w:rsidRDefault="00755552" w:rsidP="006E1D9B">
            <w:pPr>
              <w:spacing w:line="240" w:lineRule="auto"/>
              <w:jc w:val="right"/>
              <w:rPr>
                <w:color w:val="000000"/>
                <w:lang w:eastAsia="it-IT"/>
              </w:rPr>
            </w:pPr>
            <w:r w:rsidRPr="00755552">
              <w:rPr>
                <w:color w:val="000000"/>
                <w:lang w:eastAsia="it-IT"/>
              </w:rPr>
              <w:t>3</w:t>
            </w:r>
            <w:r w:rsidR="006E1D9B">
              <w:rPr>
                <w:color w:val="000000"/>
                <w:lang w:eastAsia="it-IT"/>
              </w:rPr>
              <w:t>1</w:t>
            </w:r>
            <w:r w:rsidRPr="00755552">
              <w:rPr>
                <w:color w:val="000000"/>
                <w:lang w:eastAsia="it-IT"/>
              </w:rPr>
              <w:t>%</w:t>
            </w:r>
          </w:p>
        </w:tc>
      </w:tr>
    </w:tbl>
    <w:p w:rsidR="00256008" w:rsidRDefault="00256008" w:rsidP="00256008">
      <w:pPr>
        <w:jc w:val="both"/>
        <w:rPr>
          <w:rFonts w:ascii="Century Gothic" w:hAnsi="Century Gothic" w:cs="Arial"/>
          <w:lang w:eastAsia="it-IT"/>
        </w:rPr>
      </w:pPr>
    </w:p>
    <w:p w:rsidR="00256008" w:rsidRDefault="00256008" w:rsidP="00256008">
      <w:pPr>
        <w:jc w:val="both"/>
        <w:rPr>
          <w:rFonts w:ascii="Century Gothic" w:hAnsi="Century Gothic" w:cs="Arial"/>
          <w:lang w:eastAsia="it-IT"/>
        </w:rPr>
      </w:pPr>
      <w:r>
        <w:rPr>
          <w:rFonts w:ascii="Century Gothic" w:hAnsi="Century Gothic" w:cs="Arial"/>
          <w:lang w:eastAsia="it-IT"/>
        </w:rPr>
        <w:t xml:space="preserve">Anche dal raffronto in termini percentuali </w:t>
      </w:r>
      <w:r w:rsidR="00755552">
        <w:rPr>
          <w:rFonts w:ascii="Century Gothic" w:hAnsi="Century Gothic" w:cs="Arial"/>
          <w:lang w:eastAsia="it-IT"/>
        </w:rPr>
        <w:t xml:space="preserve">rispetto al 2014 </w:t>
      </w:r>
      <w:r>
        <w:rPr>
          <w:rFonts w:ascii="Century Gothic" w:hAnsi="Century Gothic" w:cs="Arial"/>
          <w:lang w:eastAsia="it-IT"/>
        </w:rPr>
        <w:t>della tabella 4 si riscontra come nel 201</w:t>
      </w:r>
      <w:r w:rsidR="00755552">
        <w:rPr>
          <w:rFonts w:ascii="Century Gothic" w:hAnsi="Century Gothic" w:cs="Arial"/>
          <w:lang w:eastAsia="it-IT"/>
        </w:rPr>
        <w:t>5</w:t>
      </w:r>
      <w:r>
        <w:rPr>
          <w:rFonts w:ascii="Century Gothic" w:hAnsi="Century Gothic" w:cs="Arial"/>
          <w:lang w:eastAsia="it-IT"/>
        </w:rPr>
        <w:t xml:space="preserve"> la contrattazione sociale sia stata </w:t>
      </w:r>
      <w:r w:rsidR="00755552">
        <w:rPr>
          <w:rFonts w:ascii="Century Gothic" w:hAnsi="Century Gothic" w:cs="Arial"/>
          <w:lang w:eastAsia="it-IT"/>
        </w:rPr>
        <w:t>più</w:t>
      </w:r>
      <w:r>
        <w:rPr>
          <w:rFonts w:ascii="Century Gothic" w:hAnsi="Century Gothic" w:cs="Arial"/>
          <w:lang w:eastAsia="it-IT"/>
        </w:rPr>
        <w:t xml:space="preserve"> diffusa nel territorio toscano</w:t>
      </w:r>
      <w:r w:rsidRPr="002264AE">
        <w:rPr>
          <w:rFonts w:ascii="Century Gothic" w:hAnsi="Century Gothic" w:cs="Arial"/>
          <w:lang w:eastAsia="it-IT"/>
        </w:rPr>
        <w:t>.</w:t>
      </w:r>
      <w:r>
        <w:rPr>
          <w:rFonts w:ascii="Century Gothic" w:hAnsi="Century Gothic" w:cs="Arial"/>
          <w:lang w:eastAsia="it-IT"/>
        </w:rPr>
        <w:t xml:space="preserve"> </w:t>
      </w:r>
      <w:r w:rsidR="00755552">
        <w:rPr>
          <w:rFonts w:ascii="Century Gothic" w:hAnsi="Century Gothic" w:cs="Arial"/>
          <w:lang w:eastAsia="it-IT"/>
        </w:rPr>
        <w:t xml:space="preserve">Arezzo si colloca al primo posto con il 59% dei comuni coperti, seguita </w:t>
      </w:r>
      <w:r w:rsidR="00752C5B">
        <w:rPr>
          <w:rFonts w:ascii="Century Gothic" w:hAnsi="Century Gothic" w:cs="Arial"/>
          <w:lang w:eastAsia="it-IT"/>
        </w:rPr>
        <w:t xml:space="preserve">di stretta misura </w:t>
      </w:r>
      <w:r w:rsidR="00755552">
        <w:rPr>
          <w:rFonts w:ascii="Century Gothic" w:hAnsi="Century Gothic" w:cs="Arial"/>
          <w:lang w:eastAsia="it-IT"/>
        </w:rPr>
        <w:t xml:space="preserve">da Prato (57%) al secondo posto in termini </w:t>
      </w:r>
      <w:r w:rsidR="00755552" w:rsidRPr="008B3815">
        <w:rPr>
          <w:rFonts w:ascii="Century Gothic" w:hAnsi="Century Gothic" w:cs="Arial"/>
          <w:lang w:eastAsia="it-IT"/>
        </w:rPr>
        <w:t>puramente statistici</w:t>
      </w:r>
      <w:r w:rsidR="00755552">
        <w:rPr>
          <w:rFonts w:ascii="Century Gothic" w:hAnsi="Century Gothic" w:cs="Arial"/>
          <w:lang w:eastAsia="it-IT"/>
        </w:rPr>
        <w:t xml:space="preserve">. </w:t>
      </w:r>
      <w:r w:rsidRPr="008B3815">
        <w:rPr>
          <w:rFonts w:ascii="Century Gothic" w:hAnsi="Century Gothic" w:cs="Arial"/>
          <w:lang w:eastAsia="it-IT"/>
        </w:rPr>
        <w:t>Se, invece, entriamo più nel merito della negoziazione, dato che la contrattazione svolta a Prato riguarda protocolli di relazioni</w:t>
      </w:r>
      <w:r w:rsidRPr="008B3815">
        <w:rPr>
          <w:rStyle w:val="Rimandonotaapidipagina"/>
          <w:rFonts w:ascii="Century Gothic" w:hAnsi="Century Gothic" w:cs="Arial"/>
          <w:lang w:eastAsia="it-IT"/>
        </w:rPr>
        <w:footnoteReference w:id="5"/>
      </w:r>
      <w:r w:rsidRPr="008B3815">
        <w:rPr>
          <w:rFonts w:ascii="Century Gothic" w:hAnsi="Century Gothic" w:cs="Arial"/>
          <w:lang w:eastAsia="it-IT"/>
        </w:rPr>
        <w:t xml:space="preserve">, il </w:t>
      </w:r>
      <w:r w:rsidR="005E1FB8">
        <w:rPr>
          <w:rFonts w:ascii="Century Gothic" w:hAnsi="Century Gothic" w:cs="Arial"/>
          <w:lang w:eastAsia="it-IT"/>
        </w:rPr>
        <w:t>secondo posto</w:t>
      </w:r>
      <w:r w:rsidRPr="008B3815">
        <w:rPr>
          <w:rFonts w:ascii="Century Gothic" w:hAnsi="Century Gothic" w:cs="Arial"/>
          <w:lang w:eastAsia="it-IT"/>
        </w:rPr>
        <w:t xml:space="preserve"> spetta a </w:t>
      </w:r>
      <w:r w:rsidR="005E1FB8">
        <w:rPr>
          <w:rFonts w:ascii="Century Gothic" w:hAnsi="Century Gothic" w:cs="Arial"/>
          <w:lang w:eastAsia="it-IT"/>
        </w:rPr>
        <w:t>Lucca</w:t>
      </w:r>
      <w:r w:rsidRPr="008B3815">
        <w:rPr>
          <w:rFonts w:ascii="Century Gothic" w:hAnsi="Century Gothic" w:cs="Arial"/>
          <w:lang w:eastAsia="it-IT"/>
        </w:rPr>
        <w:t xml:space="preserve"> con il 4</w:t>
      </w:r>
      <w:r w:rsidR="005E1FB8">
        <w:rPr>
          <w:rFonts w:ascii="Century Gothic" w:hAnsi="Century Gothic" w:cs="Arial"/>
          <w:lang w:eastAsia="it-IT"/>
        </w:rPr>
        <w:t>5</w:t>
      </w:r>
      <w:r w:rsidRPr="008B3815">
        <w:rPr>
          <w:rFonts w:ascii="Century Gothic" w:hAnsi="Century Gothic" w:cs="Arial"/>
          <w:lang w:eastAsia="it-IT"/>
        </w:rPr>
        <w:t xml:space="preserve">% dei comuni coinvolti, </w:t>
      </w:r>
      <w:r w:rsidR="005E1FB8">
        <w:rPr>
          <w:rFonts w:ascii="Century Gothic" w:hAnsi="Century Gothic" w:cs="Arial"/>
          <w:lang w:eastAsia="it-IT"/>
        </w:rPr>
        <w:t>valori simil</w:t>
      </w:r>
      <w:r w:rsidR="008348D0">
        <w:rPr>
          <w:rFonts w:ascii="Century Gothic" w:hAnsi="Century Gothic" w:cs="Arial"/>
          <w:lang w:eastAsia="it-IT"/>
        </w:rPr>
        <w:t>e</w:t>
      </w:r>
      <w:r w:rsidR="005E1FB8">
        <w:rPr>
          <w:rFonts w:ascii="Century Gothic" w:hAnsi="Century Gothic" w:cs="Arial"/>
          <w:lang w:eastAsia="it-IT"/>
        </w:rPr>
        <w:t xml:space="preserve"> raggiung</w:t>
      </w:r>
      <w:r w:rsidR="008348D0">
        <w:rPr>
          <w:rFonts w:ascii="Century Gothic" w:hAnsi="Century Gothic" w:cs="Arial"/>
          <w:lang w:eastAsia="it-IT"/>
        </w:rPr>
        <w:t>e</w:t>
      </w:r>
      <w:r w:rsidR="005E1FB8">
        <w:rPr>
          <w:rFonts w:ascii="Century Gothic" w:hAnsi="Century Gothic" w:cs="Arial"/>
          <w:lang w:eastAsia="it-IT"/>
        </w:rPr>
        <w:t xml:space="preserve"> Pisa (43%)</w:t>
      </w:r>
      <w:r w:rsidR="008348D0">
        <w:rPr>
          <w:rFonts w:ascii="Century Gothic" w:hAnsi="Century Gothic" w:cs="Arial"/>
          <w:lang w:eastAsia="it-IT"/>
        </w:rPr>
        <w:t>, seguita</w:t>
      </w:r>
      <w:r w:rsidR="005E1FB8">
        <w:rPr>
          <w:rFonts w:ascii="Century Gothic" w:hAnsi="Century Gothic" w:cs="Arial"/>
          <w:lang w:eastAsia="it-IT"/>
        </w:rPr>
        <w:t xml:space="preserve"> </w:t>
      </w:r>
      <w:r w:rsidR="008348D0">
        <w:rPr>
          <w:rFonts w:ascii="Century Gothic" w:hAnsi="Century Gothic" w:cs="Arial"/>
          <w:lang w:eastAsia="it-IT"/>
        </w:rPr>
        <w:t>da</w:t>
      </w:r>
      <w:r w:rsidR="005E1FB8">
        <w:rPr>
          <w:rFonts w:ascii="Century Gothic" w:hAnsi="Century Gothic" w:cs="Arial"/>
          <w:lang w:eastAsia="it-IT"/>
        </w:rPr>
        <w:t xml:space="preserve"> Siena</w:t>
      </w:r>
      <w:r w:rsidR="00E21AD7">
        <w:rPr>
          <w:rFonts w:ascii="Century Gothic" w:hAnsi="Century Gothic" w:cs="Arial"/>
          <w:lang w:eastAsia="it-IT"/>
        </w:rPr>
        <w:t xml:space="preserve"> (</w:t>
      </w:r>
      <w:r w:rsidR="008348D0">
        <w:rPr>
          <w:rFonts w:ascii="Century Gothic" w:hAnsi="Century Gothic" w:cs="Arial"/>
          <w:lang w:eastAsia="it-IT"/>
        </w:rPr>
        <w:t>39</w:t>
      </w:r>
      <w:r w:rsidR="00E21AD7">
        <w:rPr>
          <w:rFonts w:ascii="Century Gothic" w:hAnsi="Century Gothic" w:cs="Arial"/>
          <w:lang w:eastAsia="it-IT"/>
        </w:rPr>
        <w:t>%)</w:t>
      </w:r>
      <w:r w:rsidR="005E1FB8">
        <w:rPr>
          <w:rFonts w:ascii="Century Gothic" w:hAnsi="Century Gothic" w:cs="Arial"/>
          <w:lang w:eastAsia="it-IT"/>
        </w:rPr>
        <w:t>.</w:t>
      </w:r>
      <w:r w:rsidRPr="008B3815">
        <w:rPr>
          <w:rFonts w:ascii="Century Gothic" w:hAnsi="Century Gothic" w:cs="Arial"/>
          <w:lang w:eastAsia="it-IT"/>
        </w:rPr>
        <w:t xml:space="preserve"> Le altre province si posizionano al di sotto della media</w:t>
      </w:r>
      <w:r>
        <w:rPr>
          <w:rFonts w:ascii="Century Gothic" w:hAnsi="Century Gothic" w:cs="Arial"/>
          <w:lang w:eastAsia="it-IT"/>
        </w:rPr>
        <w:t xml:space="preserve"> regionale. </w:t>
      </w:r>
      <w:r w:rsidR="005E1FB8">
        <w:rPr>
          <w:rFonts w:ascii="Century Gothic" w:hAnsi="Century Gothic" w:cs="Arial"/>
          <w:lang w:eastAsia="it-IT"/>
        </w:rPr>
        <w:t xml:space="preserve">Bisogna comunque segnalare il risultato di Livorno che passa dall’assenza di comuni coperti dalla contrattazione sociale </w:t>
      </w:r>
      <w:r w:rsidR="00752C5B">
        <w:rPr>
          <w:rFonts w:ascii="Century Gothic" w:hAnsi="Century Gothic" w:cs="Arial"/>
          <w:lang w:eastAsia="it-IT"/>
        </w:rPr>
        <w:t xml:space="preserve">nel 2014 a </w:t>
      </w:r>
      <w:r w:rsidR="005E1FB8">
        <w:rPr>
          <w:rFonts w:ascii="Century Gothic" w:hAnsi="Century Gothic" w:cs="Arial"/>
          <w:lang w:eastAsia="it-IT"/>
        </w:rPr>
        <w:t>un quinto dei comuni che hanno siglato intese nel 2015</w:t>
      </w:r>
    </w:p>
    <w:p w:rsidR="00F56B17" w:rsidRDefault="00F56B17">
      <w:pPr>
        <w:rPr>
          <w:rFonts w:ascii="Century Gothic" w:hAnsi="Century Gothic"/>
        </w:rPr>
      </w:pPr>
    </w:p>
    <w:p w:rsidR="00256008" w:rsidRDefault="00256008" w:rsidP="00256008">
      <w:pPr>
        <w:jc w:val="both"/>
        <w:rPr>
          <w:rFonts w:ascii="Century Gothic" w:hAnsi="Century Gothic"/>
          <w:b/>
        </w:rPr>
      </w:pPr>
      <w:r>
        <w:rPr>
          <w:rFonts w:ascii="Century Gothic" w:hAnsi="Century Gothic"/>
          <w:b/>
        </w:rPr>
        <w:t>3</w:t>
      </w:r>
      <w:r w:rsidRPr="0035601B">
        <w:rPr>
          <w:rFonts w:ascii="Century Gothic" w:hAnsi="Century Gothic"/>
          <w:b/>
        </w:rPr>
        <w:t>.3. La propensione negoziale per popolazione coperta da contrattazione sociale nelle province della Toscana</w:t>
      </w:r>
    </w:p>
    <w:p w:rsidR="00256008" w:rsidRPr="0035601B" w:rsidRDefault="00256008" w:rsidP="00256008">
      <w:pPr>
        <w:jc w:val="both"/>
        <w:rPr>
          <w:rFonts w:ascii="Century Gothic" w:hAnsi="Century Gothic"/>
          <w:b/>
        </w:rPr>
      </w:pPr>
    </w:p>
    <w:p w:rsidR="00256008" w:rsidRDefault="00256008" w:rsidP="00256008">
      <w:pPr>
        <w:jc w:val="both"/>
        <w:rPr>
          <w:rFonts w:ascii="Century Gothic" w:hAnsi="Century Gothic"/>
        </w:rPr>
      </w:pPr>
      <w:r>
        <w:rPr>
          <w:rFonts w:ascii="Century Gothic" w:hAnsi="Century Gothic"/>
        </w:rPr>
        <w:t xml:space="preserve">Passiamo a esaminare i dati sulla </w:t>
      </w:r>
      <w:r w:rsidRPr="00BE5410">
        <w:rPr>
          <w:rFonts w:ascii="Century Gothic" w:hAnsi="Century Gothic"/>
        </w:rPr>
        <w:t>percentuale di popolazione</w:t>
      </w:r>
      <w:r>
        <w:rPr>
          <w:rFonts w:ascii="Century Gothic" w:hAnsi="Century Gothic"/>
        </w:rPr>
        <w:t xml:space="preserve"> coperta da contrattazione sociale. Come già rilevato, </w:t>
      </w:r>
      <w:r w:rsidR="0083552D">
        <w:rPr>
          <w:rFonts w:ascii="Century Gothic" w:hAnsi="Century Gothic"/>
        </w:rPr>
        <w:t>anche nel</w:t>
      </w:r>
      <w:r w:rsidRPr="00BE5410">
        <w:rPr>
          <w:rFonts w:ascii="Century Gothic" w:hAnsi="Century Gothic"/>
        </w:rPr>
        <w:t>la propensione negoziale per popolazione coperta da contrattazione sociale</w:t>
      </w:r>
      <w:r>
        <w:rPr>
          <w:rFonts w:ascii="Century Gothic" w:hAnsi="Century Gothic"/>
        </w:rPr>
        <w:t xml:space="preserve"> </w:t>
      </w:r>
      <w:r w:rsidR="0083552D">
        <w:rPr>
          <w:rFonts w:ascii="Century Gothic" w:hAnsi="Century Gothic"/>
        </w:rPr>
        <w:t xml:space="preserve">si verifica un aumento rispetto al 2014 </w:t>
      </w:r>
      <w:r w:rsidR="00C94352">
        <w:rPr>
          <w:rFonts w:ascii="Century Gothic" w:hAnsi="Century Gothic"/>
        </w:rPr>
        <w:t xml:space="preserve">in cui si raggiunge la </w:t>
      </w:r>
      <w:r w:rsidR="00C94352">
        <w:rPr>
          <w:rFonts w:ascii="Century Gothic" w:hAnsi="Century Gothic"/>
        </w:rPr>
        <w:lastRenderedPageBreak/>
        <w:t xml:space="preserve">quota di </w:t>
      </w:r>
      <w:r w:rsidR="00E4181C">
        <w:rPr>
          <w:rFonts w:ascii="Century Gothic" w:hAnsi="Century Gothic"/>
        </w:rPr>
        <w:t xml:space="preserve">quasi </w:t>
      </w:r>
      <w:r w:rsidR="00C94352">
        <w:rPr>
          <w:rFonts w:ascii="Century Gothic" w:hAnsi="Century Gothic"/>
        </w:rPr>
        <w:t>due quinti della popolazione toscana, pur rimanendo su valori inferiori rispetto al quadriennio 2009-2013</w:t>
      </w:r>
      <w:r>
        <w:rPr>
          <w:rFonts w:ascii="Century Gothic" w:hAnsi="Century Gothic"/>
        </w:rPr>
        <w:t xml:space="preserve">. </w:t>
      </w:r>
    </w:p>
    <w:p w:rsidR="00256008" w:rsidRDefault="00256008" w:rsidP="00256008">
      <w:pPr>
        <w:jc w:val="both"/>
        <w:rPr>
          <w:rFonts w:ascii="Century Gothic" w:hAnsi="Century Gothic"/>
        </w:rPr>
      </w:pPr>
    </w:p>
    <w:p w:rsidR="00256008" w:rsidRPr="00E65780" w:rsidRDefault="00256008" w:rsidP="00256008">
      <w:pPr>
        <w:spacing w:line="240" w:lineRule="auto"/>
        <w:jc w:val="both"/>
        <w:rPr>
          <w:rFonts w:ascii="Century Gothic" w:hAnsi="Century Gothic"/>
          <w:b/>
          <w:bCs/>
          <w:color w:val="000000"/>
          <w:lang w:eastAsia="it-IT"/>
        </w:rPr>
      </w:pPr>
      <w:r w:rsidRPr="00E65780">
        <w:rPr>
          <w:rFonts w:ascii="Century Gothic" w:hAnsi="Century Gothic"/>
          <w:b/>
          <w:bCs/>
          <w:color w:val="000000"/>
          <w:lang w:eastAsia="it-IT"/>
        </w:rPr>
        <w:t> </w:t>
      </w:r>
      <w:r w:rsidRPr="00CB1D01">
        <w:rPr>
          <w:rFonts w:ascii="Century Gothic" w:hAnsi="Century Gothic"/>
          <w:b/>
          <w:bCs/>
          <w:color w:val="000000"/>
          <w:lang w:eastAsia="it-IT"/>
        </w:rPr>
        <w:t>Tab n.</w:t>
      </w:r>
      <w:r>
        <w:rPr>
          <w:rFonts w:ascii="Century Gothic" w:hAnsi="Century Gothic"/>
          <w:b/>
          <w:bCs/>
          <w:color w:val="000000"/>
          <w:lang w:eastAsia="it-IT"/>
        </w:rPr>
        <w:t xml:space="preserve"> 5</w:t>
      </w:r>
      <w:r w:rsidRPr="00CB1D01">
        <w:rPr>
          <w:rFonts w:ascii="Century Gothic" w:hAnsi="Century Gothic"/>
          <w:b/>
          <w:bCs/>
          <w:color w:val="000000"/>
          <w:lang w:eastAsia="it-IT"/>
        </w:rPr>
        <w:t xml:space="preserve"> - </w:t>
      </w:r>
      <w:r w:rsidRPr="00B7472D">
        <w:rPr>
          <w:rFonts w:ascii="Century Gothic" w:hAnsi="Century Gothic"/>
          <w:b/>
          <w:bCs/>
          <w:color w:val="000000"/>
          <w:lang w:eastAsia="it-IT"/>
        </w:rPr>
        <w:t xml:space="preserve">Percentuale di popolazione coperta da accordi su totale della popolazione della provincia </w:t>
      </w:r>
      <w:r w:rsidRPr="00B7472D">
        <w:rPr>
          <w:rFonts w:ascii="Century Gothic" w:hAnsi="Century Gothic"/>
          <w:b/>
        </w:rPr>
        <w:t>2009-201</w:t>
      </w:r>
      <w:r w:rsidR="0018750B">
        <w:rPr>
          <w:rFonts w:ascii="Century Gothic" w:hAnsi="Century Gothic"/>
          <w:b/>
        </w:rPr>
        <w:t>5</w:t>
      </w:r>
      <w:r>
        <w:rPr>
          <w:rFonts w:ascii="Century Gothic" w:hAnsi="Century Gothic"/>
          <w:b/>
        </w:rPr>
        <w:t xml:space="preserve"> </w:t>
      </w:r>
    </w:p>
    <w:p w:rsidR="00256008" w:rsidRDefault="00256008" w:rsidP="00256008">
      <w:pPr>
        <w:jc w:val="both"/>
        <w:rPr>
          <w:rFonts w:ascii="Century Gothic" w:hAnsi="Century Gothic"/>
        </w:rPr>
      </w:pPr>
      <w:r w:rsidRPr="00E65780">
        <w:rPr>
          <w:rFonts w:ascii="Century Gothic" w:hAnsi="Century Gothic"/>
          <w:b/>
          <w:bCs/>
          <w:color w:val="000000"/>
          <w:lang w:eastAsia="it-IT"/>
        </w:rPr>
        <w:t> </w:t>
      </w:r>
    </w:p>
    <w:tbl>
      <w:tblPr>
        <w:tblW w:w="8780" w:type="dxa"/>
        <w:tblInd w:w="65" w:type="dxa"/>
        <w:tblCellMar>
          <w:left w:w="70" w:type="dxa"/>
          <w:right w:w="70" w:type="dxa"/>
        </w:tblCellMar>
        <w:tblLook w:val="04A0" w:firstRow="1" w:lastRow="0" w:firstColumn="1" w:lastColumn="0" w:noHBand="0" w:noVBand="1"/>
      </w:tblPr>
      <w:tblGrid>
        <w:gridCol w:w="1960"/>
        <w:gridCol w:w="960"/>
        <w:gridCol w:w="960"/>
        <w:gridCol w:w="960"/>
        <w:gridCol w:w="1060"/>
        <w:gridCol w:w="960"/>
        <w:gridCol w:w="960"/>
        <w:gridCol w:w="960"/>
      </w:tblGrid>
      <w:tr w:rsidR="0018750B" w:rsidRPr="0018750B" w:rsidTr="0018750B">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18750B" w:rsidRPr="0018750B" w:rsidRDefault="0018750B" w:rsidP="0018750B">
            <w:pPr>
              <w:spacing w:line="240" w:lineRule="auto"/>
              <w:rPr>
                <w:rFonts w:ascii="Century Gothic" w:hAnsi="Century Gothic"/>
                <w:b/>
                <w:bCs/>
                <w:color w:val="000000"/>
                <w:sz w:val="20"/>
                <w:szCs w:val="20"/>
                <w:lang w:eastAsia="it-IT"/>
              </w:rPr>
            </w:pPr>
            <w:r w:rsidRPr="0018750B">
              <w:rPr>
                <w:rFonts w:ascii="Century Gothic" w:hAnsi="Century Gothic"/>
                <w:b/>
                <w:bCs/>
                <w:color w:val="000000"/>
                <w:sz w:val="20"/>
                <w:szCs w:val="20"/>
                <w:lang w:eastAsia="it-IT"/>
              </w:rPr>
              <w:t> </w:t>
            </w:r>
          </w:p>
        </w:tc>
        <w:tc>
          <w:tcPr>
            <w:tcW w:w="960" w:type="dxa"/>
            <w:tcBorders>
              <w:top w:val="single" w:sz="4" w:space="0" w:color="auto"/>
              <w:left w:val="nil"/>
              <w:bottom w:val="single" w:sz="4" w:space="0" w:color="auto"/>
              <w:right w:val="single" w:sz="4" w:space="0" w:color="auto"/>
            </w:tcBorders>
            <w:shd w:val="clear" w:color="000000" w:fill="808080"/>
            <w:noWrap/>
            <w:vAlign w:val="center"/>
            <w:hideMark/>
          </w:tcPr>
          <w:p w:rsidR="0018750B" w:rsidRPr="0018750B" w:rsidRDefault="0018750B" w:rsidP="0018750B">
            <w:pPr>
              <w:spacing w:line="240" w:lineRule="auto"/>
              <w:jc w:val="right"/>
              <w:rPr>
                <w:rFonts w:ascii="Century Gothic" w:hAnsi="Century Gothic"/>
                <w:b/>
                <w:bCs/>
                <w:color w:val="000000"/>
                <w:sz w:val="20"/>
                <w:szCs w:val="20"/>
                <w:lang w:eastAsia="it-IT"/>
              </w:rPr>
            </w:pPr>
            <w:r w:rsidRPr="0018750B">
              <w:rPr>
                <w:rFonts w:ascii="Century Gothic" w:hAnsi="Century Gothic"/>
                <w:b/>
                <w:bCs/>
                <w:color w:val="000000"/>
                <w:sz w:val="20"/>
                <w:szCs w:val="20"/>
                <w:lang w:eastAsia="it-IT"/>
              </w:rPr>
              <w:t>2009</w:t>
            </w:r>
          </w:p>
        </w:tc>
        <w:tc>
          <w:tcPr>
            <w:tcW w:w="960" w:type="dxa"/>
            <w:tcBorders>
              <w:top w:val="single" w:sz="4" w:space="0" w:color="auto"/>
              <w:left w:val="nil"/>
              <w:bottom w:val="single" w:sz="4" w:space="0" w:color="auto"/>
              <w:right w:val="single" w:sz="4" w:space="0" w:color="auto"/>
            </w:tcBorders>
            <w:shd w:val="clear" w:color="000000" w:fill="808080"/>
            <w:noWrap/>
            <w:vAlign w:val="center"/>
            <w:hideMark/>
          </w:tcPr>
          <w:p w:rsidR="0018750B" w:rsidRPr="0018750B" w:rsidRDefault="0018750B" w:rsidP="0018750B">
            <w:pPr>
              <w:spacing w:line="240" w:lineRule="auto"/>
              <w:jc w:val="right"/>
              <w:rPr>
                <w:rFonts w:ascii="Century Gothic" w:hAnsi="Century Gothic"/>
                <w:b/>
                <w:bCs/>
                <w:color w:val="000000"/>
                <w:sz w:val="20"/>
                <w:szCs w:val="20"/>
                <w:lang w:eastAsia="it-IT"/>
              </w:rPr>
            </w:pPr>
            <w:r w:rsidRPr="0018750B">
              <w:rPr>
                <w:rFonts w:ascii="Century Gothic" w:hAnsi="Century Gothic"/>
                <w:b/>
                <w:bCs/>
                <w:color w:val="000000"/>
                <w:sz w:val="20"/>
                <w:szCs w:val="20"/>
                <w:lang w:eastAsia="it-IT"/>
              </w:rPr>
              <w:t>2010</w:t>
            </w:r>
          </w:p>
        </w:tc>
        <w:tc>
          <w:tcPr>
            <w:tcW w:w="960" w:type="dxa"/>
            <w:tcBorders>
              <w:top w:val="single" w:sz="4" w:space="0" w:color="auto"/>
              <w:left w:val="nil"/>
              <w:bottom w:val="single" w:sz="4" w:space="0" w:color="auto"/>
              <w:right w:val="single" w:sz="4" w:space="0" w:color="auto"/>
            </w:tcBorders>
            <w:shd w:val="clear" w:color="000000" w:fill="808080"/>
            <w:noWrap/>
            <w:vAlign w:val="center"/>
            <w:hideMark/>
          </w:tcPr>
          <w:p w:rsidR="0018750B" w:rsidRPr="0018750B" w:rsidRDefault="0018750B" w:rsidP="0018750B">
            <w:pPr>
              <w:spacing w:line="240" w:lineRule="auto"/>
              <w:jc w:val="right"/>
              <w:rPr>
                <w:rFonts w:ascii="Century Gothic" w:hAnsi="Century Gothic"/>
                <w:b/>
                <w:bCs/>
                <w:color w:val="000000"/>
                <w:sz w:val="20"/>
                <w:szCs w:val="20"/>
                <w:lang w:eastAsia="it-IT"/>
              </w:rPr>
            </w:pPr>
            <w:r w:rsidRPr="0018750B">
              <w:rPr>
                <w:rFonts w:ascii="Century Gothic" w:hAnsi="Century Gothic"/>
                <w:b/>
                <w:bCs/>
                <w:color w:val="000000"/>
                <w:sz w:val="20"/>
                <w:szCs w:val="20"/>
                <w:lang w:eastAsia="it-IT"/>
              </w:rPr>
              <w:t>2011</w:t>
            </w:r>
          </w:p>
        </w:tc>
        <w:tc>
          <w:tcPr>
            <w:tcW w:w="1060" w:type="dxa"/>
            <w:tcBorders>
              <w:top w:val="single" w:sz="4" w:space="0" w:color="auto"/>
              <w:left w:val="nil"/>
              <w:bottom w:val="single" w:sz="4" w:space="0" w:color="auto"/>
              <w:right w:val="single" w:sz="4" w:space="0" w:color="auto"/>
            </w:tcBorders>
            <w:shd w:val="clear" w:color="000000" w:fill="808080"/>
            <w:noWrap/>
            <w:vAlign w:val="center"/>
            <w:hideMark/>
          </w:tcPr>
          <w:p w:rsidR="0018750B" w:rsidRPr="0018750B" w:rsidRDefault="0018750B" w:rsidP="0018750B">
            <w:pPr>
              <w:spacing w:line="240" w:lineRule="auto"/>
              <w:jc w:val="right"/>
              <w:rPr>
                <w:rFonts w:ascii="Century Gothic" w:hAnsi="Century Gothic"/>
                <w:b/>
                <w:bCs/>
                <w:color w:val="000000"/>
                <w:sz w:val="20"/>
                <w:szCs w:val="20"/>
                <w:lang w:eastAsia="it-IT"/>
              </w:rPr>
            </w:pPr>
            <w:r w:rsidRPr="0018750B">
              <w:rPr>
                <w:rFonts w:ascii="Century Gothic" w:hAnsi="Century Gothic"/>
                <w:b/>
                <w:bCs/>
                <w:color w:val="000000"/>
                <w:sz w:val="20"/>
                <w:szCs w:val="20"/>
                <w:lang w:eastAsia="it-IT"/>
              </w:rPr>
              <w:t>2012</w:t>
            </w:r>
          </w:p>
        </w:tc>
        <w:tc>
          <w:tcPr>
            <w:tcW w:w="960" w:type="dxa"/>
            <w:tcBorders>
              <w:top w:val="single" w:sz="4" w:space="0" w:color="auto"/>
              <w:left w:val="nil"/>
              <w:bottom w:val="single" w:sz="4" w:space="0" w:color="auto"/>
              <w:right w:val="single" w:sz="4" w:space="0" w:color="auto"/>
            </w:tcBorders>
            <w:shd w:val="clear" w:color="000000" w:fill="808080"/>
            <w:noWrap/>
            <w:vAlign w:val="center"/>
            <w:hideMark/>
          </w:tcPr>
          <w:p w:rsidR="0018750B" w:rsidRPr="0018750B" w:rsidRDefault="0018750B" w:rsidP="0018750B">
            <w:pPr>
              <w:spacing w:line="240" w:lineRule="auto"/>
              <w:jc w:val="right"/>
              <w:rPr>
                <w:rFonts w:ascii="Century Gothic" w:hAnsi="Century Gothic"/>
                <w:b/>
                <w:bCs/>
                <w:color w:val="000000"/>
                <w:sz w:val="20"/>
                <w:szCs w:val="20"/>
                <w:lang w:eastAsia="it-IT"/>
              </w:rPr>
            </w:pPr>
            <w:r w:rsidRPr="0018750B">
              <w:rPr>
                <w:rFonts w:ascii="Century Gothic" w:hAnsi="Century Gothic"/>
                <w:b/>
                <w:bCs/>
                <w:color w:val="000000"/>
                <w:sz w:val="20"/>
                <w:szCs w:val="20"/>
                <w:lang w:eastAsia="it-IT"/>
              </w:rPr>
              <w:t>2013</w:t>
            </w:r>
          </w:p>
        </w:tc>
        <w:tc>
          <w:tcPr>
            <w:tcW w:w="960" w:type="dxa"/>
            <w:tcBorders>
              <w:top w:val="single" w:sz="4" w:space="0" w:color="auto"/>
              <w:left w:val="nil"/>
              <w:bottom w:val="single" w:sz="4" w:space="0" w:color="auto"/>
              <w:right w:val="single" w:sz="4" w:space="0" w:color="auto"/>
            </w:tcBorders>
            <w:shd w:val="clear" w:color="000000" w:fill="808080"/>
            <w:noWrap/>
            <w:vAlign w:val="bottom"/>
            <w:hideMark/>
          </w:tcPr>
          <w:p w:rsidR="0018750B" w:rsidRPr="0018750B" w:rsidRDefault="0018750B" w:rsidP="0018750B">
            <w:pPr>
              <w:spacing w:line="240" w:lineRule="auto"/>
              <w:jc w:val="right"/>
              <w:rPr>
                <w:rFonts w:ascii="Century Gothic" w:hAnsi="Century Gothic"/>
                <w:b/>
                <w:bCs/>
                <w:color w:val="000000"/>
                <w:sz w:val="20"/>
                <w:szCs w:val="20"/>
                <w:lang w:eastAsia="it-IT"/>
              </w:rPr>
            </w:pPr>
            <w:r w:rsidRPr="0018750B">
              <w:rPr>
                <w:rFonts w:ascii="Century Gothic" w:hAnsi="Century Gothic"/>
                <w:b/>
                <w:bCs/>
                <w:color w:val="000000"/>
                <w:sz w:val="20"/>
                <w:szCs w:val="20"/>
                <w:lang w:eastAsia="it-IT"/>
              </w:rPr>
              <w:t>2014</w:t>
            </w:r>
          </w:p>
        </w:tc>
        <w:tc>
          <w:tcPr>
            <w:tcW w:w="960" w:type="dxa"/>
            <w:tcBorders>
              <w:top w:val="single" w:sz="4" w:space="0" w:color="auto"/>
              <w:left w:val="nil"/>
              <w:bottom w:val="single" w:sz="4" w:space="0" w:color="auto"/>
              <w:right w:val="single" w:sz="4" w:space="0" w:color="auto"/>
            </w:tcBorders>
            <w:shd w:val="clear" w:color="000000" w:fill="808080"/>
            <w:noWrap/>
            <w:vAlign w:val="bottom"/>
            <w:hideMark/>
          </w:tcPr>
          <w:p w:rsidR="0018750B" w:rsidRPr="0018750B" w:rsidRDefault="0018750B" w:rsidP="0018750B">
            <w:pPr>
              <w:spacing w:line="240" w:lineRule="auto"/>
              <w:jc w:val="right"/>
              <w:rPr>
                <w:rFonts w:ascii="Century Gothic" w:hAnsi="Century Gothic"/>
                <w:b/>
                <w:bCs/>
                <w:color w:val="000000"/>
                <w:sz w:val="20"/>
                <w:szCs w:val="20"/>
                <w:lang w:eastAsia="it-IT"/>
              </w:rPr>
            </w:pPr>
            <w:r w:rsidRPr="0018750B">
              <w:rPr>
                <w:rFonts w:ascii="Century Gothic" w:hAnsi="Century Gothic"/>
                <w:b/>
                <w:bCs/>
                <w:color w:val="000000"/>
                <w:sz w:val="20"/>
                <w:szCs w:val="20"/>
                <w:lang w:eastAsia="it-IT"/>
              </w:rPr>
              <w:t>2015</w:t>
            </w:r>
          </w:p>
        </w:tc>
      </w:tr>
      <w:tr w:rsidR="0018750B" w:rsidRPr="0018750B" w:rsidTr="0018750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rPr>
                <w:rFonts w:ascii="Century Gothic" w:hAnsi="Century Gothic"/>
                <w:color w:val="000000"/>
                <w:sz w:val="20"/>
                <w:szCs w:val="20"/>
                <w:lang w:eastAsia="it-IT"/>
              </w:rPr>
            </w:pPr>
            <w:r w:rsidRPr="0018750B">
              <w:rPr>
                <w:rFonts w:ascii="Century Gothic" w:hAnsi="Century Gothic"/>
                <w:color w:val="000000"/>
                <w:sz w:val="20"/>
                <w:szCs w:val="20"/>
                <w:lang w:eastAsia="it-IT"/>
              </w:rPr>
              <w:t>Arezzo</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56%</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56%</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91%</w:t>
            </w:r>
          </w:p>
        </w:tc>
        <w:tc>
          <w:tcPr>
            <w:tcW w:w="10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95%</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65%</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71%</w:t>
            </w:r>
          </w:p>
        </w:tc>
      </w:tr>
      <w:tr w:rsidR="0018750B" w:rsidRPr="0018750B" w:rsidTr="0018750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rPr>
                <w:rFonts w:ascii="Century Gothic" w:hAnsi="Century Gothic"/>
                <w:color w:val="000000"/>
                <w:sz w:val="20"/>
                <w:szCs w:val="20"/>
                <w:lang w:eastAsia="it-IT"/>
              </w:rPr>
            </w:pPr>
            <w:r w:rsidRPr="0018750B">
              <w:rPr>
                <w:rFonts w:ascii="Century Gothic" w:hAnsi="Century Gothic"/>
                <w:color w:val="000000"/>
                <w:sz w:val="20"/>
                <w:szCs w:val="20"/>
                <w:lang w:eastAsia="it-IT"/>
              </w:rPr>
              <w:t>Firenze</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85%</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46%</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48%</w:t>
            </w:r>
          </w:p>
        </w:tc>
        <w:tc>
          <w:tcPr>
            <w:tcW w:w="10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82%</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65%</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16%</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11%</w:t>
            </w:r>
          </w:p>
        </w:tc>
      </w:tr>
      <w:tr w:rsidR="0018750B" w:rsidRPr="0018750B" w:rsidTr="0018750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rPr>
                <w:rFonts w:ascii="Century Gothic" w:hAnsi="Century Gothic"/>
                <w:color w:val="000000"/>
                <w:sz w:val="20"/>
                <w:szCs w:val="20"/>
                <w:lang w:eastAsia="it-IT"/>
              </w:rPr>
            </w:pPr>
            <w:r w:rsidRPr="0018750B">
              <w:rPr>
                <w:rFonts w:ascii="Century Gothic" w:hAnsi="Century Gothic"/>
                <w:color w:val="000000"/>
                <w:sz w:val="20"/>
                <w:szCs w:val="20"/>
                <w:lang w:eastAsia="it-IT"/>
              </w:rPr>
              <w:t>Grosseto</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18%</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27%</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71%</w:t>
            </w:r>
          </w:p>
        </w:tc>
        <w:tc>
          <w:tcPr>
            <w:tcW w:w="10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72%</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35%</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52%</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0%</w:t>
            </w:r>
          </w:p>
        </w:tc>
      </w:tr>
      <w:tr w:rsidR="0018750B" w:rsidRPr="0018750B" w:rsidTr="0018750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rPr>
                <w:rFonts w:ascii="Century Gothic" w:hAnsi="Century Gothic"/>
                <w:color w:val="000000"/>
                <w:sz w:val="20"/>
                <w:szCs w:val="20"/>
                <w:lang w:eastAsia="it-IT"/>
              </w:rPr>
            </w:pPr>
            <w:r w:rsidRPr="0018750B">
              <w:rPr>
                <w:rFonts w:ascii="Century Gothic" w:hAnsi="Century Gothic"/>
                <w:color w:val="000000"/>
                <w:sz w:val="20"/>
                <w:szCs w:val="20"/>
                <w:lang w:eastAsia="it-IT"/>
              </w:rPr>
              <w:t>Livorno</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50%</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77%</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94%</w:t>
            </w:r>
          </w:p>
        </w:tc>
        <w:tc>
          <w:tcPr>
            <w:tcW w:w="10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79%</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24%</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CF4DF1" w:rsidP="0018750B">
            <w:pPr>
              <w:spacing w:line="240" w:lineRule="auto"/>
              <w:jc w:val="right"/>
              <w:rPr>
                <w:rFonts w:ascii="Century Gothic" w:hAnsi="Century Gothic"/>
                <w:color w:val="000000"/>
                <w:sz w:val="20"/>
                <w:szCs w:val="20"/>
                <w:lang w:eastAsia="it-IT"/>
              </w:rPr>
            </w:pPr>
            <w:r>
              <w:rPr>
                <w:rFonts w:ascii="Century Gothic" w:hAnsi="Century Gothic"/>
                <w:color w:val="000000"/>
                <w:sz w:val="20"/>
                <w:szCs w:val="20"/>
                <w:lang w:eastAsia="it-IT"/>
              </w:rPr>
              <w:t>26</w:t>
            </w:r>
            <w:r w:rsidR="0018750B" w:rsidRPr="0018750B">
              <w:rPr>
                <w:rFonts w:ascii="Century Gothic" w:hAnsi="Century Gothic"/>
                <w:color w:val="000000"/>
                <w:sz w:val="20"/>
                <w:szCs w:val="20"/>
                <w:lang w:eastAsia="it-IT"/>
              </w:rPr>
              <w:t>%</w:t>
            </w:r>
          </w:p>
        </w:tc>
      </w:tr>
      <w:tr w:rsidR="0018750B" w:rsidRPr="0018750B" w:rsidTr="0018750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rPr>
                <w:rFonts w:ascii="Century Gothic" w:hAnsi="Century Gothic"/>
                <w:color w:val="000000"/>
                <w:sz w:val="20"/>
                <w:szCs w:val="20"/>
                <w:lang w:eastAsia="it-IT"/>
              </w:rPr>
            </w:pPr>
            <w:r w:rsidRPr="0018750B">
              <w:rPr>
                <w:rFonts w:ascii="Century Gothic" w:hAnsi="Century Gothic"/>
                <w:color w:val="000000"/>
                <w:sz w:val="20"/>
                <w:szCs w:val="20"/>
                <w:lang w:eastAsia="it-IT"/>
              </w:rPr>
              <w:t>Lucca</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86%</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72%</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68%</w:t>
            </w:r>
          </w:p>
        </w:tc>
        <w:tc>
          <w:tcPr>
            <w:tcW w:w="10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76%</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56%</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33%</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75%</w:t>
            </w:r>
          </w:p>
        </w:tc>
      </w:tr>
      <w:tr w:rsidR="0018750B" w:rsidRPr="0018750B" w:rsidTr="0018750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rPr>
                <w:rFonts w:ascii="Century Gothic" w:hAnsi="Century Gothic"/>
                <w:color w:val="000000"/>
                <w:sz w:val="20"/>
                <w:szCs w:val="20"/>
                <w:lang w:eastAsia="it-IT"/>
              </w:rPr>
            </w:pPr>
            <w:r w:rsidRPr="0018750B">
              <w:rPr>
                <w:rFonts w:ascii="Century Gothic" w:hAnsi="Century Gothic"/>
                <w:color w:val="000000"/>
                <w:sz w:val="20"/>
                <w:szCs w:val="20"/>
                <w:lang w:eastAsia="it-IT"/>
              </w:rPr>
              <w:t>Massa-Carrara</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61%</w:t>
            </w:r>
          </w:p>
        </w:tc>
        <w:tc>
          <w:tcPr>
            <w:tcW w:w="10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75%</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75%</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39%</w:t>
            </w:r>
          </w:p>
        </w:tc>
      </w:tr>
      <w:tr w:rsidR="0018750B" w:rsidRPr="0018750B" w:rsidTr="0018750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rPr>
                <w:rFonts w:ascii="Century Gothic" w:hAnsi="Century Gothic"/>
                <w:color w:val="000000"/>
                <w:sz w:val="20"/>
                <w:szCs w:val="20"/>
                <w:lang w:eastAsia="it-IT"/>
              </w:rPr>
            </w:pPr>
            <w:r w:rsidRPr="0018750B">
              <w:rPr>
                <w:rFonts w:ascii="Century Gothic" w:hAnsi="Century Gothic"/>
                <w:color w:val="000000"/>
                <w:sz w:val="20"/>
                <w:szCs w:val="20"/>
                <w:lang w:eastAsia="it-IT"/>
              </w:rPr>
              <w:t>Pisa</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34%</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3%</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45%</w:t>
            </w:r>
          </w:p>
        </w:tc>
        <w:tc>
          <w:tcPr>
            <w:tcW w:w="10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65%</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29%</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72%</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45%</w:t>
            </w:r>
          </w:p>
        </w:tc>
      </w:tr>
      <w:tr w:rsidR="0018750B" w:rsidRPr="0018750B" w:rsidTr="0018750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rPr>
                <w:rFonts w:ascii="Century Gothic" w:hAnsi="Century Gothic"/>
                <w:color w:val="000000"/>
                <w:sz w:val="20"/>
                <w:szCs w:val="20"/>
                <w:lang w:eastAsia="it-IT"/>
              </w:rPr>
            </w:pPr>
            <w:r w:rsidRPr="0018750B">
              <w:rPr>
                <w:rFonts w:ascii="Century Gothic" w:hAnsi="Century Gothic"/>
                <w:color w:val="000000"/>
                <w:sz w:val="20"/>
                <w:szCs w:val="20"/>
                <w:lang w:eastAsia="it-IT"/>
              </w:rPr>
              <w:t>Pistoia</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81%</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37%</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33%</w:t>
            </w:r>
          </w:p>
        </w:tc>
        <w:tc>
          <w:tcPr>
            <w:tcW w:w="10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20%</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11%</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11%</w:t>
            </w:r>
          </w:p>
        </w:tc>
      </w:tr>
      <w:tr w:rsidR="0018750B" w:rsidRPr="0018750B" w:rsidTr="0018750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rPr>
                <w:rFonts w:ascii="Century Gothic" w:hAnsi="Century Gothic"/>
                <w:color w:val="000000"/>
                <w:sz w:val="20"/>
                <w:szCs w:val="20"/>
                <w:lang w:eastAsia="it-IT"/>
              </w:rPr>
            </w:pPr>
            <w:r w:rsidRPr="0018750B">
              <w:rPr>
                <w:rFonts w:ascii="Century Gothic" w:hAnsi="Century Gothic"/>
                <w:color w:val="000000"/>
                <w:sz w:val="20"/>
                <w:szCs w:val="20"/>
                <w:lang w:eastAsia="it-IT"/>
              </w:rPr>
              <w:t>Prato</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83%</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8%</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17%</w:t>
            </w:r>
          </w:p>
        </w:tc>
        <w:tc>
          <w:tcPr>
            <w:tcW w:w="10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7%</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100%</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90%</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83%</w:t>
            </w:r>
          </w:p>
        </w:tc>
      </w:tr>
      <w:tr w:rsidR="0018750B" w:rsidRPr="0018750B" w:rsidTr="0018750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rPr>
                <w:rFonts w:ascii="Century Gothic" w:hAnsi="Century Gothic"/>
                <w:color w:val="000000"/>
                <w:sz w:val="20"/>
                <w:szCs w:val="20"/>
                <w:lang w:eastAsia="it-IT"/>
              </w:rPr>
            </w:pPr>
            <w:r w:rsidRPr="0018750B">
              <w:rPr>
                <w:rFonts w:ascii="Century Gothic" w:hAnsi="Century Gothic"/>
                <w:color w:val="000000"/>
                <w:sz w:val="20"/>
                <w:szCs w:val="20"/>
                <w:lang w:eastAsia="it-IT"/>
              </w:rPr>
              <w:t>Siena</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44%</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84%</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80%</w:t>
            </w:r>
          </w:p>
        </w:tc>
        <w:tc>
          <w:tcPr>
            <w:tcW w:w="10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77%</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65%</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19%</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6E1D9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6</w:t>
            </w:r>
            <w:r w:rsidR="006E1D9B">
              <w:rPr>
                <w:rFonts w:ascii="Century Gothic" w:hAnsi="Century Gothic"/>
                <w:color w:val="000000"/>
                <w:sz w:val="20"/>
                <w:szCs w:val="20"/>
                <w:lang w:eastAsia="it-IT"/>
              </w:rPr>
              <w:t>1</w:t>
            </w:r>
            <w:r w:rsidRPr="0018750B">
              <w:rPr>
                <w:rFonts w:ascii="Century Gothic" w:hAnsi="Century Gothic"/>
                <w:color w:val="000000"/>
                <w:sz w:val="20"/>
                <w:szCs w:val="20"/>
                <w:lang w:eastAsia="it-IT"/>
              </w:rPr>
              <w:t>%</w:t>
            </w:r>
          </w:p>
        </w:tc>
      </w:tr>
      <w:tr w:rsidR="0018750B" w:rsidRPr="0018750B" w:rsidTr="0018750B">
        <w:trPr>
          <w:trHeight w:val="30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18750B" w:rsidRPr="0018750B" w:rsidRDefault="0018750B" w:rsidP="0018750B">
            <w:pPr>
              <w:spacing w:line="240" w:lineRule="auto"/>
              <w:rPr>
                <w:rFonts w:ascii="Century Gothic" w:hAnsi="Century Gothic"/>
                <w:color w:val="000000"/>
                <w:sz w:val="20"/>
                <w:szCs w:val="20"/>
                <w:lang w:eastAsia="it-IT"/>
              </w:rPr>
            </w:pPr>
            <w:r w:rsidRPr="0018750B">
              <w:rPr>
                <w:rFonts w:ascii="Century Gothic" w:hAnsi="Century Gothic"/>
                <w:color w:val="000000"/>
                <w:sz w:val="20"/>
                <w:szCs w:val="20"/>
                <w:lang w:eastAsia="it-IT"/>
              </w:rPr>
              <w:t>TOSCANA</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62%</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47%</w:t>
            </w:r>
          </w:p>
        </w:tc>
        <w:tc>
          <w:tcPr>
            <w:tcW w:w="9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60%</w:t>
            </w:r>
          </w:p>
        </w:tc>
        <w:tc>
          <w:tcPr>
            <w:tcW w:w="1060" w:type="dxa"/>
            <w:tcBorders>
              <w:top w:val="nil"/>
              <w:left w:val="nil"/>
              <w:bottom w:val="single" w:sz="4" w:space="0" w:color="auto"/>
              <w:right w:val="single" w:sz="4" w:space="0" w:color="auto"/>
            </w:tcBorders>
            <w:shd w:val="clear" w:color="auto" w:fill="auto"/>
            <w:noWrap/>
            <w:vAlign w:val="center"/>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69%</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52%</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18750B" w:rsidP="0018750B">
            <w:pPr>
              <w:spacing w:line="240" w:lineRule="auto"/>
              <w:jc w:val="right"/>
              <w:rPr>
                <w:rFonts w:ascii="Century Gothic" w:hAnsi="Century Gothic"/>
                <w:color w:val="000000"/>
                <w:sz w:val="20"/>
                <w:szCs w:val="20"/>
                <w:lang w:eastAsia="it-IT"/>
              </w:rPr>
            </w:pPr>
            <w:r w:rsidRPr="0018750B">
              <w:rPr>
                <w:rFonts w:ascii="Century Gothic" w:hAnsi="Century Gothic"/>
                <w:color w:val="000000"/>
                <w:sz w:val="20"/>
                <w:szCs w:val="20"/>
                <w:lang w:eastAsia="it-IT"/>
              </w:rPr>
              <w:t>29%</w:t>
            </w:r>
          </w:p>
        </w:tc>
        <w:tc>
          <w:tcPr>
            <w:tcW w:w="960" w:type="dxa"/>
            <w:tcBorders>
              <w:top w:val="nil"/>
              <w:left w:val="nil"/>
              <w:bottom w:val="single" w:sz="4" w:space="0" w:color="auto"/>
              <w:right w:val="single" w:sz="4" w:space="0" w:color="auto"/>
            </w:tcBorders>
            <w:shd w:val="clear" w:color="auto" w:fill="auto"/>
            <w:noWrap/>
            <w:vAlign w:val="bottom"/>
            <w:hideMark/>
          </w:tcPr>
          <w:p w:rsidR="0018750B" w:rsidRPr="0018750B" w:rsidRDefault="00CF4DF1" w:rsidP="0018750B">
            <w:pPr>
              <w:spacing w:line="240" w:lineRule="auto"/>
              <w:jc w:val="right"/>
              <w:rPr>
                <w:rFonts w:ascii="Century Gothic" w:hAnsi="Century Gothic"/>
                <w:color w:val="000000"/>
                <w:sz w:val="20"/>
                <w:szCs w:val="20"/>
                <w:lang w:eastAsia="it-IT"/>
              </w:rPr>
            </w:pPr>
            <w:r>
              <w:rPr>
                <w:rFonts w:ascii="Century Gothic" w:hAnsi="Century Gothic"/>
                <w:color w:val="000000"/>
                <w:sz w:val="20"/>
                <w:szCs w:val="20"/>
                <w:lang w:eastAsia="it-IT"/>
              </w:rPr>
              <w:t>38</w:t>
            </w:r>
            <w:r w:rsidR="0018750B" w:rsidRPr="0018750B">
              <w:rPr>
                <w:rFonts w:ascii="Century Gothic" w:hAnsi="Century Gothic"/>
                <w:color w:val="000000"/>
                <w:sz w:val="20"/>
                <w:szCs w:val="20"/>
                <w:lang w:eastAsia="it-IT"/>
              </w:rPr>
              <w:t>%</w:t>
            </w:r>
          </w:p>
        </w:tc>
      </w:tr>
    </w:tbl>
    <w:p w:rsidR="0018750B" w:rsidRDefault="0018750B" w:rsidP="00256008">
      <w:pPr>
        <w:jc w:val="both"/>
        <w:rPr>
          <w:rFonts w:ascii="Century Gothic" w:hAnsi="Century Gothic"/>
        </w:rPr>
      </w:pPr>
    </w:p>
    <w:p w:rsidR="00256008" w:rsidRDefault="00256008" w:rsidP="00256008">
      <w:pPr>
        <w:jc w:val="both"/>
        <w:rPr>
          <w:rFonts w:ascii="Century Gothic" w:hAnsi="Century Gothic"/>
        </w:rPr>
      </w:pPr>
      <w:r w:rsidRPr="008B3815">
        <w:rPr>
          <w:rFonts w:ascii="Century Gothic" w:hAnsi="Century Gothic"/>
        </w:rPr>
        <w:t xml:space="preserve">Riguardo </w:t>
      </w:r>
      <w:r w:rsidR="00B4561F">
        <w:rPr>
          <w:rFonts w:ascii="Century Gothic" w:hAnsi="Century Gothic"/>
        </w:rPr>
        <w:t>alla quota</w:t>
      </w:r>
      <w:r w:rsidRPr="008B3815">
        <w:rPr>
          <w:rFonts w:ascii="Century Gothic" w:hAnsi="Century Gothic"/>
        </w:rPr>
        <w:t xml:space="preserve"> di popolazione</w:t>
      </w:r>
      <w:r w:rsidR="00C94352">
        <w:rPr>
          <w:rFonts w:ascii="Century Gothic" w:hAnsi="Century Gothic"/>
        </w:rPr>
        <w:t xml:space="preserve"> coperta</w:t>
      </w:r>
      <w:r w:rsidRPr="008B3815">
        <w:rPr>
          <w:rFonts w:ascii="Century Gothic" w:hAnsi="Century Gothic"/>
        </w:rPr>
        <w:t>, in termini strettamente statistici la provincia di Prato si posiziona al primo posto (</w:t>
      </w:r>
      <w:r w:rsidR="00C94352">
        <w:rPr>
          <w:rFonts w:ascii="Century Gothic" w:hAnsi="Century Gothic"/>
        </w:rPr>
        <w:t>83</w:t>
      </w:r>
      <w:r w:rsidRPr="008B3815">
        <w:rPr>
          <w:rFonts w:ascii="Century Gothic" w:hAnsi="Century Gothic"/>
        </w:rPr>
        <w:t xml:space="preserve">%). Se, invece, consideriamo gli accordi senza includere i protocolli di relazioni, il primo posto è occupato dalla provincia di </w:t>
      </w:r>
      <w:r w:rsidR="00C94352">
        <w:rPr>
          <w:rFonts w:ascii="Century Gothic" w:hAnsi="Century Gothic"/>
        </w:rPr>
        <w:t>Lucca</w:t>
      </w:r>
      <w:r w:rsidRPr="008B3815">
        <w:rPr>
          <w:rFonts w:ascii="Century Gothic" w:hAnsi="Century Gothic"/>
        </w:rPr>
        <w:t xml:space="preserve"> (7</w:t>
      </w:r>
      <w:r w:rsidR="00C94352">
        <w:rPr>
          <w:rFonts w:ascii="Century Gothic" w:hAnsi="Century Gothic"/>
        </w:rPr>
        <w:t>5</w:t>
      </w:r>
      <w:r w:rsidRPr="008B3815">
        <w:rPr>
          <w:rFonts w:ascii="Century Gothic" w:hAnsi="Century Gothic"/>
        </w:rPr>
        <w:t xml:space="preserve">%), </w:t>
      </w:r>
      <w:r w:rsidR="00C94352">
        <w:rPr>
          <w:rFonts w:ascii="Century Gothic" w:hAnsi="Century Gothic"/>
        </w:rPr>
        <w:t>seguita dalla provincia di Arezzo (71%), in entrambe le province</w:t>
      </w:r>
      <w:r w:rsidR="00443023">
        <w:rPr>
          <w:rFonts w:ascii="Century Gothic" w:hAnsi="Century Gothic"/>
        </w:rPr>
        <w:t>,</w:t>
      </w:r>
      <w:r w:rsidR="00C94352">
        <w:rPr>
          <w:rFonts w:ascii="Century Gothic" w:hAnsi="Century Gothic"/>
        </w:rPr>
        <w:t xml:space="preserve"> oltre a un buon numero di accordi</w:t>
      </w:r>
      <w:r w:rsidR="00443023">
        <w:rPr>
          <w:rFonts w:ascii="Century Gothic" w:hAnsi="Century Gothic"/>
        </w:rPr>
        <w:t>,</w:t>
      </w:r>
      <w:r w:rsidR="00C94352">
        <w:rPr>
          <w:rFonts w:ascii="Century Gothic" w:hAnsi="Century Gothic"/>
        </w:rPr>
        <w:t xml:space="preserve"> si rileva la presenza del </w:t>
      </w:r>
      <w:r w:rsidR="00443023" w:rsidRPr="008B3815">
        <w:rPr>
          <w:rFonts w:ascii="Century Gothic" w:hAnsi="Century Gothic"/>
        </w:rPr>
        <w:t>comune capoluogo</w:t>
      </w:r>
      <w:r w:rsidR="00443023">
        <w:rPr>
          <w:rFonts w:ascii="Century Gothic" w:hAnsi="Century Gothic"/>
        </w:rPr>
        <w:t>.</w:t>
      </w:r>
      <w:r w:rsidR="00443023" w:rsidRPr="008B3815">
        <w:rPr>
          <w:rFonts w:ascii="Century Gothic" w:hAnsi="Century Gothic"/>
        </w:rPr>
        <w:t xml:space="preserve"> </w:t>
      </w:r>
      <w:r w:rsidR="00443023">
        <w:rPr>
          <w:rFonts w:ascii="Century Gothic" w:hAnsi="Century Gothic"/>
        </w:rPr>
        <w:t>Al di sopra del 60% si colloca l</w:t>
      </w:r>
      <w:r w:rsidR="00CF4DF1">
        <w:rPr>
          <w:rFonts w:ascii="Century Gothic" w:hAnsi="Century Gothic"/>
        </w:rPr>
        <w:t>a</w:t>
      </w:r>
      <w:r w:rsidR="00443023">
        <w:rPr>
          <w:rFonts w:ascii="Century Gothic" w:hAnsi="Century Gothic"/>
        </w:rPr>
        <w:t xml:space="preserve"> provinc</w:t>
      </w:r>
      <w:r w:rsidR="00CF4DF1">
        <w:rPr>
          <w:rFonts w:ascii="Century Gothic" w:hAnsi="Century Gothic"/>
        </w:rPr>
        <w:t>ia</w:t>
      </w:r>
      <w:r w:rsidR="00443023">
        <w:rPr>
          <w:rFonts w:ascii="Century Gothic" w:hAnsi="Century Gothic"/>
        </w:rPr>
        <w:t xml:space="preserve"> di Siena (6</w:t>
      </w:r>
      <w:r w:rsidR="006E1D9B">
        <w:rPr>
          <w:rFonts w:ascii="Century Gothic" w:hAnsi="Century Gothic"/>
        </w:rPr>
        <w:t>1</w:t>
      </w:r>
      <w:r w:rsidR="00443023">
        <w:rPr>
          <w:rFonts w:ascii="Century Gothic" w:hAnsi="Century Gothic"/>
        </w:rPr>
        <w:t xml:space="preserve">%), sopra la media regionale Pisa (45%) e Massa Carrara (39%), che pur siglando solo due intese, vede la presenza del comune capoluogo. </w:t>
      </w:r>
      <w:r w:rsidRPr="008B3815">
        <w:rPr>
          <w:rFonts w:ascii="Century Gothic" w:hAnsi="Century Gothic"/>
        </w:rPr>
        <w:t>Si ricorda che questa è una valutazione puramente statistica e non entra nel merito dei contenuti degli accordi, aspetto che verrà trattato nel paragrafo 3.5. .</w:t>
      </w:r>
      <w:r w:rsidR="00443023">
        <w:rPr>
          <w:rFonts w:ascii="Century Gothic" w:hAnsi="Century Gothic"/>
        </w:rPr>
        <w:t xml:space="preserve"> </w:t>
      </w:r>
    </w:p>
    <w:p w:rsidR="00256008" w:rsidRDefault="00256008" w:rsidP="00256008">
      <w:pPr>
        <w:jc w:val="both"/>
        <w:rPr>
          <w:rFonts w:ascii="Century Gothic" w:hAnsi="Century Gothic"/>
        </w:rPr>
      </w:pPr>
      <w:r>
        <w:rPr>
          <w:rFonts w:ascii="Century Gothic" w:hAnsi="Century Gothic"/>
        </w:rPr>
        <w:t>Nel corso del</w:t>
      </w:r>
      <w:r w:rsidRPr="00361518">
        <w:rPr>
          <w:rFonts w:ascii="Century Gothic" w:hAnsi="Century Gothic"/>
        </w:rPr>
        <w:t xml:space="preserve"> 2009-201</w:t>
      </w:r>
      <w:r w:rsidR="000571F9">
        <w:rPr>
          <w:rFonts w:ascii="Century Gothic" w:hAnsi="Century Gothic"/>
        </w:rPr>
        <w:t>5</w:t>
      </w:r>
      <w:r>
        <w:rPr>
          <w:rFonts w:ascii="Century Gothic" w:hAnsi="Century Gothic"/>
        </w:rPr>
        <w:t xml:space="preserve">, </w:t>
      </w:r>
      <w:r w:rsidRPr="0030412B">
        <w:rPr>
          <w:rFonts w:ascii="Century Gothic" w:hAnsi="Century Gothic"/>
        </w:rPr>
        <w:t>periodo</w:t>
      </w:r>
      <w:r>
        <w:rPr>
          <w:rFonts w:ascii="Century Gothic" w:hAnsi="Century Gothic"/>
        </w:rPr>
        <w:t xml:space="preserve"> in cui è stata effettuata anno per anno l’analisi degli accordi siglati nel territorio toscano, quasi tutto il territorio regionale è coperto da contrattazione sociale, si arriva infatti a coprire il 9</w:t>
      </w:r>
      <w:r w:rsidR="000571F9">
        <w:rPr>
          <w:rFonts w:ascii="Century Gothic" w:hAnsi="Century Gothic"/>
        </w:rPr>
        <w:t>6</w:t>
      </w:r>
      <w:r>
        <w:rPr>
          <w:rFonts w:ascii="Century Gothic" w:hAnsi="Century Gothic"/>
        </w:rPr>
        <w:t xml:space="preserve">% della popolazione e nessuna </w:t>
      </w:r>
      <w:r w:rsidRPr="00B4561F">
        <w:rPr>
          <w:rFonts w:ascii="Century Gothic" w:hAnsi="Century Gothic"/>
        </w:rPr>
        <w:t>provincia scende al di sotto dell’</w:t>
      </w:r>
      <w:r w:rsidR="000571F9" w:rsidRPr="00B4561F">
        <w:rPr>
          <w:rFonts w:ascii="Century Gothic" w:hAnsi="Century Gothic"/>
        </w:rPr>
        <w:t>93</w:t>
      </w:r>
      <w:r w:rsidRPr="00B4561F">
        <w:rPr>
          <w:rFonts w:ascii="Century Gothic" w:hAnsi="Century Gothic"/>
        </w:rPr>
        <w:t>%.</w:t>
      </w:r>
      <w:r>
        <w:rPr>
          <w:rFonts w:ascii="Century Gothic" w:hAnsi="Century Gothic"/>
        </w:rPr>
        <w:t xml:space="preserve"> Come evidenziato in precedenti rapporti, la questione è quella di instaurare una consuetudine negoziale nelle varie aree del territorio toscano. Naturalmente l’accento non deve essere posto solo sugli aspetti quantitativi, ma deve essere valorizzata la qualità dell’accordo in termini di definizione e concretezza degli obiettivi </w:t>
      </w:r>
      <w:r w:rsidRPr="008B3815">
        <w:rPr>
          <w:rFonts w:ascii="Century Gothic" w:hAnsi="Century Gothic"/>
        </w:rPr>
        <w:t>raggiunti</w:t>
      </w:r>
      <w:r>
        <w:rPr>
          <w:rFonts w:ascii="Century Gothic" w:hAnsi="Century Gothic"/>
        </w:rPr>
        <w:t xml:space="preserve">. </w:t>
      </w:r>
    </w:p>
    <w:p w:rsidR="00405531" w:rsidRDefault="00405531">
      <w:pPr>
        <w:rPr>
          <w:rFonts w:ascii="Century Gothic" w:hAnsi="Century Gothic"/>
        </w:rPr>
      </w:pPr>
      <w:r>
        <w:rPr>
          <w:rFonts w:ascii="Century Gothic" w:hAnsi="Century Gothic"/>
        </w:rPr>
        <w:br w:type="page"/>
      </w:r>
    </w:p>
    <w:p w:rsidR="00256008" w:rsidRDefault="00256008" w:rsidP="00256008">
      <w:pPr>
        <w:jc w:val="both"/>
        <w:rPr>
          <w:rFonts w:ascii="Century Gothic" w:hAnsi="Century Gothic"/>
        </w:rPr>
      </w:pPr>
    </w:p>
    <w:p w:rsidR="00256008" w:rsidRDefault="00256008" w:rsidP="00256008">
      <w:pPr>
        <w:jc w:val="both"/>
        <w:rPr>
          <w:rFonts w:ascii="Century Gothic" w:hAnsi="Century Gothic"/>
          <w:b/>
        </w:rPr>
      </w:pPr>
      <w:r w:rsidRPr="0035601B">
        <w:rPr>
          <w:rFonts w:ascii="Century Gothic" w:hAnsi="Century Gothic"/>
          <w:b/>
        </w:rPr>
        <w:t xml:space="preserve">Tab n. </w:t>
      </w:r>
      <w:r>
        <w:rPr>
          <w:rFonts w:ascii="Century Gothic" w:hAnsi="Century Gothic"/>
          <w:b/>
        </w:rPr>
        <w:t>6</w:t>
      </w:r>
      <w:r w:rsidRPr="0035601B">
        <w:rPr>
          <w:rFonts w:ascii="Century Gothic" w:hAnsi="Century Gothic"/>
          <w:b/>
        </w:rPr>
        <w:t xml:space="preserve"> - Percentuale di popolazione coperta </w:t>
      </w:r>
      <w:r>
        <w:rPr>
          <w:rFonts w:ascii="Century Gothic" w:hAnsi="Century Gothic"/>
          <w:b/>
        </w:rPr>
        <w:t xml:space="preserve">per almeno un anno </w:t>
      </w:r>
      <w:r w:rsidRPr="0035601B">
        <w:rPr>
          <w:rFonts w:ascii="Century Gothic" w:hAnsi="Century Gothic"/>
          <w:b/>
        </w:rPr>
        <w:t xml:space="preserve">da accordi su totale della popolazione della </w:t>
      </w:r>
      <w:r>
        <w:rPr>
          <w:rFonts w:ascii="Century Gothic" w:hAnsi="Century Gothic"/>
          <w:b/>
        </w:rPr>
        <w:t>provincia nell’arco del periodo 2009-201</w:t>
      </w:r>
      <w:r w:rsidR="000571F9">
        <w:rPr>
          <w:rFonts w:ascii="Century Gothic" w:hAnsi="Century Gothic"/>
          <w:b/>
        </w:rPr>
        <w:t>5</w:t>
      </w:r>
    </w:p>
    <w:p w:rsidR="00256008" w:rsidRDefault="00256008" w:rsidP="00256008">
      <w:pPr>
        <w:jc w:val="both"/>
        <w:rPr>
          <w:rFonts w:ascii="Century Gothic" w:hAnsi="Century Gothic"/>
        </w:rPr>
      </w:pPr>
    </w:p>
    <w:tbl>
      <w:tblPr>
        <w:tblW w:w="4840" w:type="dxa"/>
        <w:tblInd w:w="60" w:type="dxa"/>
        <w:tblCellMar>
          <w:left w:w="70" w:type="dxa"/>
          <w:right w:w="70" w:type="dxa"/>
        </w:tblCellMar>
        <w:tblLook w:val="04A0" w:firstRow="1" w:lastRow="0" w:firstColumn="1" w:lastColumn="0" w:noHBand="0" w:noVBand="1"/>
      </w:tblPr>
      <w:tblGrid>
        <w:gridCol w:w="960"/>
        <w:gridCol w:w="1027"/>
        <w:gridCol w:w="1781"/>
        <w:gridCol w:w="1139"/>
      </w:tblGrid>
      <w:tr w:rsidR="00256008" w:rsidRPr="000343EB" w:rsidTr="00C413A1">
        <w:trPr>
          <w:trHeight w:val="600"/>
        </w:trPr>
        <w:tc>
          <w:tcPr>
            <w:tcW w:w="9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56008" w:rsidRPr="000343EB" w:rsidRDefault="00256008" w:rsidP="00C413A1">
            <w:pPr>
              <w:spacing w:line="240" w:lineRule="auto"/>
              <w:rPr>
                <w:color w:val="000000"/>
                <w:lang w:eastAsia="it-IT"/>
              </w:rPr>
            </w:pPr>
            <w:r w:rsidRPr="000343EB">
              <w:rPr>
                <w:color w:val="000000"/>
                <w:lang w:eastAsia="it-IT"/>
              </w:rPr>
              <w:t> </w:t>
            </w:r>
          </w:p>
        </w:tc>
        <w:tc>
          <w:tcPr>
            <w:tcW w:w="960" w:type="dxa"/>
            <w:tcBorders>
              <w:top w:val="single" w:sz="8" w:space="0" w:color="000000"/>
              <w:left w:val="nil"/>
              <w:bottom w:val="single" w:sz="8" w:space="0" w:color="000000"/>
              <w:right w:val="single" w:sz="8" w:space="0" w:color="000000"/>
            </w:tcBorders>
            <w:shd w:val="clear" w:color="auto" w:fill="auto"/>
            <w:hideMark/>
          </w:tcPr>
          <w:p w:rsidR="00256008" w:rsidRPr="000571F9" w:rsidRDefault="00256008" w:rsidP="00C413A1">
            <w:pPr>
              <w:spacing w:line="240" w:lineRule="auto"/>
              <w:rPr>
                <w:rFonts w:ascii="Century Gothic" w:hAnsi="Century Gothic"/>
                <w:color w:val="000000"/>
                <w:sz w:val="20"/>
                <w:szCs w:val="20"/>
                <w:lang w:eastAsia="it-IT"/>
              </w:rPr>
            </w:pPr>
            <w:r w:rsidRPr="000571F9">
              <w:rPr>
                <w:rFonts w:ascii="Century Gothic" w:hAnsi="Century Gothic"/>
                <w:color w:val="000000"/>
                <w:sz w:val="20"/>
                <w:szCs w:val="20"/>
                <w:lang w:eastAsia="it-IT"/>
              </w:rPr>
              <w:t>POPTOT</w:t>
            </w:r>
          </w:p>
        </w:tc>
        <w:tc>
          <w:tcPr>
            <w:tcW w:w="2920" w:type="dxa"/>
            <w:gridSpan w:val="2"/>
            <w:tcBorders>
              <w:top w:val="single" w:sz="8" w:space="0" w:color="000000"/>
              <w:left w:val="nil"/>
              <w:bottom w:val="single" w:sz="8" w:space="0" w:color="000000"/>
              <w:right w:val="single" w:sz="8" w:space="0" w:color="000000"/>
            </w:tcBorders>
            <w:shd w:val="clear" w:color="auto" w:fill="auto"/>
            <w:hideMark/>
          </w:tcPr>
          <w:p w:rsidR="00256008" w:rsidRPr="000571F9" w:rsidRDefault="00256008" w:rsidP="00C413A1">
            <w:pPr>
              <w:spacing w:line="240" w:lineRule="auto"/>
              <w:rPr>
                <w:rFonts w:ascii="Century Gothic" w:hAnsi="Century Gothic"/>
                <w:color w:val="000000"/>
                <w:sz w:val="20"/>
                <w:szCs w:val="20"/>
                <w:lang w:eastAsia="it-IT"/>
              </w:rPr>
            </w:pPr>
            <w:r w:rsidRPr="000571F9">
              <w:rPr>
                <w:rFonts w:ascii="Century Gothic" w:hAnsi="Century Gothic"/>
                <w:color w:val="000000"/>
                <w:sz w:val="20"/>
                <w:szCs w:val="20"/>
                <w:lang w:eastAsia="it-IT"/>
              </w:rPr>
              <w:t>POPCOPERTA ALMENO 1 ANNO</w:t>
            </w:r>
          </w:p>
        </w:tc>
      </w:tr>
      <w:tr w:rsidR="000571F9" w:rsidRPr="000343EB" w:rsidTr="00B12D3A">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0571F9" w:rsidRPr="000571F9" w:rsidRDefault="000571F9" w:rsidP="00C413A1">
            <w:pPr>
              <w:spacing w:line="240" w:lineRule="auto"/>
              <w:rPr>
                <w:rFonts w:ascii="Century Gothic" w:hAnsi="Century Gothic"/>
                <w:color w:val="000000"/>
                <w:sz w:val="20"/>
                <w:szCs w:val="20"/>
                <w:lang w:eastAsia="it-IT"/>
              </w:rPr>
            </w:pPr>
            <w:r w:rsidRPr="000571F9">
              <w:rPr>
                <w:rFonts w:ascii="Century Gothic" w:hAnsi="Century Gothic"/>
                <w:color w:val="000000"/>
                <w:sz w:val="20"/>
                <w:szCs w:val="20"/>
                <w:lang w:eastAsia="it-IT"/>
              </w:rPr>
              <w:t>AR</w:t>
            </w:r>
          </w:p>
        </w:tc>
        <w:tc>
          <w:tcPr>
            <w:tcW w:w="960"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346.661</w:t>
            </w:r>
          </w:p>
        </w:tc>
        <w:tc>
          <w:tcPr>
            <w:tcW w:w="1781"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346.661</w:t>
            </w:r>
          </w:p>
        </w:tc>
        <w:tc>
          <w:tcPr>
            <w:tcW w:w="1139" w:type="dxa"/>
            <w:tcBorders>
              <w:top w:val="nil"/>
              <w:left w:val="nil"/>
              <w:bottom w:val="single" w:sz="8" w:space="0" w:color="000000"/>
              <w:right w:val="single" w:sz="8" w:space="0" w:color="000000"/>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100,0%</w:t>
            </w:r>
          </w:p>
        </w:tc>
      </w:tr>
      <w:tr w:rsidR="000571F9" w:rsidRPr="000343EB" w:rsidTr="00B12D3A">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0571F9" w:rsidRPr="000571F9" w:rsidRDefault="000571F9" w:rsidP="00C413A1">
            <w:pPr>
              <w:spacing w:line="240" w:lineRule="auto"/>
              <w:rPr>
                <w:rFonts w:ascii="Century Gothic" w:hAnsi="Century Gothic"/>
                <w:color w:val="000000"/>
                <w:sz w:val="20"/>
                <w:szCs w:val="20"/>
                <w:lang w:eastAsia="it-IT"/>
              </w:rPr>
            </w:pPr>
            <w:r w:rsidRPr="000571F9">
              <w:rPr>
                <w:rFonts w:ascii="Century Gothic" w:hAnsi="Century Gothic"/>
                <w:color w:val="000000"/>
                <w:sz w:val="20"/>
                <w:szCs w:val="20"/>
                <w:lang w:eastAsia="it-IT"/>
              </w:rPr>
              <w:t>FI</w:t>
            </w:r>
          </w:p>
        </w:tc>
        <w:tc>
          <w:tcPr>
            <w:tcW w:w="960"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1.007.252</w:t>
            </w:r>
          </w:p>
        </w:tc>
        <w:tc>
          <w:tcPr>
            <w:tcW w:w="1781"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941.258</w:t>
            </w:r>
          </w:p>
        </w:tc>
        <w:tc>
          <w:tcPr>
            <w:tcW w:w="1139" w:type="dxa"/>
            <w:tcBorders>
              <w:top w:val="nil"/>
              <w:left w:val="nil"/>
              <w:bottom w:val="single" w:sz="8" w:space="0" w:color="000000"/>
              <w:right w:val="single" w:sz="8" w:space="0" w:color="000000"/>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93,4%</w:t>
            </w:r>
          </w:p>
        </w:tc>
      </w:tr>
      <w:tr w:rsidR="000571F9" w:rsidRPr="000343EB" w:rsidTr="00B12D3A">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0571F9" w:rsidRPr="000571F9" w:rsidRDefault="000571F9" w:rsidP="00C413A1">
            <w:pPr>
              <w:spacing w:line="240" w:lineRule="auto"/>
              <w:rPr>
                <w:rFonts w:ascii="Century Gothic" w:hAnsi="Century Gothic"/>
                <w:color w:val="000000"/>
                <w:sz w:val="20"/>
                <w:szCs w:val="20"/>
                <w:lang w:eastAsia="it-IT"/>
              </w:rPr>
            </w:pPr>
            <w:r w:rsidRPr="000571F9">
              <w:rPr>
                <w:rFonts w:ascii="Century Gothic" w:hAnsi="Century Gothic"/>
                <w:color w:val="000000"/>
                <w:sz w:val="20"/>
                <w:szCs w:val="20"/>
                <w:lang w:eastAsia="it-IT"/>
              </w:rPr>
              <w:t>GR</w:t>
            </w:r>
          </w:p>
        </w:tc>
        <w:tc>
          <w:tcPr>
            <w:tcW w:w="960"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225.098</w:t>
            </w:r>
          </w:p>
        </w:tc>
        <w:tc>
          <w:tcPr>
            <w:tcW w:w="1781"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217.999</w:t>
            </w:r>
          </w:p>
        </w:tc>
        <w:tc>
          <w:tcPr>
            <w:tcW w:w="1139" w:type="dxa"/>
            <w:tcBorders>
              <w:top w:val="nil"/>
              <w:left w:val="nil"/>
              <w:bottom w:val="single" w:sz="8" w:space="0" w:color="000000"/>
              <w:right w:val="single" w:sz="8" w:space="0" w:color="000000"/>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96,8%</w:t>
            </w:r>
          </w:p>
        </w:tc>
      </w:tr>
      <w:tr w:rsidR="000571F9" w:rsidRPr="000343EB" w:rsidTr="00B12D3A">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0571F9" w:rsidRPr="000571F9" w:rsidRDefault="000571F9" w:rsidP="00C413A1">
            <w:pPr>
              <w:spacing w:line="240" w:lineRule="auto"/>
              <w:rPr>
                <w:rFonts w:ascii="Century Gothic" w:hAnsi="Century Gothic"/>
                <w:color w:val="000000"/>
                <w:sz w:val="20"/>
                <w:szCs w:val="20"/>
                <w:lang w:eastAsia="it-IT"/>
              </w:rPr>
            </w:pPr>
            <w:r w:rsidRPr="000571F9">
              <w:rPr>
                <w:rFonts w:ascii="Century Gothic" w:hAnsi="Century Gothic"/>
                <w:color w:val="000000"/>
                <w:sz w:val="20"/>
                <w:szCs w:val="20"/>
                <w:lang w:eastAsia="it-IT"/>
              </w:rPr>
              <w:t>LI</w:t>
            </w:r>
          </w:p>
        </w:tc>
        <w:tc>
          <w:tcPr>
            <w:tcW w:w="960"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340.471</w:t>
            </w:r>
          </w:p>
        </w:tc>
        <w:tc>
          <w:tcPr>
            <w:tcW w:w="1781"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319.438</w:t>
            </w:r>
          </w:p>
        </w:tc>
        <w:tc>
          <w:tcPr>
            <w:tcW w:w="1139" w:type="dxa"/>
            <w:tcBorders>
              <w:top w:val="nil"/>
              <w:left w:val="nil"/>
              <w:bottom w:val="single" w:sz="8" w:space="0" w:color="000000"/>
              <w:right w:val="single" w:sz="8" w:space="0" w:color="000000"/>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93,8%</w:t>
            </w:r>
          </w:p>
        </w:tc>
      </w:tr>
      <w:tr w:rsidR="000571F9" w:rsidRPr="000343EB" w:rsidTr="00B12D3A">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0571F9" w:rsidRPr="000571F9" w:rsidRDefault="000571F9" w:rsidP="00C413A1">
            <w:pPr>
              <w:spacing w:line="240" w:lineRule="auto"/>
              <w:rPr>
                <w:rFonts w:ascii="Century Gothic" w:hAnsi="Century Gothic"/>
                <w:color w:val="000000"/>
                <w:sz w:val="20"/>
                <w:szCs w:val="20"/>
                <w:lang w:eastAsia="it-IT"/>
              </w:rPr>
            </w:pPr>
            <w:r w:rsidRPr="000571F9">
              <w:rPr>
                <w:rFonts w:ascii="Century Gothic" w:hAnsi="Century Gothic"/>
                <w:color w:val="000000"/>
                <w:sz w:val="20"/>
                <w:szCs w:val="20"/>
                <w:lang w:eastAsia="it-IT"/>
              </w:rPr>
              <w:t>LU</w:t>
            </w:r>
          </w:p>
        </w:tc>
        <w:tc>
          <w:tcPr>
            <w:tcW w:w="960"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394.600</w:t>
            </w:r>
          </w:p>
        </w:tc>
        <w:tc>
          <w:tcPr>
            <w:tcW w:w="1781"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393.614</w:t>
            </w:r>
          </w:p>
        </w:tc>
        <w:tc>
          <w:tcPr>
            <w:tcW w:w="1139" w:type="dxa"/>
            <w:tcBorders>
              <w:top w:val="nil"/>
              <w:left w:val="nil"/>
              <w:bottom w:val="single" w:sz="8" w:space="0" w:color="000000"/>
              <w:right w:val="single" w:sz="8" w:space="0" w:color="000000"/>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99,8%</w:t>
            </w:r>
          </w:p>
        </w:tc>
      </w:tr>
      <w:tr w:rsidR="000571F9" w:rsidRPr="000343EB" w:rsidTr="00B12D3A">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0571F9" w:rsidRPr="000571F9" w:rsidRDefault="000571F9" w:rsidP="00C413A1">
            <w:pPr>
              <w:spacing w:line="240" w:lineRule="auto"/>
              <w:rPr>
                <w:rFonts w:ascii="Century Gothic" w:hAnsi="Century Gothic"/>
                <w:color w:val="000000"/>
                <w:sz w:val="20"/>
                <w:szCs w:val="20"/>
                <w:lang w:eastAsia="it-IT"/>
              </w:rPr>
            </w:pPr>
            <w:r w:rsidRPr="000571F9">
              <w:rPr>
                <w:rFonts w:ascii="Century Gothic" w:hAnsi="Century Gothic"/>
                <w:color w:val="000000"/>
                <w:sz w:val="20"/>
                <w:szCs w:val="20"/>
                <w:lang w:eastAsia="it-IT"/>
              </w:rPr>
              <w:t>MS</w:t>
            </w:r>
          </w:p>
        </w:tc>
        <w:tc>
          <w:tcPr>
            <w:tcW w:w="960"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200.325</w:t>
            </w:r>
          </w:p>
        </w:tc>
        <w:tc>
          <w:tcPr>
            <w:tcW w:w="1781"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199.330</w:t>
            </w:r>
          </w:p>
        </w:tc>
        <w:tc>
          <w:tcPr>
            <w:tcW w:w="1139" w:type="dxa"/>
            <w:tcBorders>
              <w:top w:val="nil"/>
              <w:left w:val="nil"/>
              <w:bottom w:val="single" w:sz="8" w:space="0" w:color="000000"/>
              <w:right w:val="single" w:sz="8" w:space="0" w:color="000000"/>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99,5%</w:t>
            </w:r>
          </w:p>
        </w:tc>
      </w:tr>
      <w:tr w:rsidR="000571F9" w:rsidRPr="000343EB" w:rsidTr="00B12D3A">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0571F9" w:rsidRPr="000571F9" w:rsidRDefault="000571F9" w:rsidP="00C413A1">
            <w:pPr>
              <w:spacing w:line="240" w:lineRule="auto"/>
              <w:rPr>
                <w:rFonts w:ascii="Century Gothic" w:hAnsi="Century Gothic"/>
                <w:color w:val="000000"/>
                <w:sz w:val="20"/>
                <w:szCs w:val="20"/>
                <w:lang w:eastAsia="it-IT"/>
              </w:rPr>
            </w:pPr>
            <w:r w:rsidRPr="000571F9">
              <w:rPr>
                <w:rFonts w:ascii="Century Gothic" w:hAnsi="Century Gothic"/>
                <w:color w:val="000000"/>
                <w:sz w:val="20"/>
                <w:szCs w:val="20"/>
                <w:lang w:eastAsia="it-IT"/>
              </w:rPr>
              <w:t>PI</w:t>
            </w:r>
          </w:p>
        </w:tc>
        <w:tc>
          <w:tcPr>
            <w:tcW w:w="960"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420.254</w:t>
            </w:r>
          </w:p>
        </w:tc>
        <w:tc>
          <w:tcPr>
            <w:tcW w:w="1781"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397.595</w:t>
            </w:r>
          </w:p>
        </w:tc>
        <w:tc>
          <w:tcPr>
            <w:tcW w:w="1139" w:type="dxa"/>
            <w:tcBorders>
              <w:top w:val="nil"/>
              <w:left w:val="nil"/>
              <w:bottom w:val="single" w:sz="8" w:space="0" w:color="000000"/>
              <w:right w:val="single" w:sz="8" w:space="0" w:color="000000"/>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94,6%</w:t>
            </w:r>
          </w:p>
        </w:tc>
      </w:tr>
      <w:tr w:rsidR="000571F9" w:rsidRPr="000343EB" w:rsidTr="00B12D3A">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0571F9" w:rsidRPr="000571F9" w:rsidRDefault="000571F9" w:rsidP="00C413A1">
            <w:pPr>
              <w:spacing w:line="240" w:lineRule="auto"/>
              <w:rPr>
                <w:rFonts w:ascii="Century Gothic" w:hAnsi="Century Gothic"/>
                <w:color w:val="000000"/>
                <w:sz w:val="20"/>
                <w:szCs w:val="20"/>
                <w:lang w:eastAsia="it-IT"/>
              </w:rPr>
            </w:pPr>
            <w:r w:rsidRPr="000571F9">
              <w:rPr>
                <w:rFonts w:ascii="Century Gothic" w:hAnsi="Century Gothic"/>
                <w:color w:val="000000"/>
                <w:sz w:val="20"/>
                <w:szCs w:val="20"/>
                <w:lang w:eastAsia="it-IT"/>
              </w:rPr>
              <w:t>PT</w:t>
            </w:r>
          </w:p>
        </w:tc>
        <w:tc>
          <w:tcPr>
            <w:tcW w:w="960"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291.788</w:t>
            </w:r>
          </w:p>
        </w:tc>
        <w:tc>
          <w:tcPr>
            <w:tcW w:w="1781"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280.317</w:t>
            </w:r>
          </w:p>
        </w:tc>
        <w:tc>
          <w:tcPr>
            <w:tcW w:w="1139" w:type="dxa"/>
            <w:tcBorders>
              <w:top w:val="nil"/>
              <w:left w:val="nil"/>
              <w:bottom w:val="single" w:sz="8" w:space="0" w:color="000000"/>
              <w:right w:val="single" w:sz="8" w:space="0" w:color="000000"/>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96,1%</w:t>
            </w:r>
          </w:p>
        </w:tc>
      </w:tr>
      <w:tr w:rsidR="000571F9" w:rsidRPr="000343EB" w:rsidTr="00B12D3A">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0571F9" w:rsidRPr="000571F9" w:rsidRDefault="000571F9" w:rsidP="00C413A1">
            <w:pPr>
              <w:spacing w:line="240" w:lineRule="auto"/>
              <w:rPr>
                <w:rFonts w:ascii="Century Gothic" w:hAnsi="Century Gothic"/>
                <w:color w:val="000000"/>
                <w:sz w:val="20"/>
                <w:szCs w:val="20"/>
                <w:lang w:eastAsia="it-IT"/>
              </w:rPr>
            </w:pPr>
            <w:r w:rsidRPr="000571F9">
              <w:rPr>
                <w:rFonts w:ascii="Century Gothic" w:hAnsi="Century Gothic"/>
                <w:color w:val="000000"/>
                <w:sz w:val="20"/>
                <w:szCs w:val="20"/>
                <w:lang w:eastAsia="it-IT"/>
              </w:rPr>
              <w:t>PO</w:t>
            </w:r>
          </w:p>
        </w:tc>
        <w:tc>
          <w:tcPr>
            <w:tcW w:w="960"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253.245</w:t>
            </w:r>
          </w:p>
        </w:tc>
        <w:tc>
          <w:tcPr>
            <w:tcW w:w="1781"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253.245</w:t>
            </w:r>
          </w:p>
        </w:tc>
        <w:tc>
          <w:tcPr>
            <w:tcW w:w="1139" w:type="dxa"/>
            <w:tcBorders>
              <w:top w:val="nil"/>
              <w:left w:val="nil"/>
              <w:bottom w:val="single" w:sz="8" w:space="0" w:color="000000"/>
              <w:right w:val="single" w:sz="8" w:space="0" w:color="000000"/>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100,0%</w:t>
            </w:r>
          </w:p>
        </w:tc>
      </w:tr>
      <w:tr w:rsidR="000571F9" w:rsidRPr="000343EB" w:rsidTr="00B12D3A">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0571F9" w:rsidRPr="000571F9" w:rsidRDefault="000571F9" w:rsidP="00C413A1">
            <w:pPr>
              <w:spacing w:line="240" w:lineRule="auto"/>
              <w:rPr>
                <w:rFonts w:ascii="Century Gothic" w:hAnsi="Century Gothic"/>
                <w:color w:val="000000"/>
                <w:sz w:val="20"/>
                <w:szCs w:val="20"/>
                <w:lang w:eastAsia="it-IT"/>
              </w:rPr>
            </w:pPr>
            <w:r w:rsidRPr="000571F9">
              <w:rPr>
                <w:rFonts w:ascii="Century Gothic" w:hAnsi="Century Gothic"/>
                <w:color w:val="000000"/>
                <w:sz w:val="20"/>
                <w:szCs w:val="20"/>
                <w:lang w:eastAsia="it-IT"/>
              </w:rPr>
              <w:t>SI</w:t>
            </w:r>
          </w:p>
        </w:tc>
        <w:tc>
          <w:tcPr>
            <w:tcW w:w="960"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270.817</w:t>
            </w:r>
          </w:p>
        </w:tc>
        <w:tc>
          <w:tcPr>
            <w:tcW w:w="1781"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262.568</w:t>
            </w:r>
          </w:p>
        </w:tc>
        <w:tc>
          <w:tcPr>
            <w:tcW w:w="1139" w:type="dxa"/>
            <w:tcBorders>
              <w:top w:val="nil"/>
              <w:left w:val="nil"/>
              <w:bottom w:val="single" w:sz="8" w:space="0" w:color="000000"/>
              <w:right w:val="single" w:sz="8" w:space="0" w:color="000000"/>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97,0%</w:t>
            </w:r>
          </w:p>
        </w:tc>
      </w:tr>
      <w:tr w:rsidR="000571F9" w:rsidRPr="000343EB" w:rsidTr="00B12D3A">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0571F9" w:rsidRPr="000571F9" w:rsidRDefault="000571F9" w:rsidP="00C413A1">
            <w:pPr>
              <w:spacing w:line="240" w:lineRule="auto"/>
              <w:rPr>
                <w:rFonts w:ascii="Century Gothic" w:hAnsi="Century Gothic"/>
                <w:color w:val="000000"/>
                <w:sz w:val="20"/>
                <w:szCs w:val="20"/>
                <w:lang w:eastAsia="it-IT"/>
              </w:rPr>
            </w:pPr>
            <w:r w:rsidRPr="000571F9">
              <w:rPr>
                <w:rFonts w:ascii="Century Gothic" w:hAnsi="Century Gothic"/>
                <w:color w:val="000000"/>
                <w:sz w:val="20"/>
                <w:szCs w:val="20"/>
                <w:lang w:eastAsia="it-IT"/>
              </w:rPr>
              <w:t>TOSC</w:t>
            </w:r>
          </w:p>
        </w:tc>
        <w:tc>
          <w:tcPr>
            <w:tcW w:w="960"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3.750.511</w:t>
            </w:r>
          </w:p>
        </w:tc>
        <w:tc>
          <w:tcPr>
            <w:tcW w:w="1781" w:type="dxa"/>
            <w:tcBorders>
              <w:top w:val="nil"/>
              <w:left w:val="nil"/>
              <w:bottom w:val="single" w:sz="8" w:space="0" w:color="auto"/>
              <w:right w:val="single" w:sz="8" w:space="0" w:color="auto"/>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3.612.025</w:t>
            </w:r>
          </w:p>
        </w:tc>
        <w:tc>
          <w:tcPr>
            <w:tcW w:w="1139" w:type="dxa"/>
            <w:tcBorders>
              <w:top w:val="nil"/>
              <w:left w:val="nil"/>
              <w:bottom w:val="single" w:sz="8" w:space="0" w:color="000000"/>
              <w:right w:val="single" w:sz="8" w:space="0" w:color="000000"/>
            </w:tcBorders>
            <w:shd w:val="clear" w:color="auto" w:fill="auto"/>
            <w:noWrap/>
            <w:vAlign w:val="bottom"/>
            <w:hideMark/>
          </w:tcPr>
          <w:p w:rsidR="000571F9" w:rsidRDefault="000571F9">
            <w:pPr>
              <w:jc w:val="right"/>
              <w:rPr>
                <w:rFonts w:ascii="Century Gothic" w:hAnsi="Century Gothic"/>
                <w:color w:val="000000"/>
                <w:sz w:val="20"/>
                <w:szCs w:val="20"/>
              </w:rPr>
            </w:pPr>
            <w:r>
              <w:rPr>
                <w:rFonts w:ascii="Century Gothic" w:hAnsi="Century Gothic"/>
                <w:color w:val="000000"/>
                <w:sz w:val="20"/>
                <w:szCs w:val="20"/>
              </w:rPr>
              <w:t>96,3%</w:t>
            </w:r>
          </w:p>
        </w:tc>
      </w:tr>
    </w:tbl>
    <w:p w:rsidR="00256008" w:rsidRDefault="00256008" w:rsidP="00256008">
      <w:pPr>
        <w:jc w:val="both"/>
        <w:rPr>
          <w:rFonts w:ascii="Century Gothic" w:hAnsi="Century Gothic"/>
          <w:highlight w:val="yellow"/>
        </w:rPr>
      </w:pPr>
    </w:p>
    <w:p w:rsidR="00256008" w:rsidRDefault="00256008" w:rsidP="00256008">
      <w:pPr>
        <w:jc w:val="both"/>
        <w:rPr>
          <w:rFonts w:ascii="Century Gothic" w:hAnsi="Century Gothic"/>
        </w:rPr>
      </w:pPr>
    </w:p>
    <w:p w:rsidR="00256008" w:rsidRDefault="00256008" w:rsidP="00256008">
      <w:pPr>
        <w:jc w:val="both"/>
        <w:rPr>
          <w:rFonts w:ascii="Century Gothic" w:hAnsi="Century Gothic"/>
          <w:b/>
        </w:rPr>
      </w:pPr>
      <w:r>
        <w:rPr>
          <w:rFonts w:ascii="Century Gothic" w:hAnsi="Century Gothic"/>
          <w:b/>
        </w:rPr>
        <w:t>3</w:t>
      </w:r>
      <w:r w:rsidRPr="0035601B">
        <w:rPr>
          <w:rFonts w:ascii="Century Gothic" w:hAnsi="Century Gothic"/>
          <w:b/>
        </w:rPr>
        <w:t>.</w:t>
      </w:r>
      <w:r>
        <w:rPr>
          <w:rFonts w:ascii="Century Gothic" w:hAnsi="Century Gothic"/>
          <w:b/>
        </w:rPr>
        <w:t>4.</w:t>
      </w:r>
      <w:r w:rsidRPr="0035601B">
        <w:rPr>
          <w:rFonts w:ascii="Century Gothic" w:hAnsi="Century Gothic"/>
          <w:b/>
        </w:rPr>
        <w:t xml:space="preserve"> Percentuali di comuni coperti da accordi  per classi di ampiezza demografica</w:t>
      </w:r>
    </w:p>
    <w:p w:rsidR="00256008" w:rsidRPr="00FC34CA" w:rsidRDefault="00B12D3A" w:rsidP="00256008">
      <w:pPr>
        <w:jc w:val="both"/>
        <w:rPr>
          <w:rFonts w:ascii="Century Gothic" w:hAnsi="Century Gothic"/>
        </w:rPr>
      </w:pPr>
      <w:r>
        <w:rPr>
          <w:rFonts w:ascii="Century Gothic" w:hAnsi="Century Gothic"/>
        </w:rPr>
        <w:t>S</w:t>
      </w:r>
      <w:r w:rsidR="00256008" w:rsidRPr="00FC34CA">
        <w:rPr>
          <w:rFonts w:ascii="Century Gothic" w:hAnsi="Century Gothic"/>
        </w:rPr>
        <w:t xml:space="preserve">i può vedere dal grafico </w:t>
      </w:r>
      <w:r w:rsidR="00256008">
        <w:rPr>
          <w:rFonts w:ascii="Century Gothic" w:hAnsi="Century Gothic"/>
        </w:rPr>
        <w:t>n. 4</w:t>
      </w:r>
      <w:r w:rsidR="00256008" w:rsidRPr="00FC34CA">
        <w:rPr>
          <w:rFonts w:ascii="Century Gothic" w:hAnsi="Century Gothic"/>
        </w:rPr>
        <w:t xml:space="preserve">, </w:t>
      </w:r>
      <w:r>
        <w:rPr>
          <w:rFonts w:ascii="Century Gothic" w:hAnsi="Century Gothic"/>
        </w:rPr>
        <w:t>che la crescita</w:t>
      </w:r>
      <w:r w:rsidR="00256008" w:rsidRPr="00FC34CA">
        <w:rPr>
          <w:rFonts w:ascii="Century Gothic" w:hAnsi="Century Gothic"/>
        </w:rPr>
        <w:t xml:space="preserve"> della contrattazione sociale </w:t>
      </w:r>
      <w:r>
        <w:rPr>
          <w:rFonts w:ascii="Century Gothic" w:hAnsi="Century Gothic"/>
        </w:rPr>
        <w:t xml:space="preserve">verificatasi nel 2014 </w:t>
      </w:r>
      <w:r w:rsidR="00256008" w:rsidRPr="00FC34CA">
        <w:rPr>
          <w:rFonts w:ascii="Century Gothic" w:hAnsi="Century Gothic"/>
        </w:rPr>
        <w:t xml:space="preserve">riguarda tutte le classi di ampiezza dei comuni. </w:t>
      </w:r>
      <w:r w:rsidR="005717AC">
        <w:rPr>
          <w:rFonts w:ascii="Century Gothic" w:hAnsi="Century Gothic"/>
        </w:rPr>
        <w:t>Come rilevato nel precedente rapporto, l</w:t>
      </w:r>
      <w:r w:rsidR="00256008" w:rsidRPr="00FC34CA">
        <w:rPr>
          <w:rFonts w:ascii="Century Gothic" w:hAnsi="Century Gothic"/>
        </w:rPr>
        <w:t>e tipologie dei comuni medio-piccoli e medi sono quelle dove si registra una maggiore continuità di questa attività</w:t>
      </w:r>
      <w:r w:rsidR="00ED5F00">
        <w:rPr>
          <w:rFonts w:ascii="Century Gothic" w:hAnsi="Century Gothic"/>
        </w:rPr>
        <w:t xml:space="preserve"> nel periodo considerato</w:t>
      </w:r>
      <w:r w:rsidR="00256008" w:rsidRPr="00FC34CA">
        <w:rPr>
          <w:rFonts w:ascii="Century Gothic" w:hAnsi="Century Gothic"/>
        </w:rPr>
        <w:t xml:space="preserve">; </w:t>
      </w:r>
      <w:r w:rsidR="00ED5F00">
        <w:rPr>
          <w:rFonts w:ascii="Century Gothic" w:hAnsi="Century Gothic"/>
        </w:rPr>
        <w:t xml:space="preserve">in particolare </w:t>
      </w:r>
      <w:r w:rsidR="00CD5EE5">
        <w:rPr>
          <w:rFonts w:ascii="Century Gothic" w:hAnsi="Century Gothic"/>
        </w:rPr>
        <w:t xml:space="preserve">rispettivamente </w:t>
      </w:r>
      <w:r w:rsidR="00ED5F00">
        <w:rPr>
          <w:rFonts w:ascii="Century Gothic" w:hAnsi="Century Gothic"/>
        </w:rPr>
        <w:t>il 40 e il 4</w:t>
      </w:r>
      <w:r w:rsidR="00CD5EE5">
        <w:rPr>
          <w:rFonts w:ascii="Century Gothic" w:hAnsi="Century Gothic"/>
        </w:rPr>
        <w:t>8</w:t>
      </w:r>
      <w:r w:rsidR="00ED5F00">
        <w:rPr>
          <w:rFonts w:ascii="Century Gothic" w:hAnsi="Century Gothic"/>
        </w:rPr>
        <w:t>%</w:t>
      </w:r>
      <w:r w:rsidR="00CD5EE5">
        <w:rPr>
          <w:rFonts w:ascii="Century Gothic" w:hAnsi="Century Gothic"/>
        </w:rPr>
        <w:t xml:space="preserve"> </w:t>
      </w:r>
      <w:r w:rsidR="00256008" w:rsidRPr="00FC34CA">
        <w:rPr>
          <w:rFonts w:ascii="Century Gothic" w:hAnsi="Century Gothic"/>
        </w:rPr>
        <w:t xml:space="preserve">di essi ha </w:t>
      </w:r>
      <w:r w:rsidR="00ED5F00">
        <w:rPr>
          <w:rFonts w:ascii="Century Gothic" w:hAnsi="Century Gothic"/>
        </w:rPr>
        <w:t xml:space="preserve">siglati </w:t>
      </w:r>
      <w:r w:rsidR="00256008" w:rsidRPr="00FC34CA">
        <w:rPr>
          <w:rFonts w:ascii="Century Gothic" w:hAnsi="Century Gothic"/>
        </w:rPr>
        <w:t xml:space="preserve">accordi di contrattazione sociale siglati nell’ultimo anno. </w:t>
      </w:r>
    </w:p>
    <w:p w:rsidR="00256008" w:rsidRDefault="00256008" w:rsidP="00256008">
      <w:pPr>
        <w:rPr>
          <w:rFonts w:ascii="Century Gothic" w:hAnsi="Century Gothic"/>
        </w:rPr>
      </w:pPr>
    </w:p>
    <w:p w:rsidR="00256008" w:rsidRDefault="00256008" w:rsidP="00256008">
      <w:pPr>
        <w:rPr>
          <w:rFonts w:ascii="Century Gothic" w:hAnsi="Century Gothic"/>
          <w:b/>
        </w:rPr>
      </w:pPr>
      <w:r>
        <w:rPr>
          <w:rFonts w:ascii="Century Gothic" w:hAnsi="Century Gothic"/>
          <w:b/>
        </w:rPr>
        <w:t>Graf</w:t>
      </w:r>
      <w:r w:rsidRPr="0035601B">
        <w:rPr>
          <w:rFonts w:ascii="Century Gothic" w:hAnsi="Century Gothic"/>
          <w:b/>
        </w:rPr>
        <w:t xml:space="preserve">. n. </w:t>
      </w:r>
      <w:r>
        <w:rPr>
          <w:rFonts w:ascii="Century Gothic" w:hAnsi="Century Gothic"/>
          <w:b/>
        </w:rPr>
        <w:t xml:space="preserve">4 </w:t>
      </w:r>
      <w:r w:rsidRPr="0035601B">
        <w:rPr>
          <w:rFonts w:ascii="Century Gothic" w:hAnsi="Century Gothic"/>
          <w:b/>
        </w:rPr>
        <w:t>- Percentuali di comuni coperti da accordi  per classi di ampiezza demografica</w:t>
      </w:r>
      <w:r>
        <w:rPr>
          <w:rFonts w:ascii="Century Gothic" w:hAnsi="Century Gothic"/>
          <w:b/>
        </w:rPr>
        <w:t xml:space="preserve"> 2009-201</w:t>
      </w:r>
      <w:r w:rsidR="00405531">
        <w:rPr>
          <w:rFonts w:ascii="Century Gothic" w:hAnsi="Century Gothic"/>
          <w:b/>
        </w:rPr>
        <w:t>5</w:t>
      </w:r>
    </w:p>
    <w:p w:rsidR="00665C03" w:rsidRDefault="00665C03" w:rsidP="00256008">
      <w:pPr>
        <w:rPr>
          <w:rFonts w:ascii="Century Gothic" w:hAnsi="Century Gothic"/>
          <w:b/>
        </w:rPr>
      </w:pPr>
    </w:p>
    <w:p w:rsidR="000571F9" w:rsidRDefault="006E1D9B" w:rsidP="00256008">
      <w:pPr>
        <w:rPr>
          <w:rFonts w:ascii="Century Gothic" w:hAnsi="Century Gothic"/>
          <w:b/>
        </w:rPr>
      </w:pPr>
      <w:r w:rsidRPr="006E1D9B">
        <w:rPr>
          <w:rFonts w:ascii="Century Gothic" w:hAnsi="Century Gothic"/>
          <w:b/>
          <w:noProof/>
          <w:lang w:eastAsia="it-IT"/>
        </w:rPr>
        <w:drawing>
          <wp:inline distT="0" distB="0" distL="0" distR="0">
            <wp:extent cx="5887480" cy="2545492"/>
            <wp:effectExtent l="19050" t="0" r="18020" b="7208"/>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6008" w:rsidRPr="0035601B" w:rsidRDefault="00256008" w:rsidP="00256008">
      <w:pPr>
        <w:rPr>
          <w:rFonts w:ascii="Century Gothic" w:hAnsi="Century Gothic"/>
          <w:b/>
        </w:rPr>
      </w:pPr>
    </w:p>
    <w:p w:rsidR="00256008" w:rsidRDefault="00256008" w:rsidP="00256008">
      <w:pPr>
        <w:rPr>
          <w:rFonts w:ascii="Century Gothic" w:hAnsi="Century Gothic"/>
        </w:rPr>
      </w:pPr>
    </w:p>
    <w:p w:rsidR="00256008" w:rsidRPr="0035601B" w:rsidRDefault="00256008" w:rsidP="00256008">
      <w:pPr>
        <w:rPr>
          <w:rFonts w:ascii="Century Gothic" w:hAnsi="Century Gothic"/>
        </w:rPr>
      </w:pPr>
      <w:r w:rsidRPr="0035601B">
        <w:rPr>
          <w:rFonts w:ascii="Century Gothic" w:hAnsi="Century Gothic"/>
        </w:rPr>
        <w:t>Nota: le classi di ampiezza demografica sono le seguenti</w:t>
      </w:r>
    </w:p>
    <w:tbl>
      <w:tblPr>
        <w:tblW w:w="4316" w:type="dxa"/>
        <w:tblInd w:w="70"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CellMar>
          <w:left w:w="70" w:type="dxa"/>
          <w:right w:w="70" w:type="dxa"/>
        </w:tblCellMar>
        <w:tblLook w:val="00A0" w:firstRow="1" w:lastRow="0" w:firstColumn="1" w:lastColumn="0" w:noHBand="0" w:noVBand="0"/>
      </w:tblPr>
      <w:tblGrid>
        <w:gridCol w:w="4316"/>
      </w:tblGrid>
      <w:tr w:rsidR="00256008" w:rsidRPr="0035601B" w:rsidTr="00C413A1">
        <w:trPr>
          <w:trHeight w:val="255"/>
        </w:trPr>
        <w:tc>
          <w:tcPr>
            <w:tcW w:w="4316" w:type="dxa"/>
            <w:noWrap/>
            <w:vAlign w:val="bottom"/>
          </w:tcPr>
          <w:p w:rsidR="00256008" w:rsidRPr="0035601B" w:rsidRDefault="00256008" w:rsidP="00C413A1">
            <w:pPr>
              <w:pStyle w:val="Paragrafoelenco1"/>
              <w:numPr>
                <w:ilvl w:val="0"/>
                <w:numId w:val="1"/>
              </w:numPr>
              <w:spacing w:line="240" w:lineRule="auto"/>
              <w:rPr>
                <w:rFonts w:ascii="Century Gothic" w:hAnsi="Century Gothic" w:cs="Arial"/>
                <w:sz w:val="20"/>
                <w:szCs w:val="20"/>
                <w:lang w:eastAsia="it-IT"/>
              </w:rPr>
            </w:pPr>
            <w:r w:rsidRPr="0035601B">
              <w:rPr>
                <w:rFonts w:ascii="Century Gothic" w:hAnsi="Century Gothic" w:cs="Arial"/>
                <w:sz w:val="20"/>
                <w:szCs w:val="20"/>
                <w:lang w:eastAsia="it-IT"/>
              </w:rPr>
              <w:t xml:space="preserve">Classe 1 - da </w:t>
            </w:r>
            <w:smartTag w:uri="urn:schemas-microsoft-com:office:smarttags" w:element="metricconverter">
              <w:smartTagPr>
                <w:attr w:name="ProductID" w:val="1 a"/>
              </w:smartTagPr>
              <w:r w:rsidRPr="0035601B">
                <w:rPr>
                  <w:rFonts w:ascii="Century Gothic" w:hAnsi="Century Gothic" w:cs="Arial"/>
                  <w:sz w:val="20"/>
                  <w:szCs w:val="20"/>
                  <w:lang w:eastAsia="it-IT"/>
                </w:rPr>
                <w:t>1 a</w:t>
              </w:r>
            </w:smartTag>
            <w:r w:rsidRPr="0035601B">
              <w:rPr>
                <w:rFonts w:ascii="Century Gothic" w:hAnsi="Century Gothic" w:cs="Arial"/>
                <w:sz w:val="20"/>
                <w:szCs w:val="20"/>
                <w:lang w:eastAsia="it-IT"/>
              </w:rPr>
              <w:t xml:space="preserve"> 1.000</w:t>
            </w:r>
          </w:p>
        </w:tc>
      </w:tr>
      <w:tr w:rsidR="00256008" w:rsidRPr="0035601B" w:rsidTr="00C413A1">
        <w:trPr>
          <w:trHeight w:val="255"/>
        </w:trPr>
        <w:tc>
          <w:tcPr>
            <w:tcW w:w="4316" w:type="dxa"/>
            <w:noWrap/>
            <w:vAlign w:val="bottom"/>
          </w:tcPr>
          <w:p w:rsidR="00256008" w:rsidRPr="0035601B" w:rsidRDefault="00256008" w:rsidP="00C413A1">
            <w:pPr>
              <w:pStyle w:val="Paragrafoelenco1"/>
              <w:numPr>
                <w:ilvl w:val="0"/>
                <w:numId w:val="1"/>
              </w:numPr>
              <w:spacing w:line="240" w:lineRule="auto"/>
              <w:rPr>
                <w:rFonts w:ascii="Century Gothic" w:hAnsi="Century Gothic" w:cs="Arial"/>
                <w:sz w:val="20"/>
                <w:szCs w:val="20"/>
                <w:lang w:eastAsia="it-IT"/>
              </w:rPr>
            </w:pPr>
            <w:r w:rsidRPr="0035601B">
              <w:rPr>
                <w:rFonts w:ascii="Century Gothic" w:hAnsi="Century Gothic" w:cs="Arial"/>
                <w:sz w:val="20"/>
                <w:szCs w:val="20"/>
                <w:lang w:eastAsia="it-IT"/>
              </w:rPr>
              <w:t xml:space="preserve">Classe 2 - da </w:t>
            </w:r>
            <w:smartTag w:uri="urn:schemas-microsoft-com:office:smarttags" w:element="metricconverter">
              <w:smartTagPr>
                <w:attr w:name="ProductID" w:val="1.001 a"/>
              </w:smartTagPr>
              <w:r w:rsidRPr="0035601B">
                <w:rPr>
                  <w:rFonts w:ascii="Century Gothic" w:hAnsi="Century Gothic" w:cs="Arial"/>
                  <w:sz w:val="20"/>
                  <w:szCs w:val="20"/>
                  <w:lang w:eastAsia="it-IT"/>
                </w:rPr>
                <w:t>1.001 a</w:t>
              </w:r>
            </w:smartTag>
            <w:r w:rsidRPr="0035601B">
              <w:rPr>
                <w:rFonts w:ascii="Century Gothic" w:hAnsi="Century Gothic" w:cs="Arial"/>
                <w:sz w:val="20"/>
                <w:szCs w:val="20"/>
                <w:lang w:eastAsia="it-IT"/>
              </w:rPr>
              <w:t xml:space="preserve"> 5.000</w:t>
            </w:r>
          </w:p>
        </w:tc>
      </w:tr>
      <w:tr w:rsidR="00256008" w:rsidRPr="0035601B" w:rsidTr="00C413A1">
        <w:trPr>
          <w:trHeight w:val="255"/>
        </w:trPr>
        <w:tc>
          <w:tcPr>
            <w:tcW w:w="4316" w:type="dxa"/>
            <w:noWrap/>
            <w:vAlign w:val="bottom"/>
          </w:tcPr>
          <w:p w:rsidR="00256008" w:rsidRPr="0035601B" w:rsidRDefault="00256008" w:rsidP="00C413A1">
            <w:pPr>
              <w:pStyle w:val="Paragrafoelenco1"/>
              <w:numPr>
                <w:ilvl w:val="0"/>
                <w:numId w:val="1"/>
              </w:numPr>
              <w:spacing w:line="240" w:lineRule="auto"/>
              <w:rPr>
                <w:rFonts w:ascii="Century Gothic" w:hAnsi="Century Gothic" w:cs="Arial"/>
                <w:sz w:val="20"/>
                <w:szCs w:val="20"/>
                <w:lang w:eastAsia="it-IT"/>
              </w:rPr>
            </w:pPr>
            <w:r w:rsidRPr="0035601B">
              <w:rPr>
                <w:rFonts w:ascii="Century Gothic" w:hAnsi="Century Gothic" w:cs="Arial"/>
                <w:sz w:val="20"/>
                <w:szCs w:val="20"/>
                <w:lang w:eastAsia="it-IT"/>
              </w:rPr>
              <w:t xml:space="preserve">Classe 3 - da </w:t>
            </w:r>
            <w:smartTag w:uri="urn:schemas-microsoft-com:office:smarttags" w:element="metricconverter">
              <w:smartTagPr>
                <w:attr w:name="ProductID" w:val="5.001 a"/>
              </w:smartTagPr>
              <w:r w:rsidRPr="0035601B">
                <w:rPr>
                  <w:rFonts w:ascii="Century Gothic" w:hAnsi="Century Gothic" w:cs="Arial"/>
                  <w:sz w:val="20"/>
                  <w:szCs w:val="20"/>
                  <w:lang w:eastAsia="it-IT"/>
                </w:rPr>
                <w:t>5.001 a</w:t>
              </w:r>
            </w:smartTag>
            <w:r w:rsidRPr="0035601B">
              <w:rPr>
                <w:rFonts w:ascii="Century Gothic" w:hAnsi="Century Gothic" w:cs="Arial"/>
                <w:sz w:val="20"/>
                <w:szCs w:val="20"/>
                <w:lang w:eastAsia="it-IT"/>
              </w:rPr>
              <w:t xml:space="preserve"> 15.000</w:t>
            </w:r>
          </w:p>
        </w:tc>
      </w:tr>
      <w:tr w:rsidR="00256008" w:rsidRPr="0035601B" w:rsidTr="00C413A1">
        <w:trPr>
          <w:trHeight w:val="255"/>
        </w:trPr>
        <w:tc>
          <w:tcPr>
            <w:tcW w:w="4316" w:type="dxa"/>
            <w:noWrap/>
            <w:vAlign w:val="bottom"/>
          </w:tcPr>
          <w:p w:rsidR="00256008" w:rsidRPr="0035601B" w:rsidRDefault="00256008" w:rsidP="00C413A1">
            <w:pPr>
              <w:pStyle w:val="Paragrafoelenco1"/>
              <w:numPr>
                <w:ilvl w:val="0"/>
                <w:numId w:val="1"/>
              </w:numPr>
              <w:spacing w:line="240" w:lineRule="auto"/>
              <w:rPr>
                <w:rFonts w:ascii="Century Gothic" w:hAnsi="Century Gothic" w:cs="Arial"/>
                <w:sz w:val="20"/>
                <w:szCs w:val="20"/>
                <w:lang w:eastAsia="it-IT"/>
              </w:rPr>
            </w:pPr>
            <w:r w:rsidRPr="0035601B">
              <w:rPr>
                <w:rFonts w:ascii="Century Gothic" w:hAnsi="Century Gothic" w:cs="Arial"/>
                <w:sz w:val="20"/>
                <w:szCs w:val="20"/>
                <w:lang w:eastAsia="it-IT"/>
              </w:rPr>
              <w:t xml:space="preserve">Classe 4 - da </w:t>
            </w:r>
            <w:smartTag w:uri="urn:schemas-microsoft-com:office:smarttags" w:element="metricconverter">
              <w:smartTagPr>
                <w:attr w:name="ProductID" w:val="15.001 a"/>
              </w:smartTagPr>
              <w:r w:rsidRPr="0035601B">
                <w:rPr>
                  <w:rFonts w:ascii="Century Gothic" w:hAnsi="Century Gothic" w:cs="Arial"/>
                  <w:sz w:val="20"/>
                  <w:szCs w:val="20"/>
                  <w:lang w:eastAsia="it-IT"/>
                </w:rPr>
                <w:t>15.001 a</w:t>
              </w:r>
            </w:smartTag>
            <w:r w:rsidRPr="0035601B">
              <w:rPr>
                <w:rFonts w:ascii="Century Gothic" w:hAnsi="Century Gothic" w:cs="Arial"/>
                <w:sz w:val="20"/>
                <w:szCs w:val="20"/>
                <w:lang w:eastAsia="it-IT"/>
              </w:rPr>
              <w:t xml:space="preserve"> 50.000</w:t>
            </w:r>
          </w:p>
        </w:tc>
      </w:tr>
      <w:tr w:rsidR="00256008" w:rsidRPr="0035601B" w:rsidTr="00C413A1">
        <w:trPr>
          <w:trHeight w:val="255"/>
        </w:trPr>
        <w:tc>
          <w:tcPr>
            <w:tcW w:w="4316" w:type="dxa"/>
            <w:noWrap/>
            <w:vAlign w:val="bottom"/>
          </w:tcPr>
          <w:p w:rsidR="00256008" w:rsidRPr="0035601B" w:rsidRDefault="00256008" w:rsidP="00C413A1">
            <w:pPr>
              <w:pStyle w:val="Paragrafoelenco1"/>
              <w:numPr>
                <w:ilvl w:val="0"/>
                <w:numId w:val="1"/>
              </w:numPr>
              <w:spacing w:line="240" w:lineRule="auto"/>
              <w:rPr>
                <w:rFonts w:ascii="Century Gothic" w:hAnsi="Century Gothic" w:cs="Arial"/>
                <w:sz w:val="20"/>
                <w:szCs w:val="20"/>
                <w:lang w:eastAsia="it-IT"/>
              </w:rPr>
            </w:pPr>
            <w:r w:rsidRPr="0035601B">
              <w:rPr>
                <w:rFonts w:ascii="Century Gothic" w:hAnsi="Century Gothic" w:cs="Arial"/>
                <w:sz w:val="20"/>
                <w:szCs w:val="20"/>
                <w:lang w:eastAsia="it-IT"/>
              </w:rPr>
              <w:t>Classe 5 - oltre 50.000</w:t>
            </w:r>
          </w:p>
        </w:tc>
      </w:tr>
    </w:tbl>
    <w:p w:rsidR="00256008" w:rsidRDefault="00256008" w:rsidP="00256008">
      <w:pPr>
        <w:jc w:val="both"/>
        <w:rPr>
          <w:rFonts w:ascii="Century Gothic" w:hAnsi="Century Gothic"/>
          <w:highlight w:val="yellow"/>
        </w:rPr>
      </w:pPr>
    </w:p>
    <w:p w:rsidR="00256008" w:rsidRDefault="00256008" w:rsidP="00256008">
      <w:pPr>
        <w:rPr>
          <w:rFonts w:ascii="Century Gothic" w:hAnsi="Century Gothic"/>
          <w:b/>
        </w:rPr>
      </w:pPr>
      <w:r>
        <w:rPr>
          <w:rFonts w:ascii="Century Gothic" w:hAnsi="Century Gothic"/>
          <w:b/>
        </w:rPr>
        <w:t>Tab</w:t>
      </w:r>
      <w:r w:rsidRPr="0035601B">
        <w:rPr>
          <w:rFonts w:ascii="Century Gothic" w:hAnsi="Century Gothic"/>
          <w:b/>
        </w:rPr>
        <w:t xml:space="preserve">. n. </w:t>
      </w:r>
      <w:r>
        <w:rPr>
          <w:rFonts w:ascii="Century Gothic" w:hAnsi="Century Gothic"/>
          <w:b/>
        </w:rPr>
        <w:t xml:space="preserve">7 </w:t>
      </w:r>
      <w:r w:rsidRPr="0035601B">
        <w:rPr>
          <w:rFonts w:ascii="Century Gothic" w:hAnsi="Century Gothic"/>
          <w:b/>
        </w:rPr>
        <w:t>- Percentuali di comuni coperti da accordi  per classi di ampiezza demografica</w:t>
      </w:r>
      <w:r>
        <w:rPr>
          <w:rFonts w:ascii="Century Gothic" w:hAnsi="Century Gothic"/>
          <w:b/>
        </w:rPr>
        <w:t xml:space="preserve"> 2009-201</w:t>
      </w:r>
      <w:r w:rsidR="00B12D3A">
        <w:rPr>
          <w:rFonts w:ascii="Century Gothic" w:hAnsi="Century Gothic"/>
          <w:b/>
        </w:rPr>
        <w:t>5</w:t>
      </w:r>
    </w:p>
    <w:p w:rsidR="00432677" w:rsidRDefault="00432677" w:rsidP="00256008">
      <w:pPr>
        <w:rPr>
          <w:rFonts w:ascii="Century Gothic" w:hAnsi="Century Gothic"/>
          <w:b/>
        </w:rPr>
      </w:pPr>
    </w:p>
    <w:tbl>
      <w:tblPr>
        <w:tblW w:w="9740" w:type="dxa"/>
        <w:tblInd w:w="70" w:type="dxa"/>
        <w:tblCellMar>
          <w:left w:w="70" w:type="dxa"/>
          <w:right w:w="70" w:type="dxa"/>
        </w:tblCellMar>
        <w:tblLook w:val="04A0" w:firstRow="1" w:lastRow="0" w:firstColumn="1" w:lastColumn="0" w:noHBand="0" w:noVBand="1"/>
      </w:tblPr>
      <w:tblGrid>
        <w:gridCol w:w="1976"/>
        <w:gridCol w:w="976"/>
        <w:gridCol w:w="976"/>
        <w:gridCol w:w="976"/>
        <w:gridCol w:w="1017"/>
        <w:gridCol w:w="925"/>
        <w:gridCol w:w="976"/>
        <w:gridCol w:w="976"/>
        <w:gridCol w:w="942"/>
      </w:tblGrid>
      <w:tr w:rsidR="00432677" w:rsidRPr="00432677" w:rsidTr="00432677">
        <w:trPr>
          <w:trHeight w:val="615"/>
        </w:trPr>
        <w:tc>
          <w:tcPr>
            <w:tcW w:w="1976" w:type="dxa"/>
            <w:tcBorders>
              <w:top w:val="nil"/>
              <w:left w:val="nil"/>
              <w:bottom w:val="nil"/>
              <w:right w:val="nil"/>
            </w:tcBorders>
            <w:shd w:val="clear" w:color="000000" w:fill="2E75B6"/>
            <w:noWrap/>
            <w:vAlign w:val="bottom"/>
            <w:hideMark/>
          </w:tcPr>
          <w:p w:rsidR="00432677" w:rsidRPr="00432677" w:rsidRDefault="00432677" w:rsidP="00432677">
            <w:pPr>
              <w:spacing w:line="240" w:lineRule="auto"/>
              <w:rPr>
                <w:color w:val="000000"/>
                <w:lang w:eastAsia="it-IT"/>
              </w:rPr>
            </w:pPr>
            <w:r w:rsidRPr="00432677">
              <w:rPr>
                <w:color w:val="000000"/>
                <w:lang w:eastAsia="it-IT"/>
              </w:rPr>
              <w:t> </w:t>
            </w:r>
          </w:p>
        </w:tc>
        <w:tc>
          <w:tcPr>
            <w:tcW w:w="976" w:type="dxa"/>
            <w:tcBorders>
              <w:top w:val="single" w:sz="8" w:space="0" w:color="4F81BD"/>
              <w:left w:val="nil"/>
              <w:bottom w:val="nil"/>
              <w:right w:val="nil"/>
            </w:tcBorders>
            <w:shd w:val="clear" w:color="000000" w:fill="2E75B6"/>
            <w:noWrap/>
            <w:vAlign w:val="center"/>
            <w:hideMark/>
          </w:tcPr>
          <w:p w:rsidR="00432677" w:rsidRPr="00432677" w:rsidRDefault="00432677" w:rsidP="00432677">
            <w:pPr>
              <w:spacing w:line="240" w:lineRule="auto"/>
              <w:jc w:val="right"/>
              <w:rPr>
                <w:rFonts w:ascii="Century Gothic" w:hAnsi="Century Gothic"/>
                <w:b/>
                <w:bCs/>
                <w:color w:val="000000"/>
                <w:lang w:eastAsia="it-IT"/>
              </w:rPr>
            </w:pPr>
            <w:r w:rsidRPr="00432677">
              <w:rPr>
                <w:rFonts w:ascii="Century Gothic" w:hAnsi="Century Gothic"/>
                <w:b/>
                <w:bCs/>
                <w:color w:val="000000"/>
                <w:lang w:eastAsia="it-IT"/>
              </w:rPr>
              <w:t>2009</w:t>
            </w:r>
          </w:p>
        </w:tc>
        <w:tc>
          <w:tcPr>
            <w:tcW w:w="976" w:type="dxa"/>
            <w:tcBorders>
              <w:top w:val="single" w:sz="8" w:space="0" w:color="4F81BD"/>
              <w:left w:val="nil"/>
              <w:bottom w:val="nil"/>
              <w:right w:val="nil"/>
            </w:tcBorders>
            <w:shd w:val="clear" w:color="000000" w:fill="2E75B6"/>
            <w:noWrap/>
            <w:vAlign w:val="center"/>
            <w:hideMark/>
          </w:tcPr>
          <w:p w:rsidR="00432677" w:rsidRPr="00432677" w:rsidRDefault="00432677" w:rsidP="00432677">
            <w:pPr>
              <w:spacing w:line="240" w:lineRule="auto"/>
              <w:jc w:val="right"/>
              <w:rPr>
                <w:rFonts w:ascii="Century Gothic" w:hAnsi="Century Gothic"/>
                <w:b/>
                <w:bCs/>
                <w:color w:val="000000"/>
                <w:lang w:eastAsia="it-IT"/>
              </w:rPr>
            </w:pPr>
            <w:r w:rsidRPr="00432677">
              <w:rPr>
                <w:rFonts w:ascii="Century Gothic" w:hAnsi="Century Gothic"/>
                <w:b/>
                <w:bCs/>
                <w:color w:val="000000"/>
                <w:lang w:eastAsia="it-IT"/>
              </w:rPr>
              <w:t>2010</w:t>
            </w:r>
          </w:p>
        </w:tc>
        <w:tc>
          <w:tcPr>
            <w:tcW w:w="976" w:type="dxa"/>
            <w:tcBorders>
              <w:top w:val="single" w:sz="8" w:space="0" w:color="4F81BD"/>
              <w:left w:val="nil"/>
              <w:bottom w:val="nil"/>
              <w:right w:val="nil"/>
            </w:tcBorders>
            <w:shd w:val="clear" w:color="000000" w:fill="2E75B6"/>
            <w:noWrap/>
            <w:vAlign w:val="center"/>
            <w:hideMark/>
          </w:tcPr>
          <w:p w:rsidR="00432677" w:rsidRPr="00432677" w:rsidRDefault="00432677" w:rsidP="00432677">
            <w:pPr>
              <w:spacing w:line="240" w:lineRule="auto"/>
              <w:jc w:val="right"/>
              <w:rPr>
                <w:rFonts w:ascii="Century Gothic" w:hAnsi="Century Gothic"/>
                <w:b/>
                <w:bCs/>
                <w:color w:val="000000"/>
                <w:lang w:eastAsia="it-IT"/>
              </w:rPr>
            </w:pPr>
            <w:r w:rsidRPr="00432677">
              <w:rPr>
                <w:rFonts w:ascii="Century Gothic" w:hAnsi="Century Gothic"/>
                <w:b/>
                <w:bCs/>
                <w:color w:val="000000"/>
                <w:lang w:eastAsia="it-IT"/>
              </w:rPr>
              <w:t>2011</w:t>
            </w:r>
          </w:p>
        </w:tc>
        <w:tc>
          <w:tcPr>
            <w:tcW w:w="1017" w:type="dxa"/>
            <w:tcBorders>
              <w:top w:val="single" w:sz="8" w:space="0" w:color="4F81BD"/>
              <w:left w:val="nil"/>
              <w:bottom w:val="nil"/>
              <w:right w:val="nil"/>
            </w:tcBorders>
            <w:shd w:val="clear" w:color="000000" w:fill="2E75B6"/>
            <w:vAlign w:val="center"/>
            <w:hideMark/>
          </w:tcPr>
          <w:p w:rsidR="00432677" w:rsidRPr="00432677" w:rsidRDefault="00432677" w:rsidP="00432677">
            <w:pPr>
              <w:spacing w:line="240" w:lineRule="auto"/>
              <w:jc w:val="right"/>
              <w:rPr>
                <w:rFonts w:ascii="Century Gothic" w:hAnsi="Century Gothic"/>
                <w:b/>
                <w:bCs/>
                <w:color w:val="000000"/>
                <w:lang w:eastAsia="it-IT"/>
              </w:rPr>
            </w:pPr>
            <w:r w:rsidRPr="00432677">
              <w:rPr>
                <w:rFonts w:ascii="Century Gothic" w:hAnsi="Century Gothic"/>
                <w:b/>
                <w:bCs/>
                <w:color w:val="000000"/>
                <w:lang w:eastAsia="it-IT"/>
              </w:rPr>
              <w:t>2012</w:t>
            </w:r>
          </w:p>
        </w:tc>
        <w:tc>
          <w:tcPr>
            <w:tcW w:w="925" w:type="dxa"/>
            <w:tcBorders>
              <w:top w:val="single" w:sz="8" w:space="0" w:color="4F81BD"/>
              <w:left w:val="nil"/>
              <w:bottom w:val="nil"/>
              <w:right w:val="nil"/>
            </w:tcBorders>
            <w:shd w:val="clear" w:color="000000" w:fill="2E75B6"/>
            <w:vAlign w:val="center"/>
            <w:hideMark/>
          </w:tcPr>
          <w:p w:rsidR="00432677" w:rsidRPr="00432677" w:rsidRDefault="00432677" w:rsidP="00432677">
            <w:pPr>
              <w:spacing w:line="240" w:lineRule="auto"/>
              <w:jc w:val="right"/>
              <w:rPr>
                <w:rFonts w:ascii="Century Gothic" w:hAnsi="Century Gothic"/>
                <w:b/>
                <w:bCs/>
                <w:color w:val="000000"/>
                <w:lang w:eastAsia="it-IT"/>
              </w:rPr>
            </w:pPr>
            <w:r w:rsidRPr="00432677">
              <w:rPr>
                <w:rFonts w:ascii="Century Gothic" w:hAnsi="Century Gothic"/>
                <w:b/>
                <w:bCs/>
                <w:color w:val="000000"/>
                <w:lang w:eastAsia="it-IT"/>
              </w:rPr>
              <w:t>2013</w:t>
            </w:r>
          </w:p>
        </w:tc>
        <w:tc>
          <w:tcPr>
            <w:tcW w:w="976" w:type="dxa"/>
            <w:tcBorders>
              <w:top w:val="nil"/>
              <w:left w:val="nil"/>
              <w:bottom w:val="nil"/>
              <w:right w:val="nil"/>
            </w:tcBorders>
            <w:shd w:val="clear" w:color="000000" w:fill="2E75B6"/>
            <w:noWrap/>
            <w:vAlign w:val="center"/>
            <w:hideMark/>
          </w:tcPr>
          <w:p w:rsidR="00432677" w:rsidRPr="00432677" w:rsidRDefault="00432677" w:rsidP="00432677">
            <w:pPr>
              <w:spacing w:line="240" w:lineRule="auto"/>
              <w:jc w:val="right"/>
              <w:rPr>
                <w:rFonts w:ascii="Century Gothic" w:hAnsi="Century Gothic"/>
                <w:b/>
                <w:bCs/>
                <w:color w:val="000000"/>
                <w:lang w:eastAsia="it-IT"/>
              </w:rPr>
            </w:pPr>
            <w:r w:rsidRPr="00432677">
              <w:rPr>
                <w:rFonts w:ascii="Century Gothic" w:hAnsi="Century Gothic"/>
                <w:b/>
                <w:bCs/>
                <w:color w:val="000000"/>
                <w:lang w:eastAsia="it-IT"/>
              </w:rPr>
              <w:t>2014</w:t>
            </w:r>
          </w:p>
        </w:tc>
        <w:tc>
          <w:tcPr>
            <w:tcW w:w="976" w:type="dxa"/>
            <w:tcBorders>
              <w:top w:val="nil"/>
              <w:left w:val="nil"/>
              <w:bottom w:val="nil"/>
              <w:right w:val="nil"/>
            </w:tcBorders>
            <w:shd w:val="clear" w:color="000000" w:fill="2E75B6"/>
            <w:noWrap/>
            <w:vAlign w:val="center"/>
            <w:hideMark/>
          </w:tcPr>
          <w:p w:rsidR="00432677" w:rsidRPr="00432677" w:rsidRDefault="00432677" w:rsidP="00432677">
            <w:pPr>
              <w:spacing w:line="240" w:lineRule="auto"/>
              <w:jc w:val="right"/>
              <w:rPr>
                <w:rFonts w:ascii="Century Gothic" w:hAnsi="Century Gothic"/>
                <w:b/>
                <w:bCs/>
                <w:color w:val="000000"/>
                <w:lang w:eastAsia="it-IT"/>
              </w:rPr>
            </w:pPr>
            <w:r w:rsidRPr="00432677">
              <w:rPr>
                <w:rFonts w:ascii="Century Gothic" w:hAnsi="Century Gothic"/>
                <w:b/>
                <w:bCs/>
                <w:color w:val="000000"/>
                <w:lang w:eastAsia="it-IT"/>
              </w:rPr>
              <w:t>2015</w:t>
            </w:r>
          </w:p>
        </w:tc>
        <w:tc>
          <w:tcPr>
            <w:tcW w:w="942" w:type="dxa"/>
            <w:tcBorders>
              <w:top w:val="single" w:sz="4" w:space="0" w:color="5B9BD5"/>
              <w:left w:val="nil"/>
              <w:bottom w:val="single" w:sz="8" w:space="0" w:color="5B9BD5"/>
              <w:right w:val="nil"/>
            </w:tcBorders>
            <w:shd w:val="clear" w:color="000000" w:fill="2E75B6"/>
            <w:hideMark/>
          </w:tcPr>
          <w:p w:rsidR="00432677" w:rsidRPr="00432677" w:rsidRDefault="00432677" w:rsidP="00432677">
            <w:pPr>
              <w:spacing w:line="240" w:lineRule="auto"/>
              <w:rPr>
                <w:b/>
                <w:bCs/>
                <w:color w:val="000000"/>
                <w:lang w:eastAsia="it-IT"/>
              </w:rPr>
            </w:pPr>
            <w:r w:rsidRPr="00432677">
              <w:rPr>
                <w:b/>
                <w:bCs/>
                <w:color w:val="000000"/>
                <w:lang w:eastAsia="it-IT"/>
              </w:rPr>
              <w:t>Almeno un anno</w:t>
            </w:r>
          </w:p>
        </w:tc>
      </w:tr>
      <w:tr w:rsidR="00432677" w:rsidRPr="00432677" w:rsidTr="00432677">
        <w:trPr>
          <w:trHeight w:val="345"/>
        </w:trPr>
        <w:tc>
          <w:tcPr>
            <w:tcW w:w="1976" w:type="dxa"/>
            <w:tcBorders>
              <w:top w:val="single" w:sz="8" w:space="0" w:color="4F81BD"/>
              <w:left w:val="single" w:sz="8" w:space="0" w:color="4F81BD"/>
              <w:bottom w:val="single" w:sz="8" w:space="0" w:color="2F5497"/>
              <w:right w:val="nil"/>
            </w:tcBorders>
            <w:shd w:val="clear" w:color="auto" w:fill="auto"/>
            <w:noWrap/>
            <w:vAlign w:val="center"/>
            <w:hideMark/>
          </w:tcPr>
          <w:p w:rsidR="00432677" w:rsidRPr="00432677" w:rsidRDefault="00432677" w:rsidP="00432677">
            <w:pPr>
              <w:spacing w:line="240" w:lineRule="auto"/>
              <w:rPr>
                <w:rFonts w:ascii="Century Gothic" w:hAnsi="Century Gothic"/>
                <w:color w:val="000000"/>
                <w:sz w:val="16"/>
                <w:szCs w:val="16"/>
                <w:lang w:eastAsia="it-IT"/>
              </w:rPr>
            </w:pPr>
            <w:r w:rsidRPr="00432677">
              <w:rPr>
                <w:rFonts w:ascii="Century Gothic" w:hAnsi="Century Gothic"/>
                <w:color w:val="000000"/>
                <w:sz w:val="16"/>
                <w:szCs w:val="16"/>
                <w:lang w:eastAsia="it-IT"/>
              </w:rPr>
              <w:t>comuni piccolissimi (1)</w:t>
            </w:r>
          </w:p>
        </w:tc>
        <w:tc>
          <w:tcPr>
            <w:tcW w:w="976" w:type="dxa"/>
            <w:tcBorders>
              <w:top w:val="single" w:sz="8" w:space="0" w:color="4F81BD"/>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11%</w:t>
            </w:r>
          </w:p>
        </w:tc>
        <w:tc>
          <w:tcPr>
            <w:tcW w:w="976" w:type="dxa"/>
            <w:tcBorders>
              <w:top w:val="single" w:sz="8" w:space="0" w:color="4F81BD"/>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11%</w:t>
            </w:r>
          </w:p>
        </w:tc>
        <w:tc>
          <w:tcPr>
            <w:tcW w:w="976" w:type="dxa"/>
            <w:tcBorders>
              <w:top w:val="single" w:sz="8" w:space="0" w:color="4F81BD"/>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32%</w:t>
            </w:r>
          </w:p>
        </w:tc>
        <w:tc>
          <w:tcPr>
            <w:tcW w:w="1017" w:type="dxa"/>
            <w:tcBorders>
              <w:top w:val="single" w:sz="8" w:space="0" w:color="4F81BD"/>
              <w:left w:val="nil"/>
              <w:bottom w:val="single" w:sz="8" w:space="0" w:color="2F5497"/>
              <w:right w:val="nil"/>
            </w:tcBorders>
            <w:shd w:val="clear" w:color="auto" w:fill="auto"/>
            <w:vAlign w:val="center"/>
            <w:hideMark/>
          </w:tcPr>
          <w:p w:rsidR="00432677" w:rsidRPr="003F6147" w:rsidRDefault="00432677" w:rsidP="00432677">
            <w:pPr>
              <w:spacing w:line="240" w:lineRule="auto"/>
              <w:jc w:val="right"/>
              <w:rPr>
                <w:rFonts w:ascii="Century Gothic" w:hAnsi="Century Gothic"/>
                <w:color w:val="000000"/>
                <w:lang w:eastAsia="it-IT"/>
              </w:rPr>
            </w:pPr>
            <w:r w:rsidRPr="003F6147">
              <w:rPr>
                <w:rFonts w:ascii="Century Gothic" w:hAnsi="Century Gothic"/>
                <w:color w:val="000000"/>
                <w:lang w:eastAsia="it-IT"/>
              </w:rPr>
              <w:t>63%</w:t>
            </w:r>
          </w:p>
        </w:tc>
        <w:tc>
          <w:tcPr>
            <w:tcW w:w="925" w:type="dxa"/>
            <w:tcBorders>
              <w:top w:val="single" w:sz="8" w:space="0" w:color="4F81BD"/>
              <w:left w:val="nil"/>
              <w:bottom w:val="single" w:sz="8" w:space="0" w:color="2F5497"/>
              <w:right w:val="nil"/>
            </w:tcBorders>
            <w:shd w:val="clear" w:color="auto" w:fill="auto"/>
            <w:vAlign w:val="center"/>
            <w:hideMark/>
          </w:tcPr>
          <w:p w:rsidR="00432677" w:rsidRPr="003F6147" w:rsidRDefault="00432677" w:rsidP="00432677">
            <w:pPr>
              <w:spacing w:line="240" w:lineRule="auto"/>
              <w:jc w:val="right"/>
              <w:rPr>
                <w:rFonts w:ascii="Century Gothic" w:hAnsi="Century Gothic"/>
                <w:color w:val="000000"/>
                <w:lang w:eastAsia="it-IT"/>
              </w:rPr>
            </w:pPr>
            <w:r w:rsidRPr="003F6147">
              <w:rPr>
                <w:rFonts w:ascii="Century Gothic" w:hAnsi="Century Gothic"/>
                <w:color w:val="000000"/>
                <w:lang w:eastAsia="it-IT"/>
              </w:rPr>
              <w:t>32%</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0%</w:t>
            </w:r>
          </w:p>
        </w:tc>
        <w:tc>
          <w:tcPr>
            <w:tcW w:w="976" w:type="dxa"/>
            <w:tcBorders>
              <w:top w:val="nil"/>
              <w:left w:val="nil"/>
              <w:bottom w:val="single" w:sz="8" w:space="0" w:color="2F5497"/>
              <w:right w:val="nil"/>
            </w:tcBorders>
            <w:shd w:val="clear" w:color="auto" w:fill="auto"/>
            <w:noWrap/>
            <w:vAlign w:val="bottom"/>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18%</w:t>
            </w:r>
          </w:p>
        </w:tc>
        <w:tc>
          <w:tcPr>
            <w:tcW w:w="942" w:type="dxa"/>
            <w:tcBorders>
              <w:top w:val="nil"/>
              <w:left w:val="nil"/>
              <w:bottom w:val="single" w:sz="8" w:space="0" w:color="2F5497"/>
              <w:right w:val="single" w:sz="8" w:space="0" w:color="2F5497"/>
            </w:tcBorders>
            <w:shd w:val="clear" w:color="auto" w:fill="auto"/>
            <w:noWrap/>
            <w:vAlign w:val="bottom"/>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59%</w:t>
            </w:r>
          </w:p>
        </w:tc>
      </w:tr>
      <w:tr w:rsidR="00432677" w:rsidRPr="00432677" w:rsidTr="00432677">
        <w:trPr>
          <w:trHeight w:val="345"/>
        </w:trPr>
        <w:tc>
          <w:tcPr>
            <w:tcW w:w="1976" w:type="dxa"/>
            <w:tcBorders>
              <w:top w:val="nil"/>
              <w:left w:val="single" w:sz="8" w:space="0" w:color="4F81BD"/>
              <w:bottom w:val="single" w:sz="8" w:space="0" w:color="2F5497"/>
              <w:right w:val="nil"/>
            </w:tcBorders>
            <w:shd w:val="clear" w:color="auto" w:fill="auto"/>
            <w:noWrap/>
            <w:vAlign w:val="center"/>
            <w:hideMark/>
          </w:tcPr>
          <w:p w:rsidR="00432677" w:rsidRPr="00432677" w:rsidRDefault="00432677" w:rsidP="00432677">
            <w:pPr>
              <w:spacing w:line="240" w:lineRule="auto"/>
              <w:rPr>
                <w:rFonts w:ascii="Century Gothic" w:hAnsi="Century Gothic"/>
                <w:color w:val="000000"/>
                <w:sz w:val="16"/>
                <w:szCs w:val="16"/>
                <w:lang w:eastAsia="it-IT"/>
              </w:rPr>
            </w:pPr>
            <w:r w:rsidRPr="00432677">
              <w:rPr>
                <w:rFonts w:ascii="Century Gothic" w:hAnsi="Century Gothic"/>
                <w:color w:val="000000"/>
                <w:sz w:val="16"/>
                <w:szCs w:val="16"/>
                <w:lang w:eastAsia="it-IT"/>
              </w:rPr>
              <w:t>comuni piccoli (2)</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24%</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25%</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50%</w:t>
            </w:r>
          </w:p>
        </w:tc>
        <w:tc>
          <w:tcPr>
            <w:tcW w:w="1017" w:type="dxa"/>
            <w:tcBorders>
              <w:top w:val="nil"/>
              <w:left w:val="nil"/>
              <w:bottom w:val="single" w:sz="8" w:space="0" w:color="2F5497"/>
              <w:right w:val="nil"/>
            </w:tcBorders>
            <w:shd w:val="clear" w:color="auto" w:fill="auto"/>
            <w:vAlign w:val="center"/>
            <w:hideMark/>
          </w:tcPr>
          <w:p w:rsidR="00432677" w:rsidRPr="003F6147" w:rsidRDefault="00432677" w:rsidP="00432677">
            <w:pPr>
              <w:spacing w:line="240" w:lineRule="auto"/>
              <w:jc w:val="right"/>
              <w:rPr>
                <w:rFonts w:ascii="Century Gothic" w:hAnsi="Century Gothic"/>
                <w:color w:val="000000"/>
                <w:lang w:eastAsia="it-IT"/>
              </w:rPr>
            </w:pPr>
            <w:r w:rsidRPr="003F6147">
              <w:rPr>
                <w:rFonts w:ascii="Century Gothic" w:hAnsi="Century Gothic"/>
                <w:color w:val="000000"/>
                <w:lang w:eastAsia="it-IT"/>
              </w:rPr>
              <w:t>50%</w:t>
            </w:r>
          </w:p>
        </w:tc>
        <w:tc>
          <w:tcPr>
            <w:tcW w:w="925" w:type="dxa"/>
            <w:tcBorders>
              <w:top w:val="nil"/>
              <w:left w:val="nil"/>
              <w:bottom w:val="single" w:sz="8" w:space="0" w:color="2F5497"/>
              <w:right w:val="nil"/>
            </w:tcBorders>
            <w:shd w:val="clear" w:color="auto" w:fill="auto"/>
            <w:vAlign w:val="center"/>
            <w:hideMark/>
          </w:tcPr>
          <w:p w:rsidR="00432677" w:rsidRPr="003F6147" w:rsidRDefault="00432677" w:rsidP="00432677">
            <w:pPr>
              <w:spacing w:line="240" w:lineRule="auto"/>
              <w:jc w:val="right"/>
              <w:rPr>
                <w:rFonts w:ascii="Century Gothic" w:hAnsi="Century Gothic"/>
                <w:color w:val="000000"/>
                <w:lang w:eastAsia="it-IT"/>
              </w:rPr>
            </w:pPr>
            <w:r w:rsidRPr="003F6147">
              <w:rPr>
                <w:rFonts w:ascii="Century Gothic" w:hAnsi="Century Gothic"/>
                <w:color w:val="000000"/>
                <w:lang w:eastAsia="it-IT"/>
              </w:rPr>
              <w:t>34%</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9%</w:t>
            </w:r>
          </w:p>
        </w:tc>
        <w:tc>
          <w:tcPr>
            <w:tcW w:w="976" w:type="dxa"/>
            <w:tcBorders>
              <w:top w:val="nil"/>
              <w:left w:val="nil"/>
              <w:bottom w:val="single" w:sz="8" w:space="0" w:color="2F5497"/>
              <w:right w:val="nil"/>
            </w:tcBorders>
            <w:shd w:val="clear" w:color="auto" w:fill="auto"/>
            <w:noWrap/>
            <w:vAlign w:val="bottom"/>
            <w:hideMark/>
          </w:tcPr>
          <w:p w:rsidR="00432677" w:rsidRPr="00432677" w:rsidRDefault="00432677" w:rsidP="006E1D9B">
            <w:pPr>
              <w:spacing w:line="240" w:lineRule="auto"/>
              <w:jc w:val="right"/>
              <w:rPr>
                <w:rFonts w:ascii="Century Gothic" w:hAnsi="Century Gothic"/>
                <w:color w:val="000000"/>
                <w:lang w:eastAsia="it-IT"/>
              </w:rPr>
            </w:pPr>
            <w:r w:rsidRPr="00432677">
              <w:rPr>
                <w:rFonts w:ascii="Century Gothic" w:hAnsi="Century Gothic"/>
                <w:color w:val="000000"/>
                <w:lang w:eastAsia="it-IT"/>
              </w:rPr>
              <w:t>1</w:t>
            </w:r>
            <w:r w:rsidR="006E1D9B">
              <w:rPr>
                <w:rFonts w:ascii="Century Gothic" w:hAnsi="Century Gothic"/>
                <w:color w:val="000000"/>
                <w:lang w:eastAsia="it-IT"/>
              </w:rPr>
              <w:t>8</w:t>
            </w:r>
            <w:r w:rsidRPr="00432677">
              <w:rPr>
                <w:rFonts w:ascii="Century Gothic" w:hAnsi="Century Gothic"/>
                <w:color w:val="000000"/>
                <w:lang w:eastAsia="it-IT"/>
              </w:rPr>
              <w:t>%</w:t>
            </w:r>
          </w:p>
        </w:tc>
        <w:tc>
          <w:tcPr>
            <w:tcW w:w="942" w:type="dxa"/>
            <w:tcBorders>
              <w:top w:val="nil"/>
              <w:left w:val="nil"/>
              <w:bottom w:val="single" w:sz="8" w:space="0" w:color="2F5497"/>
              <w:right w:val="single" w:sz="8" w:space="0" w:color="2F5497"/>
            </w:tcBorders>
            <w:shd w:val="clear" w:color="auto" w:fill="auto"/>
            <w:noWrap/>
            <w:vAlign w:val="bottom"/>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80%</w:t>
            </w:r>
          </w:p>
        </w:tc>
      </w:tr>
      <w:tr w:rsidR="00432677" w:rsidRPr="00432677" w:rsidTr="00432677">
        <w:trPr>
          <w:trHeight w:val="345"/>
        </w:trPr>
        <w:tc>
          <w:tcPr>
            <w:tcW w:w="1976" w:type="dxa"/>
            <w:tcBorders>
              <w:top w:val="nil"/>
              <w:left w:val="single" w:sz="8" w:space="0" w:color="4F81BD"/>
              <w:bottom w:val="single" w:sz="8" w:space="0" w:color="2F5497"/>
              <w:right w:val="nil"/>
            </w:tcBorders>
            <w:shd w:val="clear" w:color="auto" w:fill="auto"/>
            <w:noWrap/>
            <w:vAlign w:val="center"/>
            <w:hideMark/>
          </w:tcPr>
          <w:p w:rsidR="00432677" w:rsidRPr="00432677" w:rsidRDefault="00432677" w:rsidP="00432677">
            <w:pPr>
              <w:spacing w:line="240" w:lineRule="auto"/>
              <w:rPr>
                <w:rFonts w:ascii="Century Gothic" w:hAnsi="Century Gothic"/>
                <w:color w:val="000000"/>
                <w:sz w:val="16"/>
                <w:szCs w:val="16"/>
                <w:lang w:eastAsia="it-IT"/>
              </w:rPr>
            </w:pPr>
            <w:r w:rsidRPr="00432677">
              <w:rPr>
                <w:rFonts w:ascii="Century Gothic" w:hAnsi="Century Gothic"/>
                <w:color w:val="000000"/>
                <w:sz w:val="16"/>
                <w:szCs w:val="16"/>
                <w:lang w:eastAsia="it-IT"/>
              </w:rPr>
              <w:t>comuni medio-piccoli (3)</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38%</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47%</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66%</w:t>
            </w:r>
          </w:p>
        </w:tc>
        <w:tc>
          <w:tcPr>
            <w:tcW w:w="1017" w:type="dxa"/>
            <w:tcBorders>
              <w:top w:val="nil"/>
              <w:left w:val="nil"/>
              <w:bottom w:val="single" w:sz="8" w:space="0" w:color="2F5497"/>
              <w:right w:val="nil"/>
            </w:tcBorders>
            <w:shd w:val="clear" w:color="auto" w:fill="auto"/>
            <w:vAlign w:val="center"/>
            <w:hideMark/>
          </w:tcPr>
          <w:p w:rsidR="00432677" w:rsidRPr="003F6147" w:rsidRDefault="00432677" w:rsidP="00432677">
            <w:pPr>
              <w:spacing w:line="240" w:lineRule="auto"/>
              <w:jc w:val="right"/>
              <w:rPr>
                <w:rFonts w:ascii="Century Gothic" w:hAnsi="Century Gothic"/>
                <w:color w:val="000000"/>
                <w:lang w:eastAsia="it-IT"/>
              </w:rPr>
            </w:pPr>
            <w:r w:rsidRPr="003F6147">
              <w:rPr>
                <w:rFonts w:ascii="Century Gothic" w:hAnsi="Century Gothic"/>
                <w:color w:val="000000"/>
                <w:lang w:eastAsia="it-IT"/>
              </w:rPr>
              <w:t>58%</w:t>
            </w:r>
          </w:p>
        </w:tc>
        <w:tc>
          <w:tcPr>
            <w:tcW w:w="925" w:type="dxa"/>
            <w:tcBorders>
              <w:top w:val="nil"/>
              <w:left w:val="nil"/>
              <w:bottom w:val="single" w:sz="8" w:space="0" w:color="2F5497"/>
              <w:right w:val="nil"/>
            </w:tcBorders>
            <w:shd w:val="clear" w:color="auto" w:fill="auto"/>
            <w:vAlign w:val="center"/>
            <w:hideMark/>
          </w:tcPr>
          <w:p w:rsidR="00432677" w:rsidRPr="003F6147" w:rsidRDefault="00432677" w:rsidP="00432677">
            <w:pPr>
              <w:spacing w:line="240" w:lineRule="auto"/>
              <w:jc w:val="right"/>
              <w:rPr>
                <w:rFonts w:ascii="Century Gothic" w:hAnsi="Century Gothic"/>
                <w:color w:val="000000"/>
                <w:lang w:eastAsia="it-IT"/>
              </w:rPr>
            </w:pPr>
            <w:r w:rsidRPr="003F6147">
              <w:rPr>
                <w:rFonts w:ascii="Century Gothic" w:hAnsi="Century Gothic"/>
                <w:color w:val="000000"/>
                <w:lang w:eastAsia="it-IT"/>
              </w:rPr>
              <w:t>45%</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29%</w:t>
            </w:r>
          </w:p>
        </w:tc>
        <w:tc>
          <w:tcPr>
            <w:tcW w:w="976" w:type="dxa"/>
            <w:tcBorders>
              <w:top w:val="nil"/>
              <w:left w:val="nil"/>
              <w:bottom w:val="single" w:sz="8" w:space="0" w:color="2F5497"/>
              <w:right w:val="nil"/>
            </w:tcBorders>
            <w:shd w:val="clear" w:color="auto" w:fill="auto"/>
            <w:noWrap/>
            <w:vAlign w:val="bottom"/>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40%</w:t>
            </w:r>
          </w:p>
        </w:tc>
        <w:tc>
          <w:tcPr>
            <w:tcW w:w="942" w:type="dxa"/>
            <w:tcBorders>
              <w:top w:val="nil"/>
              <w:left w:val="nil"/>
              <w:bottom w:val="single" w:sz="8" w:space="0" w:color="2F5497"/>
              <w:right w:val="single" w:sz="8" w:space="0" w:color="2F5497"/>
            </w:tcBorders>
            <w:shd w:val="clear" w:color="auto" w:fill="auto"/>
            <w:noWrap/>
            <w:vAlign w:val="bottom"/>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96%</w:t>
            </w:r>
          </w:p>
        </w:tc>
      </w:tr>
      <w:tr w:rsidR="00432677" w:rsidRPr="00432677" w:rsidTr="00432677">
        <w:trPr>
          <w:trHeight w:val="345"/>
        </w:trPr>
        <w:tc>
          <w:tcPr>
            <w:tcW w:w="1976" w:type="dxa"/>
            <w:tcBorders>
              <w:top w:val="nil"/>
              <w:left w:val="single" w:sz="8" w:space="0" w:color="4F81BD"/>
              <w:bottom w:val="single" w:sz="8" w:space="0" w:color="2F5497"/>
              <w:right w:val="nil"/>
            </w:tcBorders>
            <w:shd w:val="clear" w:color="auto" w:fill="auto"/>
            <w:noWrap/>
            <w:vAlign w:val="center"/>
            <w:hideMark/>
          </w:tcPr>
          <w:p w:rsidR="00432677" w:rsidRPr="00432677" w:rsidRDefault="00432677" w:rsidP="00432677">
            <w:pPr>
              <w:spacing w:line="240" w:lineRule="auto"/>
              <w:rPr>
                <w:rFonts w:ascii="Century Gothic" w:hAnsi="Century Gothic"/>
                <w:color w:val="000000"/>
                <w:sz w:val="16"/>
                <w:szCs w:val="16"/>
                <w:lang w:eastAsia="it-IT"/>
              </w:rPr>
            </w:pPr>
            <w:r w:rsidRPr="00432677">
              <w:rPr>
                <w:rFonts w:ascii="Century Gothic" w:hAnsi="Century Gothic"/>
                <w:color w:val="000000"/>
                <w:sz w:val="16"/>
                <w:szCs w:val="16"/>
                <w:lang w:eastAsia="it-IT"/>
              </w:rPr>
              <w:t>comuni medi (4)</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64%</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62%</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79%</w:t>
            </w:r>
          </w:p>
        </w:tc>
        <w:tc>
          <w:tcPr>
            <w:tcW w:w="1017" w:type="dxa"/>
            <w:tcBorders>
              <w:top w:val="nil"/>
              <w:left w:val="nil"/>
              <w:bottom w:val="single" w:sz="8" w:space="0" w:color="2F5497"/>
              <w:right w:val="nil"/>
            </w:tcBorders>
            <w:shd w:val="clear" w:color="auto" w:fill="auto"/>
            <w:vAlign w:val="center"/>
            <w:hideMark/>
          </w:tcPr>
          <w:p w:rsidR="00432677" w:rsidRPr="003F6147" w:rsidRDefault="00432677" w:rsidP="00432677">
            <w:pPr>
              <w:spacing w:line="240" w:lineRule="auto"/>
              <w:jc w:val="right"/>
              <w:rPr>
                <w:rFonts w:ascii="Century Gothic" w:hAnsi="Century Gothic"/>
                <w:color w:val="000000"/>
                <w:lang w:eastAsia="it-IT"/>
              </w:rPr>
            </w:pPr>
            <w:r w:rsidRPr="003F6147">
              <w:rPr>
                <w:rFonts w:ascii="Century Gothic" w:hAnsi="Century Gothic"/>
                <w:color w:val="000000"/>
                <w:lang w:eastAsia="it-IT"/>
              </w:rPr>
              <w:t>72%</w:t>
            </w:r>
          </w:p>
        </w:tc>
        <w:tc>
          <w:tcPr>
            <w:tcW w:w="925" w:type="dxa"/>
            <w:tcBorders>
              <w:top w:val="nil"/>
              <w:left w:val="nil"/>
              <w:bottom w:val="single" w:sz="8" w:space="0" w:color="2F5497"/>
              <w:right w:val="nil"/>
            </w:tcBorders>
            <w:shd w:val="clear" w:color="auto" w:fill="auto"/>
            <w:vAlign w:val="center"/>
            <w:hideMark/>
          </w:tcPr>
          <w:p w:rsidR="00432677" w:rsidRPr="003F6147" w:rsidRDefault="00432677" w:rsidP="00432677">
            <w:pPr>
              <w:spacing w:line="240" w:lineRule="auto"/>
              <w:jc w:val="right"/>
              <w:rPr>
                <w:rFonts w:ascii="Century Gothic" w:hAnsi="Century Gothic"/>
                <w:color w:val="000000"/>
                <w:lang w:eastAsia="it-IT"/>
              </w:rPr>
            </w:pPr>
            <w:r w:rsidRPr="003F6147">
              <w:rPr>
                <w:rFonts w:ascii="Century Gothic" w:hAnsi="Century Gothic"/>
                <w:color w:val="000000"/>
                <w:lang w:eastAsia="it-IT"/>
              </w:rPr>
              <w:t>49%</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33%</w:t>
            </w:r>
          </w:p>
        </w:tc>
        <w:tc>
          <w:tcPr>
            <w:tcW w:w="976" w:type="dxa"/>
            <w:tcBorders>
              <w:top w:val="nil"/>
              <w:left w:val="nil"/>
              <w:bottom w:val="single" w:sz="8" w:space="0" w:color="2F5497"/>
              <w:right w:val="nil"/>
            </w:tcBorders>
            <w:shd w:val="clear" w:color="auto" w:fill="auto"/>
            <w:noWrap/>
            <w:vAlign w:val="bottom"/>
            <w:hideMark/>
          </w:tcPr>
          <w:p w:rsidR="00432677" w:rsidRPr="00432677" w:rsidRDefault="00432677" w:rsidP="00CD5EE5">
            <w:pPr>
              <w:spacing w:line="240" w:lineRule="auto"/>
              <w:jc w:val="right"/>
              <w:rPr>
                <w:rFonts w:ascii="Century Gothic" w:hAnsi="Century Gothic"/>
                <w:color w:val="000000"/>
                <w:lang w:eastAsia="it-IT"/>
              </w:rPr>
            </w:pPr>
            <w:r w:rsidRPr="00432677">
              <w:rPr>
                <w:rFonts w:ascii="Century Gothic" w:hAnsi="Century Gothic"/>
                <w:color w:val="000000"/>
                <w:lang w:eastAsia="it-IT"/>
              </w:rPr>
              <w:t>4</w:t>
            </w:r>
            <w:r w:rsidR="00CD5EE5">
              <w:rPr>
                <w:rFonts w:ascii="Century Gothic" w:hAnsi="Century Gothic"/>
                <w:color w:val="000000"/>
                <w:lang w:eastAsia="it-IT"/>
              </w:rPr>
              <w:t>8</w:t>
            </w:r>
            <w:r w:rsidRPr="00432677">
              <w:rPr>
                <w:rFonts w:ascii="Century Gothic" w:hAnsi="Century Gothic"/>
                <w:color w:val="000000"/>
                <w:lang w:eastAsia="it-IT"/>
              </w:rPr>
              <w:t>%</w:t>
            </w:r>
          </w:p>
        </w:tc>
        <w:tc>
          <w:tcPr>
            <w:tcW w:w="942" w:type="dxa"/>
            <w:tcBorders>
              <w:top w:val="nil"/>
              <w:left w:val="nil"/>
              <w:bottom w:val="single" w:sz="8" w:space="0" w:color="2F5497"/>
              <w:right w:val="single" w:sz="8" w:space="0" w:color="2F5497"/>
            </w:tcBorders>
            <w:shd w:val="clear" w:color="auto" w:fill="auto"/>
            <w:noWrap/>
            <w:vAlign w:val="bottom"/>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98%</w:t>
            </w:r>
          </w:p>
        </w:tc>
      </w:tr>
      <w:tr w:rsidR="00432677" w:rsidRPr="00432677" w:rsidTr="00432677">
        <w:trPr>
          <w:trHeight w:val="345"/>
        </w:trPr>
        <w:tc>
          <w:tcPr>
            <w:tcW w:w="1976" w:type="dxa"/>
            <w:tcBorders>
              <w:top w:val="nil"/>
              <w:left w:val="single" w:sz="8" w:space="0" w:color="4F81BD"/>
              <w:bottom w:val="single" w:sz="8" w:space="0" w:color="2F5497"/>
              <w:right w:val="nil"/>
            </w:tcBorders>
            <w:shd w:val="clear" w:color="auto" w:fill="auto"/>
            <w:noWrap/>
            <w:vAlign w:val="center"/>
            <w:hideMark/>
          </w:tcPr>
          <w:p w:rsidR="00432677" w:rsidRPr="00432677" w:rsidRDefault="00432677" w:rsidP="00432677">
            <w:pPr>
              <w:spacing w:line="240" w:lineRule="auto"/>
              <w:rPr>
                <w:rFonts w:ascii="Century Gothic" w:hAnsi="Century Gothic"/>
                <w:color w:val="000000"/>
                <w:sz w:val="16"/>
                <w:szCs w:val="16"/>
                <w:lang w:eastAsia="it-IT"/>
              </w:rPr>
            </w:pPr>
            <w:r w:rsidRPr="00432677">
              <w:rPr>
                <w:rFonts w:ascii="Century Gothic" w:hAnsi="Century Gothic"/>
                <w:color w:val="000000"/>
                <w:sz w:val="16"/>
                <w:szCs w:val="16"/>
                <w:lang w:eastAsia="it-IT"/>
              </w:rPr>
              <w:t>comuni grandi (5)</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69%</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38%</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54%</w:t>
            </w:r>
          </w:p>
        </w:tc>
        <w:tc>
          <w:tcPr>
            <w:tcW w:w="1017" w:type="dxa"/>
            <w:tcBorders>
              <w:top w:val="nil"/>
              <w:left w:val="nil"/>
              <w:bottom w:val="single" w:sz="8" w:space="0" w:color="2F5497"/>
              <w:right w:val="nil"/>
            </w:tcBorders>
            <w:shd w:val="clear" w:color="auto" w:fill="auto"/>
            <w:vAlign w:val="center"/>
            <w:hideMark/>
          </w:tcPr>
          <w:p w:rsidR="00432677" w:rsidRPr="003F6147" w:rsidRDefault="00432677" w:rsidP="00432677">
            <w:pPr>
              <w:spacing w:line="240" w:lineRule="auto"/>
              <w:jc w:val="right"/>
              <w:rPr>
                <w:rFonts w:ascii="Century Gothic" w:hAnsi="Century Gothic"/>
                <w:color w:val="000000"/>
                <w:lang w:eastAsia="it-IT"/>
              </w:rPr>
            </w:pPr>
            <w:r w:rsidRPr="003F6147">
              <w:rPr>
                <w:rFonts w:ascii="Century Gothic" w:hAnsi="Century Gothic"/>
                <w:color w:val="000000"/>
                <w:lang w:eastAsia="it-IT"/>
              </w:rPr>
              <w:t>77%</w:t>
            </w:r>
          </w:p>
        </w:tc>
        <w:tc>
          <w:tcPr>
            <w:tcW w:w="925" w:type="dxa"/>
            <w:tcBorders>
              <w:top w:val="nil"/>
              <w:left w:val="nil"/>
              <w:bottom w:val="single" w:sz="8" w:space="0" w:color="2F5497"/>
              <w:right w:val="nil"/>
            </w:tcBorders>
            <w:shd w:val="clear" w:color="auto" w:fill="auto"/>
            <w:vAlign w:val="center"/>
            <w:hideMark/>
          </w:tcPr>
          <w:p w:rsidR="00432677" w:rsidRPr="003F6147" w:rsidRDefault="00432677" w:rsidP="00432677">
            <w:pPr>
              <w:spacing w:line="240" w:lineRule="auto"/>
              <w:jc w:val="right"/>
              <w:rPr>
                <w:rFonts w:ascii="Century Gothic" w:hAnsi="Century Gothic"/>
                <w:color w:val="000000"/>
                <w:lang w:eastAsia="it-IT"/>
              </w:rPr>
            </w:pPr>
            <w:r w:rsidRPr="003F6147">
              <w:rPr>
                <w:rFonts w:ascii="Century Gothic" w:hAnsi="Century Gothic"/>
                <w:color w:val="000000"/>
                <w:lang w:eastAsia="it-IT"/>
              </w:rPr>
              <w:t>46%</w:t>
            </w:r>
          </w:p>
        </w:tc>
        <w:tc>
          <w:tcPr>
            <w:tcW w:w="976" w:type="dxa"/>
            <w:tcBorders>
              <w:top w:val="nil"/>
              <w:left w:val="nil"/>
              <w:bottom w:val="single" w:sz="8" w:space="0" w:color="2F5497"/>
              <w:right w:val="nil"/>
            </w:tcBorders>
            <w:shd w:val="clear" w:color="auto" w:fill="auto"/>
            <w:noWrap/>
            <w:vAlign w:val="center"/>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25%</w:t>
            </w:r>
          </w:p>
        </w:tc>
        <w:tc>
          <w:tcPr>
            <w:tcW w:w="976" w:type="dxa"/>
            <w:tcBorders>
              <w:top w:val="nil"/>
              <w:left w:val="nil"/>
              <w:bottom w:val="single" w:sz="8" w:space="0" w:color="2F5497"/>
              <w:right w:val="nil"/>
            </w:tcBorders>
            <w:shd w:val="clear" w:color="auto" w:fill="auto"/>
            <w:noWrap/>
            <w:vAlign w:val="bottom"/>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46%</w:t>
            </w:r>
          </w:p>
        </w:tc>
        <w:tc>
          <w:tcPr>
            <w:tcW w:w="942" w:type="dxa"/>
            <w:tcBorders>
              <w:top w:val="nil"/>
              <w:left w:val="nil"/>
              <w:bottom w:val="single" w:sz="8" w:space="0" w:color="2F5497"/>
              <w:right w:val="single" w:sz="8" w:space="0" w:color="2F5497"/>
            </w:tcBorders>
            <w:shd w:val="clear" w:color="auto" w:fill="auto"/>
            <w:noWrap/>
            <w:vAlign w:val="bottom"/>
            <w:hideMark/>
          </w:tcPr>
          <w:p w:rsidR="00432677" w:rsidRPr="00432677" w:rsidRDefault="00432677" w:rsidP="00432677">
            <w:pPr>
              <w:spacing w:line="240" w:lineRule="auto"/>
              <w:jc w:val="right"/>
              <w:rPr>
                <w:rFonts w:ascii="Century Gothic" w:hAnsi="Century Gothic"/>
                <w:color w:val="000000"/>
                <w:lang w:eastAsia="it-IT"/>
              </w:rPr>
            </w:pPr>
            <w:r w:rsidRPr="00432677">
              <w:rPr>
                <w:rFonts w:ascii="Century Gothic" w:hAnsi="Century Gothic"/>
                <w:color w:val="000000"/>
                <w:lang w:eastAsia="it-IT"/>
              </w:rPr>
              <w:t>100%</w:t>
            </w:r>
          </w:p>
        </w:tc>
      </w:tr>
    </w:tbl>
    <w:p w:rsidR="00432677" w:rsidRDefault="00432677" w:rsidP="00256008">
      <w:pPr>
        <w:rPr>
          <w:rFonts w:ascii="Century Gothic" w:hAnsi="Century Gothic"/>
          <w:b/>
        </w:rPr>
      </w:pPr>
    </w:p>
    <w:p w:rsidR="00256008" w:rsidRDefault="00CD5EE5" w:rsidP="00256008">
      <w:pPr>
        <w:jc w:val="both"/>
        <w:rPr>
          <w:rFonts w:ascii="Century Gothic" w:hAnsi="Century Gothic"/>
        </w:rPr>
      </w:pPr>
      <w:r>
        <w:rPr>
          <w:rFonts w:ascii="Century Gothic" w:hAnsi="Century Gothic"/>
        </w:rPr>
        <w:t>I</w:t>
      </w:r>
      <w:r w:rsidR="00256008" w:rsidRPr="00FC34CA">
        <w:rPr>
          <w:rFonts w:ascii="Century Gothic" w:hAnsi="Century Gothic"/>
        </w:rPr>
        <w:t xml:space="preserve"> grandi comuni (si tratta perlopiù dei capoluoghi di provincia) </w:t>
      </w:r>
      <w:r w:rsidR="00ED5F00">
        <w:rPr>
          <w:rFonts w:ascii="Century Gothic" w:hAnsi="Century Gothic"/>
        </w:rPr>
        <w:t xml:space="preserve">si attestano su </w:t>
      </w:r>
      <w:r w:rsidR="00ED5F00" w:rsidRPr="00CD5EE5">
        <w:rPr>
          <w:rFonts w:ascii="Century Gothic" w:hAnsi="Century Gothic"/>
        </w:rPr>
        <w:t>valori simili (46%)</w:t>
      </w:r>
      <w:r w:rsidRPr="00CD5EE5">
        <w:rPr>
          <w:rFonts w:ascii="Century Gothic" w:hAnsi="Century Gothic"/>
        </w:rPr>
        <w:t xml:space="preserve"> a quelli </w:t>
      </w:r>
      <w:r w:rsidR="00B4561F">
        <w:rPr>
          <w:rFonts w:ascii="Century Gothic" w:hAnsi="Century Gothic"/>
        </w:rPr>
        <w:t xml:space="preserve">dei comuni </w:t>
      </w:r>
      <w:r w:rsidRPr="00CD5EE5">
        <w:rPr>
          <w:rFonts w:ascii="Century Gothic" w:hAnsi="Century Gothic"/>
        </w:rPr>
        <w:t>medi</w:t>
      </w:r>
      <w:r w:rsidR="00ED5F00" w:rsidRPr="00CD5EE5">
        <w:rPr>
          <w:rFonts w:ascii="Century Gothic" w:hAnsi="Century Gothic"/>
        </w:rPr>
        <w:t>,</w:t>
      </w:r>
      <w:r w:rsidR="00ED5F00">
        <w:rPr>
          <w:rFonts w:ascii="Century Gothic" w:hAnsi="Century Gothic"/>
        </w:rPr>
        <w:t xml:space="preserve"> ma mostrano nell’esame diacronico una certa discontinuità, accompagnata comunque</w:t>
      </w:r>
      <w:r w:rsidR="00256008" w:rsidRPr="00FC34CA">
        <w:rPr>
          <w:rFonts w:ascii="Century Gothic" w:hAnsi="Century Gothic"/>
        </w:rPr>
        <w:t xml:space="preserve"> </w:t>
      </w:r>
      <w:r w:rsidR="00ED5F00">
        <w:rPr>
          <w:rFonts w:ascii="Century Gothic" w:hAnsi="Century Gothic"/>
        </w:rPr>
        <w:t>nel corso</w:t>
      </w:r>
      <w:r w:rsidR="00256008" w:rsidRPr="00FC34CA">
        <w:rPr>
          <w:rFonts w:ascii="Century Gothic" w:hAnsi="Century Gothic"/>
        </w:rPr>
        <w:t xml:space="preserve"> degli anni </w:t>
      </w:r>
      <w:r w:rsidR="00ED5F00">
        <w:rPr>
          <w:rFonts w:ascii="Century Gothic" w:hAnsi="Century Gothic"/>
        </w:rPr>
        <w:t xml:space="preserve">da </w:t>
      </w:r>
      <w:r w:rsidR="00256008" w:rsidRPr="00FC34CA">
        <w:rPr>
          <w:rFonts w:ascii="Century Gothic" w:hAnsi="Century Gothic"/>
        </w:rPr>
        <w:t>una coper</w:t>
      </w:r>
      <w:r w:rsidR="00AB533C">
        <w:rPr>
          <w:rFonts w:ascii="Century Gothic" w:hAnsi="Century Gothic"/>
        </w:rPr>
        <w:t xml:space="preserve">tura totale. </w:t>
      </w:r>
      <w:r w:rsidR="00FF1B18">
        <w:rPr>
          <w:rFonts w:ascii="Century Gothic" w:hAnsi="Century Gothic"/>
        </w:rPr>
        <w:t xml:space="preserve">Sono proprio le tipologie agli estremi della classificazione (i grandi comuni e i piccolissimi) a registrare l’aumento maggiore rispetto al 2014 (intorno al 20%). </w:t>
      </w:r>
      <w:r w:rsidR="000D0404">
        <w:rPr>
          <w:rFonts w:ascii="Century Gothic" w:hAnsi="Century Gothic"/>
        </w:rPr>
        <w:t xml:space="preserve">Erano stati proprio i piccolissimi comuni a mostrare nel 2014 la </w:t>
      </w:r>
      <w:r w:rsidR="00256008" w:rsidRPr="00FC34CA">
        <w:rPr>
          <w:rFonts w:ascii="Century Gothic" w:hAnsi="Century Gothic"/>
        </w:rPr>
        <w:t xml:space="preserve">maggiore contrazione della copertura della contrattazione sociale </w:t>
      </w:r>
      <w:r w:rsidR="000D0404">
        <w:rPr>
          <w:rFonts w:ascii="Century Gothic" w:hAnsi="Century Gothic"/>
        </w:rPr>
        <w:t>con la totale assenza di intese</w:t>
      </w:r>
      <w:r w:rsidR="00256008" w:rsidRPr="00FC34CA">
        <w:rPr>
          <w:rFonts w:ascii="Century Gothic" w:hAnsi="Century Gothic"/>
        </w:rPr>
        <w:t xml:space="preserve">. </w:t>
      </w:r>
      <w:r w:rsidR="000D0404">
        <w:rPr>
          <w:rFonts w:ascii="Century Gothic" w:hAnsi="Century Gothic"/>
        </w:rPr>
        <w:t>Le tipologie di comuni piccoli e med</w:t>
      </w:r>
      <w:r>
        <w:rPr>
          <w:rFonts w:ascii="Century Gothic" w:hAnsi="Century Gothic"/>
        </w:rPr>
        <w:t>io-piccol</w:t>
      </w:r>
      <w:r w:rsidR="000D0404">
        <w:rPr>
          <w:rFonts w:ascii="Century Gothic" w:hAnsi="Century Gothic"/>
        </w:rPr>
        <w:t>i si attestano su una crescita intorno al 10%</w:t>
      </w:r>
      <w:r>
        <w:rPr>
          <w:rFonts w:ascii="Century Gothic" w:hAnsi="Century Gothic"/>
        </w:rPr>
        <w:t>, quelli medi del 15%</w:t>
      </w:r>
      <w:r w:rsidR="000D0404">
        <w:rPr>
          <w:rFonts w:ascii="Century Gothic" w:hAnsi="Century Gothic"/>
        </w:rPr>
        <w:t xml:space="preserve">. </w:t>
      </w:r>
      <w:r w:rsidR="00256008" w:rsidRPr="00FC34CA">
        <w:rPr>
          <w:rFonts w:ascii="Century Gothic" w:hAnsi="Century Gothic"/>
        </w:rPr>
        <w:t xml:space="preserve">Rispetto all’anno di picco della contrattazione sociale (il 2012) </w:t>
      </w:r>
      <w:r w:rsidR="00256008" w:rsidRPr="002653E7">
        <w:rPr>
          <w:rFonts w:ascii="Century Gothic" w:hAnsi="Century Gothic"/>
        </w:rPr>
        <w:t>i comuni medio</w:t>
      </w:r>
      <w:r>
        <w:rPr>
          <w:rFonts w:ascii="Century Gothic" w:hAnsi="Century Gothic"/>
        </w:rPr>
        <w:t>-</w:t>
      </w:r>
      <w:r w:rsidR="00256008" w:rsidRPr="002653E7">
        <w:rPr>
          <w:rFonts w:ascii="Century Gothic" w:hAnsi="Century Gothic"/>
        </w:rPr>
        <w:t xml:space="preserve">piccoli </w:t>
      </w:r>
      <w:r w:rsidR="000D0404">
        <w:rPr>
          <w:rFonts w:ascii="Century Gothic" w:hAnsi="Century Gothic"/>
        </w:rPr>
        <w:t xml:space="preserve">continuano a </w:t>
      </w:r>
      <w:r w:rsidR="00405531">
        <w:rPr>
          <w:rFonts w:ascii="Century Gothic" w:hAnsi="Century Gothic"/>
        </w:rPr>
        <w:t>di</w:t>
      </w:r>
      <w:r w:rsidR="000D0404">
        <w:rPr>
          <w:rFonts w:ascii="Century Gothic" w:hAnsi="Century Gothic"/>
        </w:rPr>
        <w:t>mostrar</w:t>
      </w:r>
      <w:r w:rsidR="00405531">
        <w:rPr>
          <w:rFonts w:ascii="Century Gothic" w:hAnsi="Century Gothic"/>
        </w:rPr>
        <w:t>si</w:t>
      </w:r>
      <w:r w:rsidR="000D0404">
        <w:rPr>
          <w:rFonts w:ascii="Century Gothic" w:hAnsi="Century Gothic"/>
        </w:rPr>
        <w:t xml:space="preserve"> </w:t>
      </w:r>
      <w:r w:rsidR="00256008" w:rsidRPr="002653E7">
        <w:rPr>
          <w:rFonts w:ascii="Century Gothic" w:hAnsi="Century Gothic"/>
        </w:rPr>
        <w:t>quelli di più solido radicamento della contrattazione social</w:t>
      </w:r>
      <w:r w:rsidR="00256008" w:rsidRPr="00FC34CA">
        <w:rPr>
          <w:rFonts w:ascii="Century Gothic" w:hAnsi="Century Gothic"/>
        </w:rPr>
        <w:t>e</w:t>
      </w:r>
      <w:r w:rsidR="00256008">
        <w:rPr>
          <w:rFonts w:ascii="Century Gothic" w:hAnsi="Century Gothic"/>
        </w:rPr>
        <w:t>.</w:t>
      </w:r>
    </w:p>
    <w:p w:rsidR="00F56B17" w:rsidRDefault="00F56B17" w:rsidP="00256008">
      <w:pPr>
        <w:jc w:val="both"/>
        <w:rPr>
          <w:rFonts w:ascii="Century Gothic" w:hAnsi="Century Gothic"/>
        </w:rPr>
      </w:pPr>
    </w:p>
    <w:p w:rsidR="00256008" w:rsidRDefault="00256008" w:rsidP="00256008">
      <w:pPr>
        <w:rPr>
          <w:rFonts w:ascii="Century Gothic" w:hAnsi="Century Gothic"/>
          <w:b/>
        </w:rPr>
      </w:pPr>
      <w:r>
        <w:rPr>
          <w:rFonts w:ascii="Century Gothic" w:hAnsi="Century Gothic"/>
          <w:b/>
        </w:rPr>
        <w:t>Tab</w:t>
      </w:r>
      <w:r w:rsidRPr="0035601B">
        <w:rPr>
          <w:rFonts w:ascii="Century Gothic" w:hAnsi="Century Gothic"/>
          <w:b/>
        </w:rPr>
        <w:t xml:space="preserve">. n. </w:t>
      </w:r>
      <w:r>
        <w:rPr>
          <w:rFonts w:ascii="Century Gothic" w:hAnsi="Century Gothic"/>
          <w:b/>
        </w:rPr>
        <w:t xml:space="preserve">8 </w:t>
      </w:r>
      <w:r w:rsidRPr="0035601B">
        <w:rPr>
          <w:rFonts w:ascii="Century Gothic" w:hAnsi="Century Gothic"/>
          <w:b/>
        </w:rPr>
        <w:t xml:space="preserve">- </w:t>
      </w:r>
      <w:r>
        <w:rPr>
          <w:rFonts w:ascii="Century Gothic" w:hAnsi="Century Gothic"/>
          <w:b/>
        </w:rPr>
        <w:t>C</w:t>
      </w:r>
      <w:r w:rsidRPr="0035601B">
        <w:rPr>
          <w:rFonts w:ascii="Century Gothic" w:hAnsi="Century Gothic"/>
          <w:b/>
        </w:rPr>
        <w:t>omuni coperti da accordi  per classi di ampiezza demografica</w:t>
      </w:r>
      <w:r>
        <w:rPr>
          <w:rFonts w:ascii="Century Gothic" w:hAnsi="Century Gothic"/>
          <w:b/>
        </w:rPr>
        <w:t xml:space="preserve"> - Variazione % 2012-201</w:t>
      </w:r>
      <w:r w:rsidR="000D0404">
        <w:rPr>
          <w:rFonts w:ascii="Century Gothic" w:hAnsi="Century Gothic"/>
          <w:b/>
        </w:rPr>
        <w:t xml:space="preserve">5, </w:t>
      </w:r>
      <w:r w:rsidR="00405531">
        <w:rPr>
          <w:rFonts w:ascii="Century Gothic" w:hAnsi="Century Gothic"/>
          <w:b/>
        </w:rPr>
        <w:t xml:space="preserve">2012-2014, </w:t>
      </w:r>
      <w:r w:rsidR="000D0404">
        <w:rPr>
          <w:rFonts w:ascii="Century Gothic" w:hAnsi="Century Gothic"/>
          <w:b/>
        </w:rPr>
        <w:t>2014-2015</w:t>
      </w:r>
    </w:p>
    <w:p w:rsidR="000D0404" w:rsidRDefault="000D0404" w:rsidP="00256008">
      <w:pPr>
        <w:rPr>
          <w:rFonts w:ascii="Century Gothic" w:hAnsi="Century Gothic"/>
          <w:b/>
        </w:rPr>
      </w:pPr>
    </w:p>
    <w:tbl>
      <w:tblPr>
        <w:tblW w:w="8572" w:type="dxa"/>
        <w:tblInd w:w="70" w:type="dxa"/>
        <w:tblCellMar>
          <w:left w:w="70" w:type="dxa"/>
          <w:right w:w="70" w:type="dxa"/>
        </w:tblCellMar>
        <w:tblLook w:val="04A0" w:firstRow="1" w:lastRow="0" w:firstColumn="1" w:lastColumn="0" w:noHBand="0" w:noVBand="1"/>
      </w:tblPr>
      <w:tblGrid>
        <w:gridCol w:w="3576"/>
        <w:gridCol w:w="1666"/>
        <w:gridCol w:w="1665"/>
        <w:gridCol w:w="1665"/>
      </w:tblGrid>
      <w:tr w:rsidR="00405531" w:rsidRPr="00405531" w:rsidTr="00405531">
        <w:trPr>
          <w:trHeight w:val="345"/>
        </w:trPr>
        <w:tc>
          <w:tcPr>
            <w:tcW w:w="3576" w:type="dxa"/>
            <w:tcBorders>
              <w:top w:val="nil"/>
              <w:left w:val="nil"/>
              <w:bottom w:val="nil"/>
              <w:right w:val="nil"/>
            </w:tcBorders>
            <w:shd w:val="clear" w:color="000000" w:fill="2E75B6"/>
            <w:noWrap/>
            <w:vAlign w:val="bottom"/>
            <w:hideMark/>
          </w:tcPr>
          <w:p w:rsidR="00405531" w:rsidRPr="00405531" w:rsidRDefault="00405531" w:rsidP="00405531">
            <w:pPr>
              <w:spacing w:line="240" w:lineRule="auto"/>
              <w:jc w:val="center"/>
              <w:rPr>
                <w:rFonts w:ascii="Century Gothic" w:hAnsi="Century Gothic"/>
                <w:color w:val="000000"/>
                <w:lang w:eastAsia="it-IT"/>
              </w:rPr>
            </w:pPr>
            <w:r w:rsidRPr="00405531">
              <w:rPr>
                <w:rFonts w:ascii="Century Gothic" w:hAnsi="Century Gothic"/>
                <w:color w:val="000000"/>
                <w:lang w:eastAsia="it-IT"/>
              </w:rPr>
              <w:t> </w:t>
            </w:r>
          </w:p>
        </w:tc>
        <w:tc>
          <w:tcPr>
            <w:tcW w:w="4996" w:type="dxa"/>
            <w:gridSpan w:val="3"/>
            <w:tcBorders>
              <w:top w:val="nil"/>
              <w:left w:val="nil"/>
              <w:bottom w:val="single" w:sz="8" w:space="0" w:color="4F81BD"/>
              <w:right w:val="nil"/>
            </w:tcBorders>
            <w:shd w:val="clear" w:color="000000" w:fill="2E75B6"/>
            <w:noWrap/>
            <w:vAlign w:val="bottom"/>
            <w:hideMark/>
          </w:tcPr>
          <w:p w:rsidR="00405531" w:rsidRPr="00405531" w:rsidRDefault="00405531" w:rsidP="00405531">
            <w:pPr>
              <w:spacing w:line="240" w:lineRule="auto"/>
              <w:jc w:val="center"/>
              <w:rPr>
                <w:rFonts w:ascii="Century Gothic" w:hAnsi="Century Gothic"/>
                <w:b/>
                <w:bCs/>
                <w:color w:val="000000"/>
                <w:lang w:eastAsia="it-IT"/>
              </w:rPr>
            </w:pPr>
            <w:r w:rsidRPr="00405531">
              <w:rPr>
                <w:rFonts w:ascii="Century Gothic" w:hAnsi="Century Gothic"/>
                <w:b/>
                <w:bCs/>
                <w:color w:val="000000"/>
                <w:lang w:eastAsia="it-IT"/>
              </w:rPr>
              <w:t>Variazione %</w:t>
            </w:r>
          </w:p>
        </w:tc>
      </w:tr>
      <w:tr w:rsidR="00405531" w:rsidRPr="00405531" w:rsidTr="00405531">
        <w:trPr>
          <w:trHeight w:val="600"/>
        </w:trPr>
        <w:tc>
          <w:tcPr>
            <w:tcW w:w="3576" w:type="dxa"/>
            <w:tcBorders>
              <w:top w:val="single" w:sz="8" w:space="0" w:color="4F81BD"/>
              <w:left w:val="single" w:sz="8" w:space="0" w:color="4F81BD"/>
              <w:bottom w:val="single" w:sz="8" w:space="0" w:color="4F81BD"/>
              <w:right w:val="single" w:sz="8" w:space="0" w:color="4F81BD"/>
            </w:tcBorders>
            <w:shd w:val="clear" w:color="000000" w:fill="2E75B6"/>
            <w:noWrap/>
            <w:vAlign w:val="bottom"/>
            <w:hideMark/>
          </w:tcPr>
          <w:p w:rsidR="00405531" w:rsidRPr="00405531" w:rsidRDefault="00405531" w:rsidP="00405531">
            <w:pPr>
              <w:spacing w:line="240" w:lineRule="auto"/>
              <w:rPr>
                <w:color w:val="000000"/>
                <w:lang w:eastAsia="it-IT"/>
              </w:rPr>
            </w:pPr>
            <w:r w:rsidRPr="00405531">
              <w:rPr>
                <w:color w:val="000000"/>
                <w:lang w:eastAsia="it-IT"/>
              </w:rPr>
              <w:t> </w:t>
            </w:r>
          </w:p>
        </w:tc>
        <w:tc>
          <w:tcPr>
            <w:tcW w:w="1666" w:type="dxa"/>
            <w:tcBorders>
              <w:top w:val="nil"/>
              <w:left w:val="nil"/>
              <w:bottom w:val="single" w:sz="8" w:space="0" w:color="4F81BD"/>
              <w:right w:val="single" w:sz="8" w:space="0" w:color="4F81BD"/>
            </w:tcBorders>
            <w:shd w:val="clear" w:color="000000" w:fill="2E75B6"/>
            <w:vAlign w:val="bottom"/>
            <w:hideMark/>
          </w:tcPr>
          <w:p w:rsidR="00405531" w:rsidRPr="00405531" w:rsidRDefault="00405531" w:rsidP="00405531">
            <w:pPr>
              <w:spacing w:line="240" w:lineRule="auto"/>
              <w:jc w:val="center"/>
              <w:rPr>
                <w:rFonts w:ascii="Century Gothic" w:hAnsi="Century Gothic"/>
                <w:b/>
                <w:bCs/>
                <w:color w:val="000000"/>
                <w:lang w:eastAsia="it-IT"/>
              </w:rPr>
            </w:pPr>
            <w:r w:rsidRPr="00405531">
              <w:rPr>
                <w:rFonts w:ascii="Century Gothic" w:hAnsi="Century Gothic"/>
                <w:b/>
                <w:bCs/>
                <w:color w:val="000000"/>
                <w:lang w:eastAsia="it-IT"/>
              </w:rPr>
              <w:t xml:space="preserve"> 2012-2014</w:t>
            </w:r>
          </w:p>
        </w:tc>
        <w:tc>
          <w:tcPr>
            <w:tcW w:w="1665" w:type="dxa"/>
            <w:tcBorders>
              <w:top w:val="nil"/>
              <w:left w:val="nil"/>
              <w:bottom w:val="single" w:sz="8" w:space="0" w:color="4F81BD"/>
              <w:right w:val="single" w:sz="8" w:space="0" w:color="4F81BD"/>
            </w:tcBorders>
            <w:shd w:val="clear" w:color="000000" w:fill="2E75B6"/>
            <w:vAlign w:val="bottom"/>
            <w:hideMark/>
          </w:tcPr>
          <w:p w:rsidR="00405531" w:rsidRPr="00405531" w:rsidRDefault="00405531" w:rsidP="00405531">
            <w:pPr>
              <w:spacing w:line="240" w:lineRule="auto"/>
              <w:jc w:val="center"/>
              <w:rPr>
                <w:rFonts w:ascii="Century Gothic" w:hAnsi="Century Gothic"/>
                <w:b/>
                <w:bCs/>
                <w:color w:val="000000"/>
                <w:lang w:eastAsia="it-IT"/>
              </w:rPr>
            </w:pPr>
            <w:r w:rsidRPr="00405531">
              <w:rPr>
                <w:rFonts w:ascii="Century Gothic" w:hAnsi="Century Gothic"/>
                <w:b/>
                <w:bCs/>
                <w:color w:val="000000"/>
                <w:lang w:eastAsia="it-IT"/>
              </w:rPr>
              <w:t xml:space="preserve"> 2012-2015</w:t>
            </w:r>
          </w:p>
        </w:tc>
        <w:tc>
          <w:tcPr>
            <w:tcW w:w="1665" w:type="dxa"/>
            <w:tcBorders>
              <w:top w:val="nil"/>
              <w:left w:val="nil"/>
              <w:bottom w:val="nil"/>
              <w:right w:val="single" w:sz="8" w:space="0" w:color="4F81BD"/>
            </w:tcBorders>
            <w:shd w:val="clear" w:color="000000" w:fill="2E75B6"/>
            <w:vAlign w:val="bottom"/>
            <w:hideMark/>
          </w:tcPr>
          <w:p w:rsidR="00405531" w:rsidRPr="00405531" w:rsidRDefault="00405531" w:rsidP="00405531">
            <w:pPr>
              <w:spacing w:line="240" w:lineRule="auto"/>
              <w:jc w:val="center"/>
              <w:rPr>
                <w:rFonts w:ascii="Century Gothic" w:hAnsi="Century Gothic"/>
                <w:b/>
                <w:bCs/>
                <w:color w:val="000000"/>
                <w:lang w:eastAsia="it-IT"/>
              </w:rPr>
            </w:pPr>
            <w:r w:rsidRPr="00405531">
              <w:rPr>
                <w:rFonts w:ascii="Century Gothic" w:hAnsi="Century Gothic"/>
                <w:b/>
                <w:bCs/>
                <w:color w:val="000000"/>
                <w:lang w:eastAsia="it-IT"/>
              </w:rPr>
              <w:t xml:space="preserve"> 2014-2015</w:t>
            </w:r>
          </w:p>
        </w:tc>
      </w:tr>
      <w:tr w:rsidR="00405531" w:rsidRPr="00405531" w:rsidTr="00405531">
        <w:trPr>
          <w:trHeight w:val="345"/>
        </w:trPr>
        <w:tc>
          <w:tcPr>
            <w:tcW w:w="3576" w:type="dxa"/>
            <w:tcBorders>
              <w:top w:val="nil"/>
              <w:left w:val="single" w:sz="8" w:space="0" w:color="4F81BD"/>
              <w:bottom w:val="single" w:sz="8" w:space="0" w:color="4F81BD"/>
              <w:right w:val="single" w:sz="8" w:space="0" w:color="4F81BD"/>
            </w:tcBorders>
            <w:shd w:val="clear" w:color="auto" w:fill="auto"/>
            <w:noWrap/>
            <w:vAlign w:val="bottom"/>
            <w:hideMark/>
          </w:tcPr>
          <w:p w:rsidR="00405531" w:rsidRPr="00405531" w:rsidRDefault="00405531" w:rsidP="00405531">
            <w:pPr>
              <w:spacing w:line="240" w:lineRule="auto"/>
              <w:rPr>
                <w:rFonts w:ascii="Century Gothic" w:hAnsi="Century Gothic"/>
                <w:color w:val="000000"/>
                <w:sz w:val="16"/>
                <w:szCs w:val="16"/>
                <w:lang w:eastAsia="it-IT"/>
              </w:rPr>
            </w:pPr>
            <w:r w:rsidRPr="00405531">
              <w:rPr>
                <w:rFonts w:ascii="Century Gothic" w:hAnsi="Century Gothic"/>
                <w:color w:val="000000"/>
                <w:sz w:val="16"/>
                <w:szCs w:val="16"/>
                <w:lang w:eastAsia="it-IT"/>
              </w:rPr>
              <w:t>comuni piccolissimi (1)</w:t>
            </w:r>
          </w:p>
        </w:tc>
        <w:tc>
          <w:tcPr>
            <w:tcW w:w="1666" w:type="dxa"/>
            <w:tcBorders>
              <w:top w:val="nil"/>
              <w:left w:val="nil"/>
              <w:bottom w:val="single" w:sz="8" w:space="0" w:color="4F81BD"/>
              <w:right w:val="single" w:sz="8" w:space="0" w:color="4F81BD"/>
            </w:tcBorders>
            <w:shd w:val="clear" w:color="auto" w:fill="auto"/>
            <w:noWrap/>
            <w:vAlign w:val="bottom"/>
            <w:hideMark/>
          </w:tcPr>
          <w:p w:rsidR="00405531" w:rsidRPr="00405531" w:rsidRDefault="00405531" w:rsidP="00405531">
            <w:pPr>
              <w:spacing w:line="240" w:lineRule="auto"/>
              <w:jc w:val="center"/>
              <w:rPr>
                <w:rFonts w:ascii="Century Gothic" w:hAnsi="Century Gothic"/>
                <w:color w:val="000000"/>
                <w:lang w:eastAsia="it-IT"/>
              </w:rPr>
            </w:pPr>
            <w:r w:rsidRPr="00405531">
              <w:rPr>
                <w:rFonts w:ascii="Century Gothic" w:hAnsi="Century Gothic"/>
                <w:color w:val="000000"/>
                <w:lang w:eastAsia="it-IT"/>
              </w:rPr>
              <w:t>-63%</w:t>
            </w:r>
          </w:p>
        </w:tc>
        <w:tc>
          <w:tcPr>
            <w:tcW w:w="1665" w:type="dxa"/>
            <w:tcBorders>
              <w:top w:val="nil"/>
              <w:left w:val="nil"/>
              <w:bottom w:val="single" w:sz="8" w:space="0" w:color="4F81BD"/>
              <w:right w:val="nil"/>
            </w:tcBorders>
            <w:shd w:val="clear" w:color="auto" w:fill="auto"/>
            <w:noWrap/>
            <w:vAlign w:val="bottom"/>
            <w:hideMark/>
          </w:tcPr>
          <w:p w:rsidR="00405531" w:rsidRPr="00405531" w:rsidRDefault="00405531" w:rsidP="00405531">
            <w:pPr>
              <w:spacing w:line="240" w:lineRule="auto"/>
              <w:jc w:val="center"/>
              <w:rPr>
                <w:rFonts w:ascii="Century Gothic" w:hAnsi="Century Gothic"/>
                <w:color w:val="000000"/>
                <w:lang w:eastAsia="it-IT"/>
              </w:rPr>
            </w:pPr>
            <w:r w:rsidRPr="00405531">
              <w:rPr>
                <w:rFonts w:ascii="Century Gothic" w:hAnsi="Century Gothic"/>
                <w:color w:val="000000"/>
                <w:lang w:eastAsia="it-IT"/>
              </w:rPr>
              <w:t>-45%</w:t>
            </w:r>
          </w:p>
        </w:tc>
        <w:tc>
          <w:tcPr>
            <w:tcW w:w="1665" w:type="dxa"/>
            <w:tcBorders>
              <w:top w:val="single" w:sz="8" w:space="0" w:color="2F5497"/>
              <w:left w:val="single" w:sz="8" w:space="0" w:color="2F5497"/>
              <w:bottom w:val="single" w:sz="8" w:space="0" w:color="2F5497"/>
              <w:right w:val="single" w:sz="8" w:space="0" w:color="2F5497"/>
            </w:tcBorders>
            <w:shd w:val="clear" w:color="auto" w:fill="auto"/>
            <w:noWrap/>
            <w:vAlign w:val="bottom"/>
            <w:hideMark/>
          </w:tcPr>
          <w:p w:rsidR="00405531" w:rsidRPr="00405531" w:rsidRDefault="00405531" w:rsidP="00405531">
            <w:pPr>
              <w:spacing w:line="240" w:lineRule="auto"/>
              <w:jc w:val="right"/>
              <w:rPr>
                <w:rFonts w:ascii="Century Gothic" w:hAnsi="Century Gothic"/>
                <w:color w:val="000000"/>
                <w:lang w:eastAsia="it-IT"/>
              </w:rPr>
            </w:pPr>
            <w:r w:rsidRPr="00405531">
              <w:rPr>
                <w:rFonts w:ascii="Century Gothic" w:hAnsi="Century Gothic"/>
                <w:color w:val="000000"/>
                <w:lang w:eastAsia="it-IT"/>
              </w:rPr>
              <w:t>18%</w:t>
            </w:r>
          </w:p>
        </w:tc>
      </w:tr>
      <w:tr w:rsidR="00405531" w:rsidRPr="00405531" w:rsidTr="00405531">
        <w:trPr>
          <w:trHeight w:val="345"/>
        </w:trPr>
        <w:tc>
          <w:tcPr>
            <w:tcW w:w="3576" w:type="dxa"/>
            <w:tcBorders>
              <w:top w:val="nil"/>
              <w:left w:val="single" w:sz="8" w:space="0" w:color="4F81BD"/>
              <w:bottom w:val="single" w:sz="8" w:space="0" w:color="4F81BD"/>
              <w:right w:val="single" w:sz="8" w:space="0" w:color="4F81BD"/>
            </w:tcBorders>
            <w:shd w:val="clear" w:color="auto" w:fill="auto"/>
            <w:noWrap/>
            <w:vAlign w:val="bottom"/>
            <w:hideMark/>
          </w:tcPr>
          <w:p w:rsidR="00405531" w:rsidRPr="00405531" w:rsidRDefault="00405531" w:rsidP="00405531">
            <w:pPr>
              <w:spacing w:line="240" w:lineRule="auto"/>
              <w:rPr>
                <w:rFonts w:ascii="Century Gothic" w:hAnsi="Century Gothic"/>
                <w:color w:val="000000"/>
                <w:sz w:val="16"/>
                <w:szCs w:val="16"/>
                <w:lang w:eastAsia="it-IT"/>
              </w:rPr>
            </w:pPr>
            <w:r w:rsidRPr="00405531">
              <w:rPr>
                <w:rFonts w:ascii="Century Gothic" w:hAnsi="Century Gothic"/>
                <w:color w:val="000000"/>
                <w:sz w:val="16"/>
                <w:szCs w:val="16"/>
                <w:lang w:eastAsia="it-IT"/>
              </w:rPr>
              <w:t>comuni piccoli (2)</w:t>
            </w:r>
          </w:p>
        </w:tc>
        <w:tc>
          <w:tcPr>
            <w:tcW w:w="1666" w:type="dxa"/>
            <w:tcBorders>
              <w:top w:val="nil"/>
              <w:left w:val="nil"/>
              <w:bottom w:val="single" w:sz="8" w:space="0" w:color="4F81BD"/>
              <w:right w:val="single" w:sz="8" w:space="0" w:color="4F81BD"/>
            </w:tcBorders>
            <w:shd w:val="clear" w:color="auto" w:fill="auto"/>
            <w:noWrap/>
            <w:vAlign w:val="bottom"/>
            <w:hideMark/>
          </w:tcPr>
          <w:p w:rsidR="00405531" w:rsidRPr="00405531" w:rsidRDefault="00405531" w:rsidP="00405531">
            <w:pPr>
              <w:spacing w:line="240" w:lineRule="auto"/>
              <w:jc w:val="center"/>
              <w:rPr>
                <w:rFonts w:ascii="Century Gothic" w:hAnsi="Century Gothic"/>
                <w:color w:val="000000"/>
                <w:lang w:eastAsia="it-IT"/>
              </w:rPr>
            </w:pPr>
            <w:r w:rsidRPr="00405531">
              <w:rPr>
                <w:rFonts w:ascii="Century Gothic" w:hAnsi="Century Gothic"/>
                <w:color w:val="000000"/>
                <w:lang w:eastAsia="it-IT"/>
              </w:rPr>
              <w:t>-41%</w:t>
            </w:r>
          </w:p>
        </w:tc>
        <w:tc>
          <w:tcPr>
            <w:tcW w:w="1665" w:type="dxa"/>
            <w:tcBorders>
              <w:top w:val="nil"/>
              <w:left w:val="nil"/>
              <w:bottom w:val="single" w:sz="8" w:space="0" w:color="4F81BD"/>
              <w:right w:val="nil"/>
            </w:tcBorders>
            <w:shd w:val="clear" w:color="auto" w:fill="auto"/>
            <w:noWrap/>
            <w:vAlign w:val="bottom"/>
            <w:hideMark/>
          </w:tcPr>
          <w:p w:rsidR="00405531" w:rsidRPr="00405531" w:rsidRDefault="00405531" w:rsidP="006E1D9B">
            <w:pPr>
              <w:spacing w:line="240" w:lineRule="auto"/>
              <w:jc w:val="center"/>
              <w:rPr>
                <w:rFonts w:ascii="Century Gothic" w:hAnsi="Century Gothic"/>
                <w:color w:val="000000"/>
                <w:lang w:eastAsia="it-IT"/>
              </w:rPr>
            </w:pPr>
            <w:r w:rsidRPr="00405531">
              <w:rPr>
                <w:rFonts w:ascii="Century Gothic" w:hAnsi="Century Gothic"/>
                <w:color w:val="000000"/>
                <w:lang w:eastAsia="it-IT"/>
              </w:rPr>
              <w:t>-3</w:t>
            </w:r>
            <w:r w:rsidR="006E1D9B">
              <w:rPr>
                <w:rFonts w:ascii="Century Gothic" w:hAnsi="Century Gothic"/>
                <w:color w:val="000000"/>
                <w:lang w:eastAsia="it-IT"/>
              </w:rPr>
              <w:t>2</w:t>
            </w:r>
            <w:r w:rsidRPr="00405531">
              <w:rPr>
                <w:rFonts w:ascii="Century Gothic" w:hAnsi="Century Gothic"/>
                <w:color w:val="000000"/>
                <w:lang w:eastAsia="it-IT"/>
              </w:rPr>
              <w:t>%</w:t>
            </w:r>
          </w:p>
        </w:tc>
        <w:tc>
          <w:tcPr>
            <w:tcW w:w="1665" w:type="dxa"/>
            <w:tcBorders>
              <w:top w:val="nil"/>
              <w:left w:val="single" w:sz="8" w:space="0" w:color="2F5497"/>
              <w:bottom w:val="single" w:sz="8" w:space="0" w:color="2F5497"/>
              <w:right w:val="single" w:sz="8" w:space="0" w:color="2F5497"/>
            </w:tcBorders>
            <w:shd w:val="clear" w:color="auto" w:fill="auto"/>
            <w:noWrap/>
            <w:vAlign w:val="bottom"/>
            <w:hideMark/>
          </w:tcPr>
          <w:p w:rsidR="00405531" w:rsidRPr="00405531" w:rsidRDefault="006E1D9B" w:rsidP="00405531">
            <w:pPr>
              <w:spacing w:line="240" w:lineRule="auto"/>
              <w:jc w:val="right"/>
              <w:rPr>
                <w:rFonts w:ascii="Century Gothic" w:hAnsi="Century Gothic"/>
                <w:color w:val="000000"/>
                <w:lang w:eastAsia="it-IT"/>
              </w:rPr>
            </w:pPr>
            <w:r>
              <w:rPr>
                <w:rFonts w:ascii="Century Gothic" w:hAnsi="Century Gothic"/>
                <w:color w:val="000000"/>
                <w:lang w:eastAsia="it-IT"/>
              </w:rPr>
              <w:t>9</w:t>
            </w:r>
            <w:r w:rsidR="00405531" w:rsidRPr="00405531">
              <w:rPr>
                <w:rFonts w:ascii="Century Gothic" w:hAnsi="Century Gothic"/>
                <w:color w:val="000000"/>
                <w:lang w:eastAsia="it-IT"/>
              </w:rPr>
              <w:t>%</w:t>
            </w:r>
          </w:p>
        </w:tc>
      </w:tr>
      <w:tr w:rsidR="00405531" w:rsidRPr="00405531" w:rsidTr="00405531">
        <w:trPr>
          <w:trHeight w:val="345"/>
        </w:trPr>
        <w:tc>
          <w:tcPr>
            <w:tcW w:w="3576" w:type="dxa"/>
            <w:tcBorders>
              <w:top w:val="nil"/>
              <w:left w:val="single" w:sz="8" w:space="0" w:color="4F81BD"/>
              <w:bottom w:val="single" w:sz="8" w:space="0" w:color="4F81BD"/>
              <w:right w:val="single" w:sz="8" w:space="0" w:color="4F81BD"/>
            </w:tcBorders>
            <w:shd w:val="clear" w:color="auto" w:fill="auto"/>
            <w:noWrap/>
            <w:vAlign w:val="bottom"/>
            <w:hideMark/>
          </w:tcPr>
          <w:p w:rsidR="00405531" w:rsidRPr="00405531" w:rsidRDefault="00405531" w:rsidP="00405531">
            <w:pPr>
              <w:spacing w:line="240" w:lineRule="auto"/>
              <w:rPr>
                <w:rFonts w:ascii="Century Gothic" w:hAnsi="Century Gothic"/>
                <w:color w:val="000000"/>
                <w:sz w:val="16"/>
                <w:szCs w:val="16"/>
                <w:lang w:eastAsia="it-IT"/>
              </w:rPr>
            </w:pPr>
            <w:r w:rsidRPr="00405531">
              <w:rPr>
                <w:rFonts w:ascii="Century Gothic" w:hAnsi="Century Gothic"/>
                <w:color w:val="000000"/>
                <w:sz w:val="16"/>
                <w:szCs w:val="16"/>
                <w:lang w:eastAsia="it-IT"/>
              </w:rPr>
              <w:t>comuni medio-piccoli (3)</w:t>
            </w:r>
          </w:p>
        </w:tc>
        <w:tc>
          <w:tcPr>
            <w:tcW w:w="1666" w:type="dxa"/>
            <w:tcBorders>
              <w:top w:val="nil"/>
              <w:left w:val="nil"/>
              <w:bottom w:val="single" w:sz="8" w:space="0" w:color="4F81BD"/>
              <w:right w:val="single" w:sz="8" w:space="0" w:color="4F81BD"/>
            </w:tcBorders>
            <w:shd w:val="clear" w:color="auto" w:fill="auto"/>
            <w:noWrap/>
            <w:vAlign w:val="bottom"/>
            <w:hideMark/>
          </w:tcPr>
          <w:p w:rsidR="00405531" w:rsidRPr="00405531" w:rsidRDefault="00405531" w:rsidP="00405531">
            <w:pPr>
              <w:spacing w:line="240" w:lineRule="auto"/>
              <w:jc w:val="center"/>
              <w:rPr>
                <w:rFonts w:ascii="Century Gothic" w:hAnsi="Century Gothic"/>
                <w:color w:val="000000"/>
                <w:lang w:eastAsia="it-IT"/>
              </w:rPr>
            </w:pPr>
            <w:r w:rsidRPr="00405531">
              <w:rPr>
                <w:rFonts w:ascii="Century Gothic" w:hAnsi="Century Gothic"/>
                <w:color w:val="000000"/>
                <w:lang w:eastAsia="it-IT"/>
              </w:rPr>
              <w:t>-28%</w:t>
            </w:r>
          </w:p>
        </w:tc>
        <w:tc>
          <w:tcPr>
            <w:tcW w:w="1665" w:type="dxa"/>
            <w:tcBorders>
              <w:top w:val="nil"/>
              <w:left w:val="nil"/>
              <w:bottom w:val="single" w:sz="8" w:space="0" w:color="2F5497"/>
              <w:right w:val="nil"/>
            </w:tcBorders>
            <w:shd w:val="clear" w:color="auto" w:fill="auto"/>
            <w:noWrap/>
            <w:vAlign w:val="bottom"/>
            <w:hideMark/>
          </w:tcPr>
          <w:p w:rsidR="00405531" w:rsidRPr="00405531" w:rsidRDefault="00405531" w:rsidP="00405531">
            <w:pPr>
              <w:spacing w:line="240" w:lineRule="auto"/>
              <w:jc w:val="center"/>
              <w:rPr>
                <w:rFonts w:ascii="Century Gothic" w:hAnsi="Century Gothic"/>
                <w:color w:val="000000"/>
                <w:lang w:eastAsia="it-IT"/>
              </w:rPr>
            </w:pPr>
            <w:r w:rsidRPr="00405531">
              <w:rPr>
                <w:rFonts w:ascii="Century Gothic" w:hAnsi="Century Gothic"/>
                <w:color w:val="000000"/>
                <w:lang w:eastAsia="it-IT"/>
              </w:rPr>
              <w:t>-18%</w:t>
            </w:r>
          </w:p>
        </w:tc>
        <w:tc>
          <w:tcPr>
            <w:tcW w:w="1665" w:type="dxa"/>
            <w:tcBorders>
              <w:top w:val="nil"/>
              <w:left w:val="single" w:sz="8" w:space="0" w:color="2F5497"/>
              <w:bottom w:val="single" w:sz="8" w:space="0" w:color="2F5497"/>
              <w:right w:val="single" w:sz="8" w:space="0" w:color="2F5497"/>
            </w:tcBorders>
            <w:shd w:val="clear" w:color="auto" w:fill="auto"/>
            <w:noWrap/>
            <w:vAlign w:val="bottom"/>
            <w:hideMark/>
          </w:tcPr>
          <w:p w:rsidR="00405531" w:rsidRPr="00405531" w:rsidRDefault="00405531" w:rsidP="00405531">
            <w:pPr>
              <w:spacing w:line="240" w:lineRule="auto"/>
              <w:jc w:val="right"/>
              <w:rPr>
                <w:rFonts w:ascii="Century Gothic" w:hAnsi="Century Gothic"/>
                <w:color w:val="000000"/>
                <w:lang w:eastAsia="it-IT"/>
              </w:rPr>
            </w:pPr>
            <w:r w:rsidRPr="00405531">
              <w:rPr>
                <w:rFonts w:ascii="Century Gothic" w:hAnsi="Century Gothic"/>
                <w:color w:val="000000"/>
                <w:lang w:eastAsia="it-IT"/>
              </w:rPr>
              <w:t>11%</w:t>
            </w:r>
          </w:p>
        </w:tc>
      </w:tr>
      <w:tr w:rsidR="00CD5EE5" w:rsidRPr="00405531" w:rsidTr="00405531">
        <w:trPr>
          <w:trHeight w:val="345"/>
        </w:trPr>
        <w:tc>
          <w:tcPr>
            <w:tcW w:w="3576" w:type="dxa"/>
            <w:tcBorders>
              <w:top w:val="nil"/>
              <w:left w:val="single" w:sz="8" w:space="0" w:color="4F81BD"/>
              <w:bottom w:val="single" w:sz="8" w:space="0" w:color="4F81BD"/>
              <w:right w:val="single" w:sz="8" w:space="0" w:color="4F81BD"/>
            </w:tcBorders>
            <w:shd w:val="clear" w:color="auto" w:fill="auto"/>
            <w:noWrap/>
            <w:vAlign w:val="bottom"/>
            <w:hideMark/>
          </w:tcPr>
          <w:p w:rsidR="00CD5EE5" w:rsidRPr="00405531" w:rsidRDefault="00CD5EE5" w:rsidP="00405531">
            <w:pPr>
              <w:spacing w:line="240" w:lineRule="auto"/>
              <w:rPr>
                <w:rFonts w:ascii="Century Gothic" w:hAnsi="Century Gothic"/>
                <w:color w:val="000000"/>
                <w:sz w:val="16"/>
                <w:szCs w:val="16"/>
                <w:lang w:eastAsia="it-IT"/>
              </w:rPr>
            </w:pPr>
            <w:r w:rsidRPr="00405531">
              <w:rPr>
                <w:rFonts w:ascii="Century Gothic" w:hAnsi="Century Gothic"/>
                <w:color w:val="000000"/>
                <w:sz w:val="16"/>
                <w:szCs w:val="16"/>
                <w:lang w:eastAsia="it-IT"/>
              </w:rPr>
              <w:t>comuni medi (4)</w:t>
            </w:r>
          </w:p>
        </w:tc>
        <w:tc>
          <w:tcPr>
            <w:tcW w:w="1666" w:type="dxa"/>
            <w:tcBorders>
              <w:top w:val="nil"/>
              <w:left w:val="nil"/>
              <w:bottom w:val="single" w:sz="8" w:space="0" w:color="4F81BD"/>
              <w:right w:val="single" w:sz="8" w:space="0" w:color="4F81BD"/>
            </w:tcBorders>
            <w:shd w:val="clear" w:color="auto" w:fill="auto"/>
            <w:noWrap/>
            <w:vAlign w:val="bottom"/>
            <w:hideMark/>
          </w:tcPr>
          <w:p w:rsidR="00CD5EE5" w:rsidRPr="00405531" w:rsidRDefault="00CD5EE5" w:rsidP="00405531">
            <w:pPr>
              <w:spacing w:line="240" w:lineRule="auto"/>
              <w:jc w:val="center"/>
              <w:rPr>
                <w:rFonts w:ascii="Century Gothic" w:hAnsi="Century Gothic"/>
                <w:color w:val="000000"/>
                <w:lang w:eastAsia="it-IT"/>
              </w:rPr>
            </w:pPr>
            <w:r w:rsidRPr="00405531">
              <w:rPr>
                <w:rFonts w:ascii="Century Gothic" w:hAnsi="Century Gothic"/>
                <w:color w:val="000000"/>
                <w:lang w:eastAsia="it-IT"/>
              </w:rPr>
              <w:t>-39%</w:t>
            </w:r>
          </w:p>
        </w:tc>
        <w:tc>
          <w:tcPr>
            <w:tcW w:w="1665" w:type="dxa"/>
            <w:tcBorders>
              <w:top w:val="nil"/>
              <w:left w:val="nil"/>
              <w:bottom w:val="single" w:sz="8" w:space="0" w:color="4F81BD"/>
              <w:right w:val="nil"/>
            </w:tcBorders>
            <w:shd w:val="clear" w:color="auto" w:fill="auto"/>
            <w:noWrap/>
            <w:vAlign w:val="bottom"/>
            <w:hideMark/>
          </w:tcPr>
          <w:p w:rsidR="00CD5EE5" w:rsidRDefault="00CD5EE5">
            <w:pPr>
              <w:jc w:val="center"/>
              <w:rPr>
                <w:rFonts w:ascii="Century Gothic" w:hAnsi="Century Gothic"/>
                <w:color w:val="000000"/>
              </w:rPr>
            </w:pPr>
            <w:r>
              <w:rPr>
                <w:rFonts w:ascii="Century Gothic" w:hAnsi="Century Gothic"/>
                <w:color w:val="000000"/>
              </w:rPr>
              <w:t>-24%</w:t>
            </w:r>
          </w:p>
        </w:tc>
        <w:tc>
          <w:tcPr>
            <w:tcW w:w="1665" w:type="dxa"/>
            <w:tcBorders>
              <w:top w:val="nil"/>
              <w:left w:val="single" w:sz="8" w:space="0" w:color="2F5497"/>
              <w:bottom w:val="single" w:sz="8" w:space="0" w:color="2F5497"/>
              <w:right w:val="single" w:sz="8" w:space="0" w:color="2F5497"/>
            </w:tcBorders>
            <w:shd w:val="clear" w:color="auto" w:fill="auto"/>
            <w:noWrap/>
            <w:vAlign w:val="bottom"/>
            <w:hideMark/>
          </w:tcPr>
          <w:p w:rsidR="00CD5EE5" w:rsidRDefault="00CD5EE5">
            <w:pPr>
              <w:jc w:val="right"/>
              <w:rPr>
                <w:rFonts w:ascii="Century Gothic" w:hAnsi="Century Gothic"/>
                <w:color w:val="000000"/>
              </w:rPr>
            </w:pPr>
            <w:r>
              <w:rPr>
                <w:rFonts w:ascii="Century Gothic" w:hAnsi="Century Gothic"/>
                <w:color w:val="000000"/>
              </w:rPr>
              <w:t>15%</w:t>
            </w:r>
          </w:p>
        </w:tc>
      </w:tr>
      <w:tr w:rsidR="00405531" w:rsidRPr="00405531" w:rsidTr="00405531">
        <w:trPr>
          <w:trHeight w:val="345"/>
        </w:trPr>
        <w:tc>
          <w:tcPr>
            <w:tcW w:w="3576" w:type="dxa"/>
            <w:tcBorders>
              <w:top w:val="nil"/>
              <w:left w:val="single" w:sz="8" w:space="0" w:color="4F81BD"/>
              <w:bottom w:val="single" w:sz="8" w:space="0" w:color="4F81BD"/>
              <w:right w:val="single" w:sz="8" w:space="0" w:color="4F81BD"/>
            </w:tcBorders>
            <w:shd w:val="clear" w:color="auto" w:fill="auto"/>
            <w:noWrap/>
            <w:vAlign w:val="bottom"/>
            <w:hideMark/>
          </w:tcPr>
          <w:p w:rsidR="00405531" w:rsidRPr="00405531" w:rsidRDefault="00405531" w:rsidP="00405531">
            <w:pPr>
              <w:spacing w:line="240" w:lineRule="auto"/>
              <w:rPr>
                <w:rFonts w:ascii="Century Gothic" w:hAnsi="Century Gothic"/>
                <w:color w:val="000000"/>
                <w:sz w:val="16"/>
                <w:szCs w:val="16"/>
                <w:lang w:eastAsia="it-IT"/>
              </w:rPr>
            </w:pPr>
            <w:r w:rsidRPr="00405531">
              <w:rPr>
                <w:rFonts w:ascii="Century Gothic" w:hAnsi="Century Gothic"/>
                <w:color w:val="000000"/>
                <w:sz w:val="16"/>
                <w:szCs w:val="16"/>
                <w:lang w:eastAsia="it-IT"/>
              </w:rPr>
              <w:t>comuni grandi (5)</w:t>
            </w:r>
          </w:p>
        </w:tc>
        <w:tc>
          <w:tcPr>
            <w:tcW w:w="1666" w:type="dxa"/>
            <w:tcBorders>
              <w:top w:val="nil"/>
              <w:left w:val="nil"/>
              <w:bottom w:val="single" w:sz="8" w:space="0" w:color="4F81BD"/>
              <w:right w:val="single" w:sz="8" w:space="0" w:color="4F81BD"/>
            </w:tcBorders>
            <w:shd w:val="clear" w:color="auto" w:fill="auto"/>
            <w:noWrap/>
            <w:vAlign w:val="bottom"/>
            <w:hideMark/>
          </w:tcPr>
          <w:p w:rsidR="00405531" w:rsidRPr="00405531" w:rsidRDefault="00405531" w:rsidP="00405531">
            <w:pPr>
              <w:spacing w:line="240" w:lineRule="auto"/>
              <w:jc w:val="center"/>
              <w:rPr>
                <w:rFonts w:ascii="Century Gothic" w:hAnsi="Century Gothic"/>
                <w:color w:val="000000"/>
                <w:lang w:eastAsia="it-IT"/>
              </w:rPr>
            </w:pPr>
            <w:r w:rsidRPr="00405531">
              <w:rPr>
                <w:rFonts w:ascii="Century Gothic" w:hAnsi="Century Gothic"/>
                <w:color w:val="000000"/>
                <w:lang w:eastAsia="it-IT"/>
              </w:rPr>
              <w:t>-52%</w:t>
            </w:r>
          </w:p>
        </w:tc>
        <w:tc>
          <w:tcPr>
            <w:tcW w:w="1665" w:type="dxa"/>
            <w:tcBorders>
              <w:top w:val="nil"/>
              <w:left w:val="nil"/>
              <w:bottom w:val="single" w:sz="8" w:space="0" w:color="4F81BD"/>
              <w:right w:val="nil"/>
            </w:tcBorders>
            <w:shd w:val="clear" w:color="auto" w:fill="auto"/>
            <w:noWrap/>
            <w:vAlign w:val="bottom"/>
            <w:hideMark/>
          </w:tcPr>
          <w:p w:rsidR="00405531" w:rsidRPr="00405531" w:rsidRDefault="00405531" w:rsidP="00405531">
            <w:pPr>
              <w:spacing w:line="240" w:lineRule="auto"/>
              <w:jc w:val="center"/>
              <w:rPr>
                <w:rFonts w:ascii="Century Gothic" w:hAnsi="Century Gothic"/>
                <w:color w:val="000000"/>
                <w:lang w:eastAsia="it-IT"/>
              </w:rPr>
            </w:pPr>
            <w:r w:rsidRPr="00405531">
              <w:rPr>
                <w:rFonts w:ascii="Century Gothic" w:hAnsi="Century Gothic"/>
                <w:color w:val="000000"/>
                <w:lang w:eastAsia="it-IT"/>
              </w:rPr>
              <w:t>-31%</w:t>
            </w:r>
          </w:p>
        </w:tc>
        <w:tc>
          <w:tcPr>
            <w:tcW w:w="1665" w:type="dxa"/>
            <w:tcBorders>
              <w:top w:val="nil"/>
              <w:left w:val="single" w:sz="8" w:space="0" w:color="2F5497"/>
              <w:bottom w:val="single" w:sz="8" w:space="0" w:color="2F5497"/>
              <w:right w:val="single" w:sz="8" w:space="0" w:color="2F5497"/>
            </w:tcBorders>
            <w:shd w:val="clear" w:color="auto" w:fill="auto"/>
            <w:noWrap/>
            <w:vAlign w:val="bottom"/>
            <w:hideMark/>
          </w:tcPr>
          <w:p w:rsidR="00405531" w:rsidRPr="00405531" w:rsidRDefault="00405531" w:rsidP="00405531">
            <w:pPr>
              <w:spacing w:line="240" w:lineRule="auto"/>
              <w:jc w:val="right"/>
              <w:rPr>
                <w:rFonts w:ascii="Century Gothic" w:hAnsi="Century Gothic"/>
                <w:color w:val="000000"/>
                <w:lang w:eastAsia="it-IT"/>
              </w:rPr>
            </w:pPr>
            <w:r w:rsidRPr="00405531">
              <w:rPr>
                <w:rFonts w:ascii="Century Gothic" w:hAnsi="Century Gothic"/>
                <w:color w:val="000000"/>
                <w:lang w:eastAsia="it-IT"/>
              </w:rPr>
              <w:t>21%</w:t>
            </w:r>
          </w:p>
        </w:tc>
      </w:tr>
    </w:tbl>
    <w:p w:rsidR="00405531" w:rsidRDefault="00405531" w:rsidP="00256008">
      <w:pPr>
        <w:rPr>
          <w:rFonts w:ascii="Century Gothic" w:hAnsi="Century Gothic"/>
          <w:b/>
        </w:rPr>
      </w:pPr>
    </w:p>
    <w:p w:rsidR="00232261" w:rsidRDefault="00232261" w:rsidP="00232261">
      <w:pPr>
        <w:jc w:val="both"/>
        <w:rPr>
          <w:rFonts w:ascii="Century Gothic" w:hAnsi="Century Gothic"/>
        </w:rPr>
      </w:pPr>
    </w:p>
    <w:p w:rsidR="00232261" w:rsidRDefault="00232261" w:rsidP="00256008">
      <w:pPr>
        <w:rPr>
          <w:rFonts w:ascii="Century Gothic" w:hAnsi="Century Gothic"/>
        </w:rPr>
      </w:pPr>
    </w:p>
    <w:p w:rsidR="00256008" w:rsidRDefault="00256008" w:rsidP="00256008">
      <w:pPr>
        <w:jc w:val="both"/>
        <w:rPr>
          <w:rFonts w:ascii="Century Gothic" w:hAnsi="Century Gothic"/>
          <w:b/>
        </w:rPr>
      </w:pPr>
      <w:r>
        <w:rPr>
          <w:rFonts w:ascii="Century Gothic" w:hAnsi="Century Gothic"/>
          <w:b/>
        </w:rPr>
        <w:lastRenderedPageBreak/>
        <w:t>3</w:t>
      </w:r>
      <w:r w:rsidRPr="0035601B">
        <w:rPr>
          <w:rFonts w:ascii="Century Gothic" w:hAnsi="Century Gothic"/>
          <w:b/>
        </w:rPr>
        <w:t>.</w:t>
      </w:r>
      <w:r>
        <w:rPr>
          <w:rFonts w:ascii="Century Gothic" w:hAnsi="Century Gothic"/>
          <w:b/>
        </w:rPr>
        <w:t>5.</w:t>
      </w:r>
      <w:r w:rsidRPr="0035601B">
        <w:rPr>
          <w:rFonts w:ascii="Century Gothic" w:hAnsi="Century Gothic"/>
          <w:b/>
        </w:rPr>
        <w:t xml:space="preserve"> </w:t>
      </w:r>
      <w:r>
        <w:rPr>
          <w:rFonts w:ascii="Century Gothic" w:hAnsi="Century Gothic"/>
          <w:b/>
        </w:rPr>
        <w:t>Una panoramica dei territori</w:t>
      </w:r>
    </w:p>
    <w:p w:rsidR="00F56B17" w:rsidRPr="0035601B" w:rsidRDefault="00F56B17" w:rsidP="00256008">
      <w:pPr>
        <w:jc w:val="both"/>
        <w:rPr>
          <w:rFonts w:ascii="Century Gothic" w:hAnsi="Century Gothic"/>
        </w:rPr>
      </w:pPr>
    </w:p>
    <w:p w:rsidR="0082221D" w:rsidRDefault="00256008" w:rsidP="0082221D">
      <w:pPr>
        <w:jc w:val="both"/>
        <w:rPr>
          <w:rFonts w:ascii="Century Gothic" w:hAnsi="Century Gothic"/>
        </w:rPr>
      </w:pPr>
      <w:r>
        <w:rPr>
          <w:rFonts w:ascii="Century Gothic" w:hAnsi="Century Gothic"/>
        </w:rPr>
        <w:t xml:space="preserve">Nella </w:t>
      </w:r>
      <w:r w:rsidRPr="003F6147">
        <w:rPr>
          <w:rFonts w:ascii="Century Gothic" w:hAnsi="Century Gothic"/>
          <w:b/>
          <w:i/>
        </w:rPr>
        <w:t>provincia di Arezzo</w:t>
      </w:r>
      <w:r w:rsidRPr="00A11C95">
        <w:rPr>
          <w:rFonts w:ascii="Century Gothic" w:hAnsi="Century Gothic"/>
          <w:i/>
        </w:rPr>
        <w:t xml:space="preserve"> </w:t>
      </w:r>
      <w:r w:rsidR="00752C5B" w:rsidRPr="00752C5B">
        <w:rPr>
          <w:rFonts w:ascii="Century Gothic" w:hAnsi="Century Gothic"/>
        </w:rPr>
        <w:t>si ver</w:t>
      </w:r>
      <w:r w:rsidR="00752C5B">
        <w:rPr>
          <w:rFonts w:ascii="Century Gothic" w:hAnsi="Century Gothic"/>
        </w:rPr>
        <w:t>ifica un cambiamento nell</w:t>
      </w:r>
      <w:r>
        <w:rPr>
          <w:rFonts w:ascii="Century Gothic" w:hAnsi="Century Gothic"/>
        </w:rPr>
        <w:t xml:space="preserve">e modalità di contrattazione sociale utilizzate negli anni precedenti. </w:t>
      </w:r>
      <w:r w:rsidR="00752C5B">
        <w:rPr>
          <w:rFonts w:ascii="Century Gothic" w:hAnsi="Century Gothic"/>
        </w:rPr>
        <w:t>Fino al 2014, in genere</w:t>
      </w:r>
      <w:r w:rsidR="0082221D">
        <w:rPr>
          <w:rFonts w:ascii="Century Gothic" w:hAnsi="Century Gothic"/>
        </w:rPr>
        <w:t>,</w:t>
      </w:r>
      <w:r w:rsidR="00752C5B">
        <w:rPr>
          <w:rFonts w:ascii="Century Gothic" w:hAnsi="Century Gothic"/>
        </w:rPr>
        <w:t xml:space="preserve"> veniva </w:t>
      </w:r>
      <w:r>
        <w:rPr>
          <w:rFonts w:ascii="Century Gothic" w:hAnsi="Century Gothic"/>
        </w:rPr>
        <w:t xml:space="preserve">redatta una piattaforma provinciale di base, integrata </w:t>
      </w:r>
      <w:r w:rsidR="00752C5B">
        <w:rPr>
          <w:rFonts w:ascii="Century Gothic" w:hAnsi="Century Gothic"/>
        </w:rPr>
        <w:t xml:space="preserve">successivamente </w:t>
      </w:r>
      <w:r>
        <w:rPr>
          <w:rFonts w:ascii="Century Gothic" w:hAnsi="Century Gothic"/>
        </w:rPr>
        <w:t xml:space="preserve">a livello sub-provinciale, e anche comunale, </w:t>
      </w:r>
      <w:r w:rsidR="00752C5B">
        <w:rPr>
          <w:rFonts w:ascii="Century Gothic" w:hAnsi="Century Gothic"/>
        </w:rPr>
        <w:t>sulla base delle</w:t>
      </w:r>
      <w:r>
        <w:rPr>
          <w:rFonts w:ascii="Century Gothic" w:hAnsi="Century Gothic"/>
        </w:rPr>
        <w:t xml:space="preserve"> specifiche esigenze dei vari territori. La piattaforma </w:t>
      </w:r>
      <w:r w:rsidR="00752C5B">
        <w:rPr>
          <w:rFonts w:ascii="Century Gothic" w:hAnsi="Century Gothic"/>
        </w:rPr>
        <w:t>veniva</w:t>
      </w:r>
      <w:r>
        <w:rPr>
          <w:rFonts w:ascii="Century Gothic" w:hAnsi="Century Gothic"/>
        </w:rPr>
        <w:t xml:space="preserve"> poi presentata </w:t>
      </w:r>
      <w:r w:rsidRPr="00A2318D">
        <w:rPr>
          <w:rFonts w:ascii="Century Gothic" w:hAnsi="Century Gothic"/>
        </w:rPr>
        <w:t xml:space="preserve">alle </w:t>
      </w:r>
      <w:r w:rsidR="00752C5B" w:rsidRPr="00A2318D">
        <w:rPr>
          <w:rFonts w:ascii="Century Gothic" w:hAnsi="Century Gothic"/>
        </w:rPr>
        <w:t xml:space="preserve">conferenze zonali dei sindaci </w:t>
      </w:r>
      <w:r>
        <w:rPr>
          <w:rFonts w:ascii="Century Gothic" w:hAnsi="Century Gothic"/>
        </w:rPr>
        <w:t xml:space="preserve">che </w:t>
      </w:r>
      <w:r w:rsidR="00752C5B">
        <w:rPr>
          <w:rFonts w:ascii="Century Gothic" w:hAnsi="Century Gothic"/>
        </w:rPr>
        <w:t>la</w:t>
      </w:r>
      <w:r>
        <w:rPr>
          <w:rFonts w:ascii="Century Gothic" w:hAnsi="Century Gothic"/>
        </w:rPr>
        <w:t xml:space="preserve"> sigla</w:t>
      </w:r>
      <w:r w:rsidR="00752C5B">
        <w:rPr>
          <w:rFonts w:ascii="Century Gothic" w:hAnsi="Century Gothic"/>
        </w:rPr>
        <w:t>vano</w:t>
      </w:r>
      <w:r>
        <w:rPr>
          <w:rFonts w:ascii="Century Gothic" w:hAnsi="Century Gothic"/>
        </w:rPr>
        <w:t xml:space="preserve"> in toto e, in molti casi, </w:t>
      </w:r>
      <w:r w:rsidR="00752C5B">
        <w:rPr>
          <w:rFonts w:ascii="Century Gothic" w:hAnsi="Century Gothic"/>
        </w:rPr>
        <w:t>l</w:t>
      </w:r>
      <w:r>
        <w:rPr>
          <w:rFonts w:ascii="Century Gothic" w:hAnsi="Century Gothic"/>
        </w:rPr>
        <w:t>a trasforma</w:t>
      </w:r>
      <w:r w:rsidR="00752C5B">
        <w:rPr>
          <w:rFonts w:ascii="Century Gothic" w:hAnsi="Century Gothic"/>
        </w:rPr>
        <w:t>vano</w:t>
      </w:r>
      <w:r>
        <w:rPr>
          <w:rFonts w:ascii="Century Gothic" w:hAnsi="Century Gothic"/>
        </w:rPr>
        <w:t xml:space="preserve"> direttamente in delibera</w:t>
      </w:r>
      <w:r w:rsidR="00752C5B">
        <w:rPr>
          <w:rFonts w:ascii="Century Gothic" w:hAnsi="Century Gothic"/>
        </w:rPr>
        <w:t xml:space="preserve">. Nel 2015 non si rileva alcuna </w:t>
      </w:r>
      <w:r w:rsidR="0082221D">
        <w:rPr>
          <w:rFonts w:ascii="Century Gothic" w:hAnsi="Century Gothic"/>
        </w:rPr>
        <w:t>negoziazione</w:t>
      </w:r>
      <w:r w:rsidR="00752C5B">
        <w:rPr>
          <w:rFonts w:ascii="Century Gothic" w:hAnsi="Century Gothic"/>
        </w:rPr>
        <w:t xml:space="preserve"> di </w:t>
      </w:r>
      <w:r w:rsidR="0082221D">
        <w:rPr>
          <w:rFonts w:ascii="Century Gothic" w:hAnsi="Century Gothic"/>
        </w:rPr>
        <w:t xml:space="preserve">questo genere, anche se sono presenti due accordi intercomunali che fanno riferimento alla piattaforma di contrattazione sociale 2014-2015 presentata a livello provinciale nel 2014. In particolare gli accordi riguardano il distretto del </w:t>
      </w:r>
      <w:r w:rsidR="0082221D" w:rsidRPr="008477B2">
        <w:rPr>
          <w:rFonts w:ascii="Century Gothic" w:hAnsi="Century Gothic"/>
        </w:rPr>
        <w:t>Casentino</w:t>
      </w:r>
      <w:r w:rsidR="0082221D">
        <w:rPr>
          <w:rFonts w:ascii="Century Gothic" w:hAnsi="Century Gothic"/>
        </w:rPr>
        <w:t xml:space="preserve"> e quello del </w:t>
      </w:r>
      <w:r w:rsidR="0082221D" w:rsidRPr="008477B2">
        <w:rPr>
          <w:rFonts w:ascii="Century Gothic" w:hAnsi="Century Gothic"/>
        </w:rPr>
        <w:t>Valdarno</w:t>
      </w:r>
      <w:r w:rsidR="0082221D">
        <w:rPr>
          <w:rFonts w:ascii="Century Gothic" w:hAnsi="Century Gothic"/>
        </w:rPr>
        <w:t xml:space="preserve">, con un coinvolgimento totale di </w:t>
      </w:r>
      <w:r w:rsidR="00A2318D" w:rsidRPr="00A2318D">
        <w:rPr>
          <w:rFonts w:ascii="Century Gothic" w:hAnsi="Century Gothic"/>
        </w:rPr>
        <w:t xml:space="preserve">19 </w:t>
      </w:r>
      <w:r w:rsidR="0082221D" w:rsidRPr="00A2318D">
        <w:rPr>
          <w:rFonts w:ascii="Century Gothic" w:hAnsi="Century Gothic"/>
        </w:rPr>
        <w:t>comuni.</w:t>
      </w:r>
      <w:r w:rsidR="0082221D">
        <w:rPr>
          <w:rFonts w:ascii="Century Gothic" w:hAnsi="Century Gothic"/>
        </w:rPr>
        <w:t xml:space="preserve"> Altri due accordi</w:t>
      </w:r>
      <w:r w:rsidR="00C462B8">
        <w:rPr>
          <w:rFonts w:ascii="Century Gothic" w:hAnsi="Century Gothic"/>
        </w:rPr>
        <w:t xml:space="preserve"> (di livello però </w:t>
      </w:r>
      <w:r w:rsidR="0082221D">
        <w:rPr>
          <w:rFonts w:ascii="Century Gothic" w:hAnsi="Century Gothic"/>
        </w:rPr>
        <w:t>comunal</w:t>
      </w:r>
      <w:r w:rsidR="00C462B8">
        <w:rPr>
          <w:rFonts w:ascii="Century Gothic" w:hAnsi="Century Gothic"/>
        </w:rPr>
        <w:t xml:space="preserve">e,Foiano della Chiana e </w:t>
      </w:r>
      <w:r w:rsidR="00C462B8" w:rsidRPr="00D61C07">
        <w:rPr>
          <w:rFonts w:ascii="Century Gothic" w:hAnsi="Century Gothic"/>
        </w:rPr>
        <w:t>Lucignano</w:t>
      </w:r>
      <w:r w:rsidR="00C462B8">
        <w:rPr>
          <w:rFonts w:ascii="Century Gothic" w:hAnsi="Century Gothic"/>
        </w:rPr>
        <w:t xml:space="preserve">) si riferiscono alla piattaforma sopraccitata e, in particolare alla delibera della conferenza zonale dei sindaci del </w:t>
      </w:r>
      <w:r w:rsidR="0082221D">
        <w:rPr>
          <w:rFonts w:ascii="Century Gothic" w:hAnsi="Century Gothic"/>
        </w:rPr>
        <w:t>distretto della Val di Chiana</w:t>
      </w:r>
      <w:r w:rsidR="00C462B8">
        <w:rPr>
          <w:rFonts w:ascii="Century Gothic" w:hAnsi="Century Gothic"/>
        </w:rPr>
        <w:t xml:space="preserve"> che l’aveva recepita integralmente</w:t>
      </w:r>
      <w:r w:rsidR="0082221D">
        <w:rPr>
          <w:rFonts w:ascii="Century Gothic" w:hAnsi="Century Gothic"/>
        </w:rPr>
        <w:t xml:space="preserve"> </w:t>
      </w:r>
      <w:r w:rsidR="00C462B8">
        <w:rPr>
          <w:rFonts w:ascii="Century Gothic" w:hAnsi="Century Gothic"/>
        </w:rPr>
        <w:t xml:space="preserve">insieme al </w:t>
      </w:r>
      <w:r w:rsidR="0082221D">
        <w:rPr>
          <w:rFonts w:ascii="Century Gothic" w:hAnsi="Century Gothic"/>
        </w:rPr>
        <w:t>documento sub-provinciale</w:t>
      </w:r>
      <w:r w:rsidR="00C462B8">
        <w:rPr>
          <w:rFonts w:ascii="Century Gothic" w:hAnsi="Century Gothic"/>
        </w:rPr>
        <w:t xml:space="preserve"> integrativo. Bisogna poi segnalare la presenza del comune capoluogo anche se solo </w:t>
      </w:r>
      <w:r w:rsidR="00756B64">
        <w:rPr>
          <w:rFonts w:ascii="Century Gothic" w:hAnsi="Century Gothic"/>
        </w:rPr>
        <w:t>con una lettera di intenti condivisa dall’amministrazione comunale e dalle organizzazioni sindacali confederali e relative federazioni dei pensionati e siglata nel dicembre 2014. Anche in questo caso viene presa come guida la piattaforma socio-sanitaria 2014-2015 con i relativi obiettivi prioritari (</w:t>
      </w:r>
      <w:r w:rsidR="002B0FA4">
        <w:rPr>
          <w:rFonts w:ascii="Century Gothic" w:hAnsi="Century Gothic"/>
        </w:rPr>
        <w:t>welfare territoriale, fiscalità locale, lotta all’evasione fiscale, trasporti e mobilità</w:t>
      </w:r>
      <w:r w:rsidR="00756B64">
        <w:rPr>
          <w:rFonts w:ascii="Century Gothic" w:hAnsi="Century Gothic"/>
        </w:rPr>
        <w:t>)</w:t>
      </w:r>
      <w:r w:rsidR="002B0FA4">
        <w:rPr>
          <w:rFonts w:ascii="Century Gothic" w:hAnsi="Century Gothic"/>
        </w:rPr>
        <w:t xml:space="preserve"> nella consapevolezza dell’importanza del metodo concertativo</w:t>
      </w:r>
      <w:r w:rsidR="00756B64">
        <w:rPr>
          <w:rFonts w:ascii="Century Gothic" w:hAnsi="Century Gothic"/>
        </w:rPr>
        <w:t xml:space="preserve">. </w:t>
      </w:r>
      <w:r w:rsidR="00FA6B0F">
        <w:rPr>
          <w:rFonts w:ascii="Century Gothic" w:hAnsi="Century Gothic"/>
        </w:rPr>
        <w:t xml:space="preserve">Bisogna, infine, ricordare, che nel corso del 2015, sono avvenuti degli incontri con i direttori dei vari distretti dell’ASL8 per trattare tematiche specificatamente socio-sanitarie: liste d’attesa, cure intermedie, Case della Salute, </w:t>
      </w:r>
      <w:r w:rsidR="00523BE0">
        <w:rPr>
          <w:rFonts w:ascii="Century Gothic" w:hAnsi="Century Gothic"/>
        </w:rPr>
        <w:t xml:space="preserve">organizzazione del distretto, </w:t>
      </w:r>
      <w:r w:rsidR="00FA6B0F">
        <w:rPr>
          <w:rFonts w:ascii="Century Gothic" w:hAnsi="Century Gothic"/>
        </w:rPr>
        <w:t>assistenza domiciliare, servizi per la non autosu</w:t>
      </w:r>
      <w:r w:rsidR="00523BE0">
        <w:rPr>
          <w:rFonts w:ascii="Century Gothic" w:hAnsi="Century Gothic"/>
        </w:rPr>
        <w:t>ffi</w:t>
      </w:r>
      <w:r w:rsidR="00FA6B0F">
        <w:rPr>
          <w:rFonts w:ascii="Century Gothic" w:hAnsi="Century Gothic"/>
        </w:rPr>
        <w:t>cienza</w:t>
      </w:r>
      <w:r w:rsidR="00523BE0">
        <w:rPr>
          <w:rFonts w:ascii="Century Gothic" w:hAnsi="Century Gothic"/>
        </w:rPr>
        <w:t>, etc</w:t>
      </w:r>
      <w:r w:rsidR="00FA6B0F">
        <w:rPr>
          <w:rFonts w:ascii="Century Gothic" w:hAnsi="Century Gothic"/>
        </w:rPr>
        <w:t xml:space="preserve">. </w:t>
      </w:r>
      <w:r w:rsidR="003F6147">
        <w:rPr>
          <w:rFonts w:ascii="Century Gothic" w:hAnsi="Century Gothic"/>
        </w:rPr>
        <w:t xml:space="preserve"> .</w:t>
      </w:r>
    </w:p>
    <w:p w:rsidR="00752C5B" w:rsidRDefault="00752C5B" w:rsidP="00256008">
      <w:pPr>
        <w:jc w:val="both"/>
        <w:rPr>
          <w:rFonts w:ascii="Century Gothic" w:hAnsi="Century Gothic"/>
        </w:rPr>
      </w:pPr>
    </w:p>
    <w:p w:rsidR="00697AA1" w:rsidRDefault="00256008" w:rsidP="00697AA1">
      <w:pPr>
        <w:jc w:val="both"/>
        <w:rPr>
          <w:rFonts w:ascii="Century Gothic" w:hAnsi="Century Gothic"/>
        </w:rPr>
      </w:pPr>
      <w:r>
        <w:rPr>
          <w:rFonts w:ascii="Century Gothic" w:hAnsi="Century Gothic"/>
        </w:rPr>
        <w:t xml:space="preserve">Nella </w:t>
      </w:r>
      <w:r w:rsidRPr="003F6147">
        <w:rPr>
          <w:rFonts w:ascii="Century Gothic" w:hAnsi="Century Gothic"/>
          <w:b/>
          <w:i/>
        </w:rPr>
        <w:t>provincia di Firenze</w:t>
      </w:r>
      <w:r>
        <w:rPr>
          <w:rFonts w:ascii="Century Gothic" w:hAnsi="Century Gothic"/>
        </w:rPr>
        <w:t xml:space="preserve"> </w:t>
      </w:r>
      <w:r w:rsidR="00756B64">
        <w:rPr>
          <w:rFonts w:ascii="Century Gothic" w:hAnsi="Century Gothic"/>
        </w:rPr>
        <w:t xml:space="preserve">non si </w:t>
      </w:r>
      <w:r w:rsidR="00FB2218">
        <w:rPr>
          <w:rFonts w:ascii="Century Gothic" w:hAnsi="Century Gothic"/>
        </w:rPr>
        <w:t xml:space="preserve">registra </w:t>
      </w:r>
      <w:r w:rsidR="00756B64">
        <w:rPr>
          <w:rFonts w:ascii="Century Gothic" w:hAnsi="Century Gothic"/>
        </w:rPr>
        <w:t xml:space="preserve">un </w:t>
      </w:r>
      <w:r w:rsidR="003166AB">
        <w:rPr>
          <w:rFonts w:ascii="Century Gothic" w:hAnsi="Century Gothic"/>
        </w:rPr>
        <w:t xml:space="preserve">deciso </w:t>
      </w:r>
      <w:r w:rsidR="00756B64">
        <w:rPr>
          <w:rFonts w:ascii="Century Gothic" w:hAnsi="Century Gothic"/>
        </w:rPr>
        <w:t xml:space="preserve">aumento del numero di </w:t>
      </w:r>
      <w:r>
        <w:rPr>
          <w:rFonts w:ascii="Century Gothic" w:hAnsi="Century Gothic"/>
        </w:rPr>
        <w:t>comuni</w:t>
      </w:r>
      <w:r w:rsidR="00756B64">
        <w:rPr>
          <w:rFonts w:ascii="Century Gothic" w:hAnsi="Century Gothic"/>
        </w:rPr>
        <w:t xml:space="preserve"> che siglano accordi</w:t>
      </w:r>
      <w:r w:rsidR="003166AB">
        <w:rPr>
          <w:rFonts w:ascii="Century Gothic" w:hAnsi="Century Gothic"/>
        </w:rPr>
        <w:t xml:space="preserve"> rispetto al 2014, infatti il numero è pressoché costante (5 nel 2014, 7 nel 2015)</w:t>
      </w:r>
      <w:r>
        <w:rPr>
          <w:rFonts w:ascii="Century Gothic" w:hAnsi="Century Gothic"/>
        </w:rPr>
        <w:t xml:space="preserve">. </w:t>
      </w:r>
      <w:r w:rsidR="003166AB">
        <w:rPr>
          <w:rFonts w:ascii="Century Gothic" w:hAnsi="Century Gothic"/>
        </w:rPr>
        <w:t xml:space="preserve">Questo territorio si </w:t>
      </w:r>
      <w:r w:rsidR="0007703A">
        <w:rPr>
          <w:rFonts w:ascii="Century Gothic" w:hAnsi="Century Gothic"/>
        </w:rPr>
        <w:t>posiziona</w:t>
      </w:r>
      <w:r w:rsidR="003166AB">
        <w:rPr>
          <w:rFonts w:ascii="Century Gothic" w:hAnsi="Century Gothic"/>
        </w:rPr>
        <w:t xml:space="preserve"> al di sotto della media regionale sia per comuni coinvolti (17%) sia per popolazione coperta, in cui si verifica addirittura una contrazione rispetto al 2014 (dal 16% all</w:t>
      </w:r>
      <w:r w:rsidR="00FB2218">
        <w:rPr>
          <w:rFonts w:ascii="Century Gothic" w:hAnsi="Century Gothic"/>
        </w:rPr>
        <w:t>’</w:t>
      </w:r>
      <w:r w:rsidR="003166AB">
        <w:rPr>
          <w:rFonts w:ascii="Century Gothic" w:hAnsi="Century Gothic"/>
        </w:rPr>
        <w:t xml:space="preserve">11%). </w:t>
      </w:r>
      <w:r w:rsidR="00FB2218">
        <w:rPr>
          <w:rFonts w:ascii="Century Gothic" w:hAnsi="Century Gothic"/>
        </w:rPr>
        <w:t xml:space="preserve">Su tale decremento </w:t>
      </w:r>
      <w:r w:rsidR="00CE30B9">
        <w:rPr>
          <w:rFonts w:ascii="Century Gothic" w:hAnsi="Century Gothic"/>
        </w:rPr>
        <w:t>ha</w:t>
      </w:r>
      <w:r w:rsidR="00FB2218">
        <w:rPr>
          <w:rFonts w:ascii="Century Gothic" w:hAnsi="Century Gothic"/>
        </w:rPr>
        <w:t xml:space="preserve"> avuto influenza l’assenza di comuni di dimensioni </w:t>
      </w:r>
      <w:r w:rsidR="0007703A">
        <w:rPr>
          <w:rFonts w:ascii="Century Gothic" w:hAnsi="Century Gothic"/>
        </w:rPr>
        <w:t>grandi o medio-grandi (</w:t>
      </w:r>
      <w:r w:rsidR="00FB2218">
        <w:rPr>
          <w:rFonts w:ascii="Century Gothic" w:hAnsi="Century Gothic"/>
        </w:rPr>
        <w:t>intorno ai 50.000 abitanti</w:t>
      </w:r>
      <w:r w:rsidR="0007703A">
        <w:rPr>
          <w:rFonts w:ascii="Century Gothic" w:hAnsi="Century Gothic"/>
        </w:rPr>
        <w:t>)</w:t>
      </w:r>
      <w:r w:rsidR="00FB2218">
        <w:rPr>
          <w:rFonts w:ascii="Century Gothic" w:hAnsi="Century Gothic"/>
        </w:rPr>
        <w:t xml:space="preserve"> come </w:t>
      </w:r>
      <w:r w:rsidR="0007703A">
        <w:rPr>
          <w:rFonts w:ascii="Century Gothic" w:hAnsi="Century Gothic"/>
        </w:rPr>
        <w:t xml:space="preserve">Scandicci e </w:t>
      </w:r>
      <w:r w:rsidR="00FB2218">
        <w:rPr>
          <w:rFonts w:ascii="Century Gothic" w:hAnsi="Century Gothic"/>
        </w:rPr>
        <w:t>Sesto Fiorentino</w:t>
      </w:r>
      <w:r w:rsidR="00CE30B9">
        <w:rPr>
          <w:rFonts w:ascii="Century Gothic" w:hAnsi="Century Gothic"/>
        </w:rPr>
        <w:t>,</w:t>
      </w:r>
      <w:r w:rsidR="00FB2218">
        <w:rPr>
          <w:rFonts w:ascii="Century Gothic" w:hAnsi="Century Gothic"/>
        </w:rPr>
        <w:t xml:space="preserve"> che avevano firmato accordi </w:t>
      </w:r>
      <w:r w:rsidR="00A2318D">
        <w:rPr>
          <w:rFonts w:ascii="Century Gothic" w:hAnsi="Century Gothic"/>
        </w:rPr>
        <w:t xml:space="preserve">non solo </w:t>
      </w:r>
      <w:r w:rsidR="00FB2218" w:rsidRPr="00CE30B9">
        <w:rPr>
          <w:rFonts w:ascii="Century Gothic" w:hAnsi="Century Gothic"/>
        </w:rPr>
        <w:t>nel 2014</w:t>
      </w:r>
      <w:r w:rsidR="00A2318D">
        <w:rPr>
          <w:rFonts w:ascii="Century Gothic" w:hAnsi="Century Gothic"/>
        </w:rPr>
        <w:t>, ma</w:t>
      </w:r>
      <w:r w:rsidR="00CE30B9">
        <w:rPr>
          <w:rFonts w:ascii="Century Gothic" w:hAnsi="Century Gothic"/>
        </w:rPr>
        <w:t xml:space="preserve"> anche negli anni precedenti</w:t>
      </w:r>
      <w:r w:rsidR="00FB2218">
        <w:rPr>
          <w:rFonts w:ascii="Century Gothic" w:hAnsi="Century Gothic"/>
        </w:rPr>
        <w:t xml:space="preserve">. Riguardo a Scandicci è stato proprio diramato un comunicato sindacale che spiega le </w:t>
      </w:r>
      <w:r w:rsidR="00D91DA3">
        <w:rPr>
          <w:rFonts w:ascii="Century Gothic" w:hAnsi="Century Gothic"/>
        </w:rPr>
        <w:t xml:space="preserve">principali </w:t>
      </w:r>
      <w:r w:rsidR="00FB2218">
        <w:rPr>
          <w:rFonts w:ascii="Century Gothic" w:hAnsi="Century Gothic"/>
        </w:rPr>
        <w:t xml:space="preserve">motivazioni della mancata intesa </w:t>
      </w:r>
      <w:r w:rsidR="00CE30B9">
        <w:rPr>
          <w:rFonts w:ascii="Century Gothic" w:hAnsi="Century Gothic"/>
        </w:rPr>
        <w:t xml:space="preserve">in un comune in cui c’è </w:t>
      </w:r>
      <w:r w:rsidR="00FB2218">
        <w:rPr>
          <w:rFonts w:ascii="Century Gothic" w:hAnsi="Century Gothic"/>
        </w:rPr>
        <w:t xml:space="preserve">consuetudine di </w:t>
      </w:r>
      <w:r w:rsidR="00CE30B9">
        <w:rPr>
          <w:rFonts w:ascii="Century Gothic" w:hAnsi="Century Gothic"/>
        </w:rPr>
        <w:t>negoziazione sociale</w:t>
      </w:r>
      <w:r w:rsidR="00FB2218">
        <w:rPr>
          <w:rFonts w:ascii="Century Gothic" w:hAnsi="Century Gothic"/>
        </w:rPr>
        <w:t xml:space="preserve">: </w:t>
      </w:r>
      <w:r w:rsidR="00D91DA3">
        <w:rPr>
          <w:rFonts w:ascii="Century Gothic" w:hAnsi="Century Gothic"/>
        </w:rPr>
        <w:t>il disaccordo sull’aumento dell’addizionale IRPEF e della TARI, la gestione del gruppo delle farmacie comunali</w:t>
      </w:r>
      <w:r w:rsidR="00B74255">
        <w:rPr>
          <w:rFonts w:ascii="Century Gothic" w:hAnsi="Century Gothic"/>
        </w:rPr>
        <w:t xml:space="preserve">. </w:t>
      </w:r>
      <w:r w:rsidR="0007703A">
        <w:rPr>
          <w:rFonts w:ascii="Century Gothic" w:hAnsi="Century Gothic"/>
        </w:rPr>
        <w:t xml:space="preserve">Bisogna segnalare la presenza di un accordo intercomunale di due amministrazioni </w:t>
      </w:r>
      <w:r w:rsidR="0007703A" w:rsidRPr="003F6147">
        <w:rPr>
          <w:rFonts w:ascii="Century Gothic" w:hAnsi="Century Gothic"/>
        </w:rPr>
        <w:t>del Chianti Fiorentino</w:t>
      </w:r>
      <w:r w:rsidR="0007703A">
        <w:rPr>
          <w:rFonts w:ascii="Century Gothic" w:hAnsi="Century Gothic"/>
        </w:rPr>
        <w:t xml:space="preserve"> (Barberino Val d’Elsa e Tavarnelle Val di Pesa) in vista di un processo democratico che porti alla fusione dei due comuni</w:t>
      </w:r>
      <w:r w:rsidR="00AC08DE">
        <w:rPr>
          <w:rFonts w:ascii="Century Gothic" w:hAnsi="Century Gothic"/>
        </w:rPr>
        <w:t>, come già accennato in precedenza</w:t>
      </w:r>
      <w:r w:rsidR="0007703A">
        <w:rPr>
          <w:rFonts w:ascii="Century Gothic" w:hAnsi="Century Gothic"/>
        </w:rPr>
        <w:t xml:space="preserve">. </w:t>
      </w:r>
      <w:r w:rsidR="00697AA1" w:rsidRPr="008348D0">
        <w:rPr>
          <w:rFonts w:ascii="Century Gothic" w:hAnsi="Century Gothic"/>
        </w:rPr>
        <w:t>Bisogna ricordare che per la contrattazione in questa provincia viene preso come riferimento la piattaforma presentata nel 2012, come si apprende dalle richieste di incontro rivolte alle amministrazioni comunali.</w:t>
      </w:r>
      <w:r w:rsidR="00697AA1">
        <w:rPr>
          <w:rFonts w:ascii="Century Gothic" w:hAnsi="Century Gothic"/>
        </w:rPr>
        <w:t xml:space="preserve"> </w:t>
      </w:r>
    </w:p>
    <w:p w:rsidR="00697AA1" w:rsidRDefault="00697AA1" w:rsidP="00697AA1">
      <w:pPr>
        <w:jc w:val="both"/>
        <w:rPr>
          <w:rFonts w:ascii="Century Gothic" w:hAnsi="Century Gothic"/>
        </w:rPr>
      </w:pPr>
    </w:p>
    <w:p w:rsidR="00FB2218" w:rsidRDefault="00FB2218" w:rsidP="00256008">
      <w:pPr>
        <w:jc w:val="both"/>
        <w:rPr>
          <w:rFonts w:ascii="Century Gothic" w:hAnsi="Century Gothic"/>
        </w:rPr>
      </w:pPr>
    </w:p>
    <w:p w:rsidR="00256008" w:rsidRDefault="00256008" w:rsidP="00256008">
      <w:pPr>
        <w:jc w:val="both"/>
        <w:rPr>
          <w:rFonts w:ascii="Century Gothic" w:hAnsi="Century Gothic"/>
        </w:rPr>
      </w:pPr>
    </w:p>
    <w:p w:rsidR="00256008" w:rsidRDefault="00A260B6" w:rsidP="00256008">
      <w:pPr>
        <w:jc w:val="both"/>
        <w:rPr>
          <w:rFonts w:ascii="Century Gothic" w:hAnsi="Century Gothic"/>
        </w:rPr>
      </w:pPr>
      <w:r>
        <w:rPr>
          <w:rFonts w:ascii="Century Gothic" w:hAnsi="Century Gothic"/>
        </w:rPr>
        <w:t>Nell</w:t>
      </w:r>
      <w:r w:rsidR="00256008">
        <w:rPr>
          <w:rFonts w:ascii="Century Gothic" w:hAnsi="Century Gothic"/>
        </w:rPr>
        <w:t xml:space="preserve">a </w:t>
      </w:r>
      <w:r w:rsidR="00256008" w:rsidRPr="003F6147">
        <w:rPr>
          <w:rFonts w:ascii="Century Gothic" w:hAnsi="Century Gothic"/>
          <w:b/>
          <w:i/>
        </w:rPr>
        <w:t>provincia di Grosseto</w:t>
      </w:r>
      <w:r w:rsidR="00256008">
        <w:rPr>
          <w:rFonts w:ascii="Century Gothic" w:hAnsi="Century Gothic"/>
        </w:rPr>
        <w:t xml:space="preserve"> </w:t>
      </w:r>
      <w:r w:rsidR="00BC5C96">
        <w:rPr>
          <w:rFonts w:ascii="Century Gothic" w:hAnsi="Century Gothic"/>
        </w:rPr>
        <w:t xml:space="preserve">le delegazioni sindacali sono state attive e hanno inviato a tutte le amministrazioni comunali della provincia la richiesta di un incontro prima della definizione del bilancio preventivo. </w:t>
      </w:r>
      <w:r w:rsidR="00F81333">
        <w:rPr>
          <w:rFonts w:ascii="Century Gothic" w:hAnsi="Century Gothic"/>
        </w:rPr>
        <w:t xml:space="preserve"> Da un comunicato sindacale si apprende che sono stati sottoscritti verbali di intesa in sei comuni (Cinigiano, Gavorrano, Monterotondo, Orbetello, Pitigliano, Sorano) e verbali di incontro in altri tre comuni (Magliano, Massa </w:t>
      </w:r>
      <w:r w:rsidR="001B3E41">
        <w:rPr>
          <w:rFonts w:ascii="Century Gothic" w:hAnsi="Century Gothic"/>
        </w:rPr>
        <w:t xml:space="preserve">Marittima e Montieri). </w:t>
      </w:r>
      <w:r w:rsidR="00F81333">
        <w:rPr>
          <w:rFonts w:ascii="Century Gothic" w:hAnsi="Century Gothic"/>
        </w:rPr>
        <w:t>Sono pervenuti, però, solo i verbali di incontro, per cui, per il momento non sono stati conteggiati</w:t>
      </w:r>
      <w:r w:rsidR="001B3E41">
        <w:rPr>
          <w:rFonts w:ascii="Century Gothic" w:hAnsi="Century Gothic"/>
        </w:rPr>
        <w:t xml:space="preserve"> nelle precedenti tabelle </w:t>
      </w:r>
      <w:r w:rsidR="00F90930">
        <w:rPr>
          <w:rFonts w:ascii="Century Gothic" w:hAnsi="Century Gothic"/>
        </w:rPr>
        <w:t xml:space="preserve"> sulla propensione negoziale </w:t>
      </w:r>
      <w:r w:rsidR="001B3E41">
        <w:rPr>
          <w:rFonts w:ascii="Century Gothic" w:hAnsi="Century Gothic"/>
        </w:rPr>
        <w:t>i comuni della provincia di Grosseto. Il comunicato sindacale informa anche che</w:t>
      </w:r>
      <w:r w:rsidR="000D3880">
        <w:rPr>
          <w:rFonts w:ascii="Century Gothic" w:hAnsi="Century Gothic"/>
        </w:rPr>
        <w:t>,</w:t>
      </w:r>
      <w:r w:rsidR="001B3E41">
        <w:rPr>
          <w:rFonts w:ascii="Century Gothic" w:hAnsi="Century Gothic"/>
        </w:rPr>
        <w:t xml:space="preserve"> in quasi tutte le riunioni svolte</w:t>
      </w:r>
      <w:r w:rsidR="000D3880">
        <w:rPr>
          <w:rFonts w:ascii="Century Gothic" w:hAnsi="Century Gothic"/>
        </w:rPr>
        <w:t>,</w:t>
      </w:r>
      <w:r w:rsidR="001B3E41">
        <w:rPr>
          <w:rFonts w:ascii="Century Gothic" w:hAnsi="Century Gothic"/>
        </w:rPr>
        <w:t xml:space="preserve"> le amministrazioni comunali si sono mostrate disponibili ad accogliere le richieste del sindacato, non aumentando le tariffe e le imposte locali rispetto all’anno precedente. </w:t>
      </w:r>
      <w:r w:rsidR="00F90930">
        <w:rPr>
          <w:rFonts w:ascii="Century Gothic" w:hAnsi="Century Gothic"/>
        </w:rPr>
        <w:t xml:space="preserve">Inoltre le delegazioni sindacali hanno chiesto un impegno per opportunità di lavoro per lavoratori in CIG, mobilità, disoccupazione. Il comune di Gavorrano ha soddisfatto questa richiesta, aderendo al progetto UTOLY della provincia con i coinvolgimento di tre lavoratori. </w:t>
      </w:r>
      <w:r w:rsidR="009168AC">
        <w:rPr>
          <w:rFonts w:ascii="Century Gothic" w:hAnsi="Century Gothic"/>
        </w:rPr>
        <w:t xml:space="preserve">Viene indicato che nella </w:t>
      </w:r>
      <w:r w:rsidR="009168AC" w:rsidRPr="009168AC">
        <w:rPr>
          <w:rFonts w:ascii="Century Gothic" w:hAnsi="Century Gothic"/>
        </w:rPr>
        <w:t>maggioranza degli incontri la d</w:t>
      </w:r>
      <w:r w:rsidR="009168AC">
        <w:rPr>
          <w:rFonts w:ascii="Century Gothic" w:hAnsi="Century Gothic"/>
        </w:rPr>
        <w:t>elegazione è stata composta dalla c</w:t>
      </w:r>
      <w:r w:rsidR="009168AC" w:rsidRPr="009168AC">
        <w:rPr>
          <w:rFonts w:ascii="Century Gothic" w:hAnsi="Century Gothic"/>
        </w:rPr>
        <w:t>onfederazione e</w:t>
      </w:r>
      <w:r w:rsidR="009168AC">
        <w:rPr>
          <w:rFonts w:ascii="Century Gothic" w:hAnsi="Century Gothic"/>
        </w:rPr>
        <w:t xml:space="preserve"> dallo </w:t>
      </w:r>
      <w:r w:rsidR="009168AC" w:rsidRPr="009168AC">
        <w:rPr>
          <w:rFonts w:ascii="Century Gothic" w:hAnsi="Century Gothic"/>
        </w:rPr>
        <w:t>SPI</w:t>
      </w:r>
      <w:r w:rsidR="009168AC">
        <w:rPr>
          <w:rFonts w:ascii="Verdana" w:hAnsi="Verdana"/>
          <w:sz w:val="20"/>
          <w:szCs w:val="20"/>
        </w:rPr>
        <w:t>. I</w:t>
      </w:r>
      <w:r w:rsidR="004E582D">
        <w:rPr>
          <w:rFonts w:ascii="Century Gothic" w:hAnsi="Century Gothic"/>
        </w:rPr>
        <w:t>n quest</w:t>
      </w:r>
      <w:r w:rsidR="00F90930">
        <w:rPr>
          <w:rFonts w:ascii="Century Gothic" w:hAnsi="Century Gothic"/>
        </w:rPr>
        <w:t>a provincia</w:t>
      </w:r>
      <w:r w:rsidR="004E582D">
        <w:rPr>
          <w:rFonts w:ascii="Century Gothic" w:hAnsi="Century Gothic"/>
        </w:rPr>
        <w:t xml:space="preserve"> è stata poi organizzata una manifestazione unitaria contro la chiusura degli uffici postali che </w:t>
      </w:r>
      <w:r w:rsidR="00F90930">
        <w:rPr>
          <w:rFonts w:ascii="Century Gothic" w:hAnsi="Century Gothic"/>
        </w:rPr>
        <w:t>avrebbe</w:t>
      </w:r>
      <w:r w:rsidR="004E582D">
        <w:rPr>
          <w:rFonts w:ascii="Century Gothic" w:hAnsi="Century Gothic"/>
        </w:rPr>
        <w:t xml:space="preserve"> ricadute negative </w:t>
      </w:r>
      <w:r w:rsidR="00CE30B9">
        <w:rPr>
          <w:rFonts w:ascii="Century Gothic" w:hAnsi="Century Gothic"/>
        </w:rPr>
        <w:t>non solo sull’</w:t>
      </w:r>
      <w:r w:rsidR="004E582D">
        <w:rPr>
          <w:rFonts w:ascii="Century Gothic" w:hAnsi="Century Gothic"/>
        </w:rPr>
        <w:t>occupazion</w:t>
      </w:r>
      <w:r w:rsidR="00CE30B9">
        <w:rPr>
          <w:rFonts w:ascii="Century Gothic" w:hAnsi="Century Gothic"/>
        </w:rPr>
        <w:t>e</w:t>
      </w:r>
      <w:r w:rsidR="004E582D">
        <w:rPr>
          <w:rFonts w:ascii="Century Gothic" w:hAnsi="Century Gothic"/>
        </w:rPr>
        <w:t xml:space="preserve"> </w:t>
      </w:r>
      <w:r w:rsidR="00CE30B9">
        <w:rPr>
          <w:rFonts w:ascii="Century Gothic" w:hAnsi="Century Gothic"/>
        </w:rPr>
        <w:t xml:space="preserve">ma anche </w:t>
      </w:r>
      <w:r w:rsidR="004E582D">
        <w:rPr>
          <w:rFonts w:ascii="Century Gothic" w:hAnsi="Century Gothic"/>
        </w:rPr>
        <w:t>sulla qualità della vita dei cittadini, in particolare degli anziani, nell’ambito</w:t>
      </w:r>
      <w:r w:rsidR="00BC5C96">
        <w:rPr>
          <w:rFonts w:ascii="Century Gothic" w:hAnsi="Century Gothic"/>
        </w:rPr>
        <w:t xml:space="preserve"> della campagna condotta a livello regionale dalle federazioni dei pensionati</w:t>
      </w:r>
      <w:r w:rsidR="00F90930">
        <w:rPr>
          <w:rFonts w:ascii="Century Gothic" w:hAnsi="Century Gothic"/>
        </w:rPr>
        <w:t xml:space="preserve"> per il mantenimento di sedi postali nelle zone marginali del territorio toscano</w:t>
      </w:r>
      <w:r w:rsidR="004E582D">
        <w:rPr>
          <w:rFonts w:ascii="Century Gothic" w:hAnsi="Century Gothic"/>
        </w:rPr>
        <w:t>.</w:t>
      </w:r>
      <w:r w:rsidR="00F90930">
        <w:rPr>
          <w:rFonts w:ascii="Century Gothic" w:hAnsi="Century Gothic"/>
        </w:rPr>
        <w:t xml:space="preserve"> </w:t>
      </w:r>
    </w:p>
    <w:p w:rsidR="009168AC" w:rsidRDefault="009168AC" w:rsidP="00256008">
      <w:pPr>
        <w:jc w:val="both"/>
        <w:rPr>
          <w:rFonts w:ascii="Century Gothic" w:hAnsi="Century Gothic"/>
        </w:rPr>
      </w:pPr>
    </w:p>
    <w:p w:rsidR="004B01E1" w:rsidRPr="004B01E1" w:rsidRDefault="008225DC" w:rsidP="004B01E1">
      <w:pPr>
        <w:jc w:val="both"/>
        <w:rPr>
          <w:rFonts w:ascii="Century Gothic" w:hAnsi="Century Gothic"/>
        </w:rPr>
      </w:pPr>
      <w:r w:rsidRPr="003F6147">
        <w:rPr>
          <w:rFonts w:ascii="Century Gothic" w:hAnsi="Century Gothic"/>
        </w:rPr>
        <w:t xml:space="preserve">La </w:t>
      </w:r>
      <w:r w:rsidR="00A03EF7" w:rsidRPr="003F6147">
        <w:rPr>
          <w:rFonts w:ascii="Century Gothic" w:hAnsi="Century Gothic"/>
        </w:rPr>
        <w:t xml:space="preserve"> </w:t>
      </w:r>
      <w:r w:rsidR="00256008" w:rsidRPr="003F6147">
        <w:rPr>
          <w:rFonts w:ascii="Century Gothic" w:hAnsi="Century Gothic"/>
          <w:b/>
          <w:i/>
        </w:rPr>
        <w:t>provincia di Livorno</w:t>
      </w:r>
      <w:r w:rsidR="00256008">
        <w:rPr>
          <w:rFonts w:ascii="Century Gothic" w:hAnsi="Century Gothic"/>
        </w:rPr>
        <w:t xml:space="preserve"> </w:t>
      </w:r>
      <w:r w:rsidR="00A03EF7">
        <w:rPr>
          <w:rFonts w:ascii="Century Gothic" w:hAnsi="Century Gothic"/>
        </w:rPr>
        <w:t xml:space="preserve">inverte quel trend decrescente che </w:t>
      </w:r>
      <w:r>
        <w:rPr>
          <w:rFonts w:ascii="Century Gothic" w:hAnsi="Century Gothic"/>
        </w:rPr>
        <w:t xml:space="preserve">nel 2014 aveva comportato la mancanza di sottoscrizione di accordi a livello comunale, pur in presenza di attività da parte delle organizzazioni sindacali e </w:t>
      </w:r>
      <w:r w:rsidRPr="003F6147">
        <w:rPr>
          <w:rFonts w:ascii="Century Gothic" w:hAnsi="Century Gothic"/>
        </w:rPr>
        <w:t>delle leghe</w:t>
      </w:r>
      <w:r>
        <w:rPr>
          <w:rFonts w:ascii="Century Gothic" w:hAnsi="Century Gothic"/>
        </w:rPr>
        <w:t xml:space="preserve"> dei pensionati per concludere delle intese nell’ambito della contrattazione sociale. </w:t>
      </w:r>
      <w:r w:rsidR="003357F8">
        <w:rPr>
          <w:rFonts w:ascii="Century Gothic" w:hAnsi="Century Gothic"/>
        </w:rPr>
        <w:t>Pur essendo al di sotto delle medie regionali, in questo territorio si giunge a coprire un quarto dei comuni e della popolazione. Inoltre nei comuni della Val di Cornia (Campiglia, San Vincenzo, Piombino) sono stati attuati dei confronti e buona parte delle proposte sono state accolte, ma per motivi indipendenti dalla volontà delle organizzazioni sindacali, non sono poi stat</w:t>
      </w:r>
      <w:r w:rsidR="000D3880">
        <w:rPr>
          <w:rFonts w:ascii="Century Gothic" w:hAnsi="Century Gothic"/>
        </w:rPr>
        <w:t>e</w:t>
      </w:r>
      <w:r w:rsidR="003357F8">
        <w:rPr>
          <w:rFonts w:ascii="Century Gothic" w:hAnsi="Century Gothic"/>
        </w:rPr>
        <w:t xml:space="preserve"> </w:t>
      </w:r>
      <w:r w:rsidR="000D3880">
        <w:rPr>
          <w:rFonts w:ascii="Century Gothic" w:hAnsi="Century Gothic"/>
        </w:rPr>
        <w:t>formalizzate in</w:t>
      </w:r>
      <w:r w:rsidR="003357F8">
        <w:rPr>
          <w:rFonts w:ascii="Century Gothic" w:hAnsi="Century Gothic"/>
        </w:rPr>
        <w:t xml:space="preserve"> accordi. </w:t>
      </w:r>
      <w:r w:rsidR="005F5225">
        <w:rPr>
          <w:rFonts w:ascii="Century Gothic" w:hAnsi="Century Gothic"/>
        </w:rPr>
        <w:t xml:space="preserve">Nella </w:t>
      </w:r>
      <w:r w:rsidR="005F5225" w:rsidRPr="00916EC8">
        <w:rPr>
          <w:rFonts w:ascii="Century Gothic" w:hAnsi="Century Gothic"/>
        </w:rPr>
        <w:t>d</w:t>
      </w:r>
      <w:r w:rsidR="003357F8" w:rsidRPr="00916EC8">
        <w:rPr>
          <w:rFonts w:ascii="Century Gothic" w:hAnsi="Century Gothic"/>
        </w:rPr>
        <w:t xml:space="preserve">elibera </w:t>
      </w:r>
      <w:r w:rsidR="005F5225" w:rsidRPr="00916EC8">
        <w:rPr>
          <w:rFonts w:ascii="Century Gothic" w:hAnsi="Century Gothic"/>
        </w:rPr>
        <w:t xml:space="preserve">del comune di </w:t>
      </w:r>
      <w:r w:rsidR="003357F8" w:rsidRPr="00916EC8">
        <w:rPr>
          <w:rFonts w:ascii="Century Gothic" w:hAnsi="Century Gothic"/>
        </w:rPr>
        <w:t>Piombino</w:t>
      </w:r>
      <w:r w:rsidR="00916EC8">
        <w:rPr>
          <w:rFonts w:ascii="Century Gothic" w:hAnsi="Century Gothic"/>
        </w:rPr>
        <w:t>,</w:t>
      </w:r>
      <w:r w:rsidR="003357F8" w:rsidRPr="00916EC8">
        <w:rPr>
          <w:rFonts w:ascii="Century Gothic" w:hAnsi="Century Gothic"/>
        </w:rPr>
        <w:t xml:space="preserve"> </w:t>
      </w:r>
      <w:r w:rsidR="005F5225">
        <w:rPr>
          <w:rFonts w:ascii="Century Gothic" w:hAnsi="Century Gothic"/>
        </w:rPr>
        <w:t xml:space="preserve">relativa al </w:t>
      </w:r>
      <w:r w:rsidR="005F5225">
        <w:rPr>
          <w:rFonts w:ascii="Century Gothic" w:eastAsia="Century Gothic" w:hAnsi="Century Gothic" w:cs="Century Gothic"/>
        </w:rPr>
        <w:t>bilancio annuale di previsione 2015 e al bilancio di pr</w:t>
      </w:r>
      <w:r w:rsidR="00916EC8">
        <w:rPr>
          <w:rFonts w:ascii="Century Gothic" w:eastAsia="Century Gothic" w:hAnsi="Century Gothic" w:cs="Century Gothic"/>
        </w:rPr>
        <w:t xml:space="preserve">evisione pluriennale 2015-2017, </w:t>
      </w:r>
      <w:r w:rsidR="005F5225">
        <w:rPr>
          <w:rFonts w:ascii="Century Gothic" w:eastAsia="Century Gothic" w:hAnsi="Century Gothic" w:cs="Century Gothic"/>
        </w:rPr>
        <w:t xml:space="preserve">sono previste </w:t>
      </w:r>
      <w:r w:rsidR="00916EC8">
        <w:rPr>
          <w:rFonts w:ascii="Century Gothic" w:eastAsia="Century Gothic" w:hAnsi="Century Gothic" w:cs="Century Gothic"/>
        </w:rPr>
        <w:t xml:space="preserve">agevolazioni </w:t>
      </w:r>
      <w:r w:rsidR="00634F95">
        <w:rPr>
          <w:rFonts w:ascii="Century Gothic" w:eastAsia="Century Gothic" w:hAnsi="Century Gothic" w:cs="Century Gothic"/>
        </w:rPr>
        <w:t xml:space="preserve">per le </w:t>
      </w:r>
      <w:r w:rsidR="00916EC8">
        <w:rPr>
          <w:rFonts w:ascii="Century Gothic" w:eastAsia="Century Gothic" w:hAnsi="Century Gothic" w:cs="Century Gothic"/>
        </w:rPr>
        <w:t xml:space="preserve">tariffe e </w:t>
      </w:r>
      <w:r w:rsidR="00634F95">
        <w:rPr>
          <w:rFonts w:ascii="Century Gothic" w:eastAsia="Century Gothic" w:hAnsi="Century Gothic" w:cs="Century Gothic"/>
        </w:rPr>
        <w:t>per le</w:t>
      </w:r>
      <w:r w:rsidR="00916EC8">
        <w:rPr>
          <w:rFonts w:ascii="Century Gothic" w:eastAsia="Century Gothic" w:hAnsi="Century Gothic" w:cs="Century Gothic"/>
        </w:rPr>
        <w:t xml:space="preserve"> imposte locali</w:t>
      </w:r>
      <w:r w:rsidR="00634F95">
        <w:rPr>
          <w:rFonts w:ascii="Century Gothic" w:eastAsia="Century Gothic" w:hAnsi="Century Gothic" w:cs="Century Gothic"/>
        </w:rPr>
        <w:t xml:space="preserve"> nei casi di disagio economico-sociale</w:t>
      </w:r>
      <w:r w:rsidR="00916EC8">
        <w:rPr>
          <w:rFonts w:ascii="Century Gothic" w:eastAsia="Century Gothic" w:hAnsi="Century Gothic" w:cs="Century Gothic"/>
        </w:rPr>
        <w:t>, come spiegato nel capitolo 2.</w:t>
      </w:r>
      <w:r w:rsidR="003357F8">
        <w:rPr>
          <w:rFonts w:ascii="Century Gothic" w:hAnsi="Century Gothic"/>
        </w:rPr>
        <w:t xml:space="preserve"> I problemi maggiori sono stati con i comuni dell’Elba, tradizionalmente </w:t>
      </w:r>
      <w:r w:rsidR="006E7C49">
        <w:rPr>
          <w:rFonts w:ascii="Century Gothic" w:hAnsi="Century Gothic"/>
        </w:rPr>
        <w:t>poco inclini</w:t>
      </w:r>
      <w:r w:rsidR="003357F8">
        <w:rPr>
          <w:rFonts w:ascii="Century Gothic" w:hAnsi="Century Gothic"/>
        </w:rPr>
        <w:t xml:space="preserve"> </w:t>
      </w:r>
      <w:r w:rsidR="006E7C49">
        <w:rPr>
          <w:rFonts w:ascii="Century Gothic" w:hAnsi="Century Gothic"/>
        </w:rPr>
        <w:t>alla concertazione</w:t>
      </w:r>
      <w:r w:rsidR="003357F8">
        <w:rPr>
          <w:rFonts w:ascii="Century Gothic" w:hAnsi="Century Gothic"/>
        </w:rPr>
        <w:t>, e con il comune di Liv</w:t>
      </w:r>
      <w:r w:rsidR="006E7C49">
        <w:rPr>
          <w:rFonts w:ascii="Century Gothic" w:hAnsi="Century Gothic"/>
        </w:rPr>
        <w:t>orno, dove il sindaco appartiene al Movimento 5 Stelle, notoriamente contrario al confronto con i sind</w:t>
      </w:r>
      <w:r w:rsidR="00CE30B9">
        <w:rPr>
          <w:rFonts w:ascii="Century Gothic" w:hAnsi="Century Gothic"/>
        </w:rPr>
        <w:t>a</w:t>
      </w:r>
      <w:r w:rsidR="006E7C49">
        <w:rPr>
          <w:rFonts w:ascii="Century Gothic" w:hAnsi="Century Gothic"/>
        </w:rPr>
        <w:t>cati</w:t>
      </w:r>
      <w:r w:rsidR="003357F8">
        <w:rPr>
          <w:rFonts w:ascii="Century Gothic" w:hAnsi="Century Gothic"/>
        </w:rPr>
        <w:t xml:space="preserve">. </w:t>
      </w:r>
      <w:r w:rsidR="006E7C49">
        <w:rPr>
          <w:rFonts w:ascii="Century Gothic" w:hAnsi="Century Gothic"/>
        </w:rPr>
        <w:t xml:space="preserve">Come in altri territori l’attività si è anche rivolta all’ambito socio-sanitario con la presentazione di una piattaforma sulla realizzazione e </w:t>
      </w:r>
      <w:r w:rsidR="006A1CD3">
        <w:rPr>
          <w:rFonts w:ascii="Century Gothic" w:hAnsi="Century Gothic"/>
        </w:rPr>
        <w:t>su</w:t>
      </w:r>
      <w:r w:rsidR="006E7C49">
        <w:rPr>
          <w:rFonts w:ascii="Century Gothic" w:hAnsi="Century Gothic"/>
        </w:rPr>
        <w:t xml:space="preserve">ll’organizzazione delle Case </w:t>
      </w:r>
      <w:r w:rsidR="006A3DCF">
        <w:rPr>
          <w:rFonts w:ascii="Century Gothic" w:hAnsi="Century Gothic"/>
        </w:rPr>
        <w:t xml:space="preserve">della Salute, seguita da una compagna di </w:t>
      </w:r>
      <w:r w:rsidR="003A5027">
        <w:rPr>
          <w:rFonts w:ascii="Century Gothic" w:hAnsi="Century Gothic"/>
        </w:rPr>
        <w:t>mobilitazione che si è articolata</w:t>
      </w:r>
      <w:r w:rsidR="00E27F25">
        <w:rPr>
          <w:rFonts w:ascii="Century Gothic" w:hAnsi="Century Gothic"/>
        </w:rPr>
        <w:t>, nel corso del 2015,</w:t>
      </w:r>
      <w:r w:rsidR="003A5027">
        <w:rPr>
          <w:rFonts w:ascii="Century Gothic" w:hAnsi="Century Gothic"/>
        </w:rPr>
        <w:t xml:space="preserve"> </w:t>
      </w:r>
      <w:r w:rsidR="00104E29">
        <w:rPr>
          <w:rFonts w:ascii="Century Gothic" w:hAnsi="Century Gothic"/>
        </w:rPr>
        <w:t>secondo varie modalità</w:t>
      </w:r>
      <w:r w:rsidR="003A5027">
        <w:rPr>
          <w:rFonts w:ascii="Century Gothic" w:hAnsi="Century Gothic"/>
        </w:rPr>
        <w:t xml:space="preserve">. </w:t>
      </w:r>
      <w:r w:rsidR="000D3880">
        <w:rPr>
          <w:rFonts w:ascii="Century Gothic" w:hAnsi="Century Gothic"/>
        </w:rPr>
        <w:t>Si ricordano di seguito le principali iniziative:</w:t>
      </w:r>
      <w:r w:rsidR="001171A7">
        <w:rPr>
          <w:rFonts w:ascii="Century Gothic" w:hAnsi="Century Gothic"/>
        </w:rPr>
        <w:t xml:space="preserve"> sono state organizzate tre manifestazioni pubbliche nei comuni sedi delle conferenze zonali sulla sanità, sono state raccolte oltre 10.000 firme a sostegno della piattaforma, sono state condivise con la maggior parte delle amministrazioni locali le proposte sull’organizzazione delle Case della Salute</w:t>
      </w:r>
      <w:r w:rsidR="00E27F25">
        <w:rPr>
          <w:rFonts w:ascii="Century Gothic" w:hAnsi="Century Gothic"/>
        </w:rPr>
        <w:t xml:space="preserve">, </w:t>
      </w:r>
      <w:r w:rsidR="00E27F25" w:rsidRPr="008348D0">
        <w:rPr>
          <w:rFonts w:ascii="Century Gothic" w:hAnsi="Century Gothic"/>
        </w:rPr>
        <w:t>è stato cercato un confronto diretto con la direzione dell’ASL 6</w:t>
      </w:r>
      <w:r w:rsidR="004B01E1" w:rsidRPr="008348D0">
        <w:rPr>
          <w:rFonts w:ascii="Century Gothic" w:hAnsi="Century Gothic"/>
        </w:rPr>
        <w:t>.</w:t>
      </w:r>
      <w:r w:rsidR="001171A7" w:rsidRPr="008348D0">
        <w:rPr>
          <w:rFonts w:ascii="Century Gothic" w:hAnsi="Century Gothic"/>
        </w:rPr>
        <w:t xml:space="preserve"> </w:t>
      </w:r>
      <w:r w:rsidR="00E27F25" w:rsidRPr="008348D0">
        <w:rPr>
          <w:rFonts w:ascii="Century Gothic" w:hAnsi="Century Gothic"/>
        </w:rPr>
        <w:t>Nel 2016, d</w:t>
      </w:r>
      <w:r w:rsidR="004B01E1" w:rsidRPr="008348D0">
        <w:rPr>
          <w:rFonts w:ascii="Century Gothic" w:hAnsi="Century Gothic"/>
        </w:rPr>
        <w:t>opo le mobilitazioni territoriali e il presidio unitario davanti alla sede della regione</w:t>
      </w:r>
      <w:r w:rsidR="00E27F25" w:rsidRPr="008348D0">
        <w:rPr>
          <w:rFonts w:ascii="Century Gothic" w:hAnsi="Century Gothic"/>
        </w:rPr>
        <w:t>,</w:t>
      </w:r>
      <w:r w:rsidR="004B01E1" w:rsidRPr="008348D0">
        <w:rPr>
          <w:rFonts w:ascii="Century Gothic" w:hAnsi="Century Gothic"/>
        </w:rPr>
        <w:t xml:space="preserve"> si è aperto un </w:t>
      </w:r>
      <w:r w:rsidR="004B01E1" w:rsidRPr="008348D0">
        <w:rPr>
          <w:rFonts w:ascii="Century Gothic" w:hAnsi="Century Gothic"/>
        </w:rPr>
        <w:lastRenderedPageBreak/>
        <w:t xml:space="preserve">confronto con la direzione </w:t>
      </w:r>
      <w:r w:rsidR="00E27F25" w:rsidRPr="008348D0">
        <w:rPr>
          <w:rFonts w:ascii="Century Gothic" w:hAnsi="Century Gothic"/>
        </w:rPr>
        <w:t>dell’Azienda USL Toscana</w:t>
      </w:r>
      <w:r w:rsidR="004B01E1" w:rsidRPr="008348D0">
        <w:rPr>
          <w:rFonts w:ascii="Century Gothic" w:hAnsi="Century Gothic"/>
        </w:rPr>
        <w:t xml:space="preserve"> nord-ovest</w:t>
      </w:r>
      <w:r w:rsidR="00E27F25" w:rsidRPr="008348D0">
        <w:rPr>
          <w:rFonts w:ascii="Century Gothic" w:hAnsi="Century Gothic"/>
        </w:rPr>
        <w:t>, che dal primo gennaio 2016 comprende le province di Pisa, Livorno, Massa Lucca</w:t>
      </w:r>
      <w:r w:rsidR="004B01E1" w:rsidRPr="008348D0">
        <w:rPr>
          <w:rFonts w:ascii="Century Gothic" w:hAnsi="Century Gothic"/>
        </w:rPr>
        <w:t>. La realizzazione delle Case della Salute è stata inserita fra gli obiettivi dello sciopero generale territoriale del primo luglio 2016.</w:t>
      </w:r>
    </w:p>
    <w:p w:rsidR="004B01E1" w:rsidRDefault="004B01E1" w:rsidP="00256008">
      <w:pPr>
        <w:jc w:val="both"/>
        <w:rPr>
          <w:rFonts w:ascii="Century Gothic" w:hAnsi="Century Gothic"/>
        </w:rPr>
      </w:pPr>
    </w:p>
    <w:p w:rsidR="00022C8D" w:rsidRDefault="00022C8D" w:rsidP="00256008">
      <w:pPr>
        <w:jc w:val="both"/>
        <w:rPr>
          <w:rFonts w:ascii="Century Gothic" w:hAnsi="Century Gothic"/>
        </w:rPr>
      </w:pPr>
    </w:p>
    <w:p w:rsidR="00256008" w:rsidRDefault="006A3DCF" w:rsidP="00256008">
      <w:pPr>
        <w:jc w:val="both"/>
        <w:rPr>
          <w:rFonts w:ascii="Century Gothic" w:hAnsi="Century Gothic"/>
        </w:rPr>
      </w:pPr>
      <w:r>
        <w:rPr>
          <w:rFonts w:ascii="Century Gothic" w:hAnsi="Century Gothic"/>
        </w:rPr>
        <w:t xml:space="preserve">Nella </w:t>
      </w:r>
      <w:r w:rsidRPr="008F4138">
        <w:rPr>
          <w:rFonts w:ascii="Century Gothic" w:hAnsi="Century Gothic"/>
          <w:b/>
          <w:i/>
        </w:rPr>
        <w:t>provincia di Lucca</w:t>
      </w:r>
      <w:r>
        <w:rPr>
          <w:rFonts w:ascii="Century Gothic" w:hAnsi="Century Gothic"/>
          <w:b/>
          <w:i/>
        </w:rPr>
        <w:t xml:space="preserve"> </w:t>
      </w:r>
      <w:r>
        <w:rPr>
          <w:rFonts w:ascii="Century Gothic" w:hAnsi="Century Gothic"/>
        </w:rPr>
        <w:t xml:space="preserve">si verifica una crescita di un certo rilievo nel numero degli accordi siglati </w:t>
      </w:r>
      <w:r w:rsidR="002B156A">
        <w:rPr>
          <w:rFonts w:ascii="Century Gothic" w:hAnsi="Century Gothic"/>
        </w:rPr>
        <w:t>che arriva a 15</w:t>
      </w:r>
      <w:r>
        <w:rPr>
          <w:rFonts w:ascii="Century Gothic" w:hAnsi="Century Gothic"/>
        </w:rPr>
        <w:t xml:space="preserve"> </w:t>
      </w:r>
      <w:r w:rsidR="002B156A">
        <w:rPr>
          <w:rFonts w:ascii="Century Gothic" w:hAnsi="Century Gothic"/>
        </w:rPr>
        <w:t>con la copertura del 45% dei comuni e di tre quarti della popolazione (75%), collocandosi molto al di sopra della media regionale (38%). Questa rilevante copertura della popolazione è dovuta anche</w:t>
      </w:r>
      <w:r w:rsidR="00416AB0">
        <w:rPr>
          <w:rFonts w:ascii="Century Gothic" w:hAnsi="Century Gothic"/>
        </w:rPr>
        <w:t xml:space="preserve"> al</w:t>
      </w:r>
      <w:r w:rsidR="002B156A">
        <w:rPr>
          <w:rFonts w:ascii="Century Gothic" w:hAnsi="Century Gothic"/>
        </w:rPr>
        <w:t xml:space="preserve">l’accordo sottoscritto nel comune capoluogo, dove nel 2014 </w:t>
      </w:r>
      <w:r w:rsidR="006A12DF">
        <w:rPr>
          <w:rFonts w:ascii="Century Gothic" w:hAnsi="Century Gothic"/>
        </w:rPr>
        <w:t xml:space="preserve">non era stato possibile un’intesa in quanto l’amministrazione comunale si era presentata solo per la comunicazione di </w:t>
      </w:r>
      <w:r w:rsidR="006A12DF" w:rsidRPr="00AE562C">
        <w:rPr>
          <w:rFonts w:ascii="Century Gothic" w:hAnsi="Century Gothic"/>
        </w:rPr>
        <w:t>decisioni</w:t>
      </w:r>
      <w:r w:rsidR="006A12DF">
        <w:rPr>
          <w:rFonts w:ascii="Century Gothic" w:hAnsi="Century Gothic"/>
        </w:rPr>
        <w:t xml:space="preserve"> prese e non modificabili</w:t>
      </w:r>
      <w:r w:rsidR="00A66DED">
        <w:rPr>
          <w:rFonts w:ascii="Century Gothic" w:hAnsi="Century Gothic"/>
        </w:rPr>
        <w:t>,</w:t>
      </w:r>
      <w:r w:rsidR="006A12DF">
        <w:rPr>
          <w:rFonts w:ascii="Century Gothic" w:hAnsi="Century Gothic"/>
        </w:rPr>
        <w:t xml:space="preserve"> non rispondenti </w:t>
      </w:r>
      <w:r w:rsidR="006A12DF" w:rsidRPr="008B3815">
        <w:rPr>
          <w:rFonts w:ascii="Century Gothic" w:hAnsi="Century Gothic"/>
        </w:rPr>
        <w:t>a criteri di equità</w:t>
      </w:r>
      <w:r w:rsidR="00416AB0">
        <w:rPr>
          <w:rFonts w:ascii="Century Gothic" w:hAnsi="Century Gothic"/>
        </w:rPr>
        <w:t>,</w:t>
      </w:r>
      <w:r w:rsidR="006A12DF" w:rsidRPr="008B3815">
        <w:rPr>
          <w:rFonts w:ascii="Century Gothic" w:hAnsi="Century Gothic"/>
        </w:rPr>
        <w:t xml:space="preserve"> progressività </w:t>
      </w:r>
      <w:r w:rsidR="006A12DF">
        <w:rPr>
          <w:rFonts w:ascii="Century Gothic" w:hAnsi="Century Gothic"/>
        </w:rPr>
        <w:t xml:space="preserve">e di </w:t>
      </w:r>
      <w:r w:rsidR="006A12DF" w:rsidRPr="008B3815">
        <w:rPr>
          <w:rFonts w:ascii="Century Gothic" w:hAnsi="Century Gothic"/>
        </w:rPr>
        <w:t xml:space="preserve"> </w:t>
      </w:r>
      <w:r w:rsidR="00416AB0">
        <w:rPr>
          <w:rFonts w:ascii="Century Gothic" w:hAnsi="Century Gothic"/>
        </w:rPr>
        <w:t>mantenimento</w:t>
      </w:r>
      <w:r w:rsidR="006A12DF" w:rsidRPr="008B3815">
        <w:rPr>
          <w:rFonts w:ascii="Century Gothic" w:hAnsi="Century Gothic"/>
        </w:rPr>
        <w:t xml:space="preserve"> della spesa sociale</w:t>
      </w:r>
      <w:r w:rsidR="006A12DF">
        <w:rPr>
          <w:rFonts w:ascii="Century Gothic" w:hAnsi="Century Gothic"/>
        </w:rPr>
        <w:t xml:space="preserve">. </w:t>
      </w:r>
      <w:r w:rsidR="00256008">
        <w:rPr>
          <w:rFonts w:ascii="Century Gothic" w:hAnsi="Century Gothic"/>
        </w:rPr>
        <w:t xml:space="preserve">Gli accordi </w:t>
      </w:r>
      <w:r w:rsidR="006A12DF">
        <w:rPr>
          <w:rFonts w:ascii="Century Gothic" w:hAnsi="Century Gothic"/>
        </w:rPr>
        <w:t>firmati</w:t>
      </w:r>
      <w:r w:rsidR="00256008">
        <w:rPr>
          <w:rFonts w:ascii="Century Gothic" w:hAnsi="Century Gothic"/>
        </w:rPr>
        <w:t xml:space="preserve"> </w:t>
      </w:r>
      <w:r w:rsidR="00416AB0">
        <w:rPr>
          <w:rFonts w:ascii="Century Gothic" w:hAnsi="Century Gothic"/>
        </w:rPr>
        <w:t>conserva</w:t>
      </w:r>
      <w:r w:rsidR="00256008">
        <w:rPr>
          <w:rFonts w:ascii="Century Gothic" w:hAnsi="Century Gothic"/>
        </w:rPr>
        <w:t>no quell’alto livello qualitativo rilevato negli anni precedenti</w:t>
      </w:r>
      <w:r w:rsidR="006A12DF">
        <w:rPr>
          <w:rFonts w:ascii="Century Gothic" w:hAnsi="Century Gothic"/>
        </w:rPr>
        <w:t xml:space="preserve"> e</w:t>
      </w:r>
      <w:r w:rsidR="00256008">
        <w:rPr>
          <w:rFonts w:ascii="Century Gothic" w:hAnsi="Century Gothic"/>
        </w:rPr>
        <w:t xml:space="preserve"> prendono come riferimento la piattaforma provinciale</w:t>
      </w:r>
      <w:r w:rsidR="006A12DF">
        <w:rPr>
          <w:rFonts w:ascii="Century Gothic" w:hAnsi="Century Gothic"/>
        </w:rPr>
        <w:t xml:space="preserve"> presentata nel 2014</w:t>
      </w:r>
      <w:r w:rsidR="00256008">
        <w:rPr>
          <w:rFonts w:ascii="Century Gothic" w:hAnsi="Century Gothic"/>
        </w:rPr>
        <w:t xml:space="preserve">, anche se non esplicitamente citata. </w:t>
      </w:r>
      <w:r w:rsidR="00256008" w:rsidRPr="00416AB0">
        <w:rPr>
          <w:rFonts w:ascii="Century Gothic" w:hAnsi="Century Gothic"/>
        </w:rPr>
        <w:t>Sono</w:t>
      </w:r>
      <w:r w:rsidR="00416AB0" w:rsidRPr="00416AB0">
        <w:rPr>
          <w:rFonts w:ascii="Century Gothic" w:hAnsi="Century Gothic"/>
        </w:rPr>
        <w:t>, infatti,</w:t>
      </w:r>
      <w:r w:rsidR="00256008" w:rsidRPr="00416AB0">
        <w:rPr>
          <w:rFonts w:ascii="Century Gothic" w:hAnsi="Century Gothic"/>
        </w:rPr>
        <w:t xml:space="preserve"> articolati </w:t>
      </w:r>
      <w:r w:rsidR="00416AB0" w:rsidRPr="00416AB0">
        <w:rPr>
          <w:rFonts w:ascii="Century Gothic" w:hAnsi="Century Gothic"/>
        </w:rPr>
        <w:t>in</w:t>
      </w:r>
      <w:r w:rsidR="00256008" w:rsidRPr="00416AB0">
        <w:rPr>
          <w:rFonts w:ascii="Century Gothic" w:hAnsi="Century Gothic"/>
        </w:rPr>
        <w:t xml:space="preserve"> diversi paragrafi</w:t>
      </w:r>
      <w:r w:rsidR="00416AB0" w:rsidRPr="00416AB0">
        <w:rPr>
          <w:rFonts w:ascii="Century Gothic" w:hAnsi="Century Gothic"/>
        </w:rPr>
        <w:t>,</w:t>
      </w:r>
      <w:r w:rsidR="00256008" w:rsidRPr="00416AB0">
        <w:rPr>
          <w:rFonts w:ascii="Century Gothic" w:hAnsi="Century Gothic"/>
        </w:rPr>
        <w:t xml:space="preserve"> </w:t>
      </w:r>
      <w:r w:rsidR="00416AB0" w:rsidRPr="00416AB0">
        <w:rPr>
          <w:rFonts w:ascii="Century Gothic" w:hAnsi="Century Gothic"/>
        </w:rPr>
        <w:t>con</w:t>
      </w:r>
      <w:r w:rsidR="00256008" w:rsidRPr="00416AB0">
        <w:rPr>
          <w:rFonts w:ascii="Century Gothic" w:hAnsi="Century Gothic"/>
        </w:rPr>
        <w:t xml:space="preserve"> </w:t>
      </w:r>
      <w:r w:rsidR="00416AB0" w:rsidRPr="00416AB0">
        <w:rPr>
          <w:rFonts w:ascii="Century Gothic" w:hAnsi="Century Gothic"/>
        </w:rPr>
        <w:t xml:space="preserve">la </w:t>
      </w:r>
      <w:r w:rsidR="00256008" w:rsidRPr="00416AB0">
        <w:rPr>
          <w:rFonts w:ascii="Century Gothic" w:hAnsi="Century Gothic"/>
        </w:rPr>
        <w:t>descri</w:t>
      </w:r>
      <w:r w:rsidR="00416AB0" w:rsidRPr="00416AB0">
        <w:rPr>
          <w:rFonts w:ascii="Century Gothic" w:hAnsi="Century Gothic"/>
        </w:rPr>
        <w:t>zione</w:t>
      </w:r>
      <w:r w:rsidR="00256008" w:rsidRPr="00416AB0">
        <w:rPr>
          <w:rFonts w:ascii="Century Gothic" w:hAnsi="Century Gothic"/>
        </w:rPr>
        <w:t xml:space="preserve"> in dettaglio </w:t>
      </w:r>
      <w:r w:rsidR="00416AB0" w:rsidRPr="00416AB0">
        <w:rPr>
          <w:rFonts w:ascii="Century Gothic" w:hAnsi="Century Gothic"/>
        </w:rPr>
        <w:t>del</w:t>
      </w:r>
      <w:r w:rsidR="00256008" w:rsidRPr="00416AB0">
        <w:rPr>
          <w:rFonts w:ascii="Century Gothic" w:hAnsi="Century Gothic"/>
        </w:rPr>
        <w:t xml:space="preserve">le varie misure concernenti </w:t>
      </w:r>
      <w:r w:rsidR="00416AB0" w:rsidRPr="00416AB0">
        <w:rPr>
          <w:rFonts w:ascii="Century Gothic" w:hAnsi="Century Gothic"/>
        </w:rPr>
        <w:t>gli ambiti</w:t>
      </w:r>
      <w:r w:rsidR="00256008" w:rsidRPr="00416AB0">
        <w:rPr>
          <w:rFonts w:ascii="Century Gothic" w:hAnsi="Century Gothic"/>
        </w:rPr>
        <w:t xml:space="preserve"> della contrattazione sociale, partendo dalle relazioni tra le parti fino alle iniziative di socializzazione. </w:t>
      </w:r>
      <w:r w:rsidR="00416AB0" w:rsidRPr="00416AB0">
        <w:rPr>
          <w:rFonts w:ascii="Century Gothic" w:hAnsi="Century Gothic"/>
        </w:rPr>
        <w:t>Anche nel 2015 è rivolta</w:t>
      </w:r>
      <w:r w:rsidR="00256008" w:rsidRPr="00416AB0">
        <w:rPr>
          <w:rFonts w:ascii="Century Gothic" w:hAnsi="Century Gothic"/>
        </w:rPr>
        <w:t xml:space="preserve"> attenzione a due tematiche centrali come la regolazione degli appalti e la lotta all’evasione fiscale.</w:t>
      </w:r>
      <w:r w:rsidR="006A12DF">
        <w:rPr>
          <w:rFonts w:ascii="Century Gothic" w:hAnsi="Century Gothic"/>
        </w:rPr>
        <w:t xml:space="preserve"> </w:t>
      </w:r>
      <w:r w:rsidR="00491D00">
        <w:rPr>
          <w:rFonts w:ascii="Century Gothic" w:hAnsi="Century Gothic"/>
        </w:rPr>
        <w:t xml:space="preserve">Va, inoltre, tenuto in considerazione che </w:t>
      </w:r>
      <w:r w:rsidR="00F40301">
        <w:rPr>
          <w:rFonts w:ascii="Century Gothic" w:hAnsi="Century Gothic"/>
        </w:rPr>
        <w:t xml:space="preserve">il </w:t>
      </w:r>
      <w:r w:rsidR="00491D00">
        <w:rPr>
          <w:rFonts w:ascii="Century Gothic" w:hAnsi="Century Gothic"/>
        </w:rPr>
        <w:t>comun</w:t>
      </w:r>
      <w:r w:rsidR="00F40301">
        <w:rPr>
          <w:rFonts w:ascii="Century Gothic" w:hAnsi="Century Gothic"/>
        </w:rPr>
        <w:t>e</w:t>
      </w:r>
      <w:r w:rsidR="00491D00">
        <w:rPr>
          <w:rFonts w:ascii="Century Gothic" w:hAnsi="Century Gothic"/>
        </w:rPr>
        <w:t xml:space="preserve"> di Barga </w:t>
      </w:r>
      <w:r w:rsidR="00F40301">
        <w:rPr>
          <w:rFonts w:ascii="Century Gothic" w:hAnsi="Century Gothic"/>
        </w:rPr>
        <w:t xml:space="preserve">ha presentato un comunicato con le agevolazioni tariffarie concesse nel 2014 a soggetti in difficoltà (anziani, disoccupati o coinvolti in crisi aziendali) e quello </w:t>
      </w:r>
      <w:r w:rsidR="00491D00">
        <w:rPr>
          <w:rFonts w:ascii="Century Gothic" w:hAnsi="Century Gothic"/>
        </w:rPr>
        <w:t xml:space="preserve">di Capannori </w:t>
      </w:r>
      <w:r w:rsidR="00F40301">
        <w:rPr>
          <w:rFonts w:ascii="Century Gothic" w:hAnsi="Century Gothic"/>
        </w:rPr>
        <w:t>un</w:t>
      </w:r>
      <w:r w:rsidR="00491D00">
        <w:rPr>
          <w:rFonts w:ascii="Century Gothic" w:hAnsi="Century Gothic"/>
        </w:rPr>
        <w:t xml:space="preserve"> document</w:t>
      </w:r>
      <w:r w:rsidR="00F40301">
        <w:rPr>
          <w:rFonts w:ascii="Century Gothic" w:hAnsi="Century Gothic"/>
        </w:rPr>
        <w:t>o</w:t>
      </w:r>
      <w:r w:rsidR="00491D00">
        <w:rPr>
          <w:rFonts w:ascii="Century Gothic" w:hAnsi="Century Gothic"/>
        </w:rPr>
        <w:t xml:space="preserve"> </w:t>
      </w:r>
      <w:r w:rsidR="00F40301">
        <w:rPr>
          <w:rFonts w:ascii="Century Gothic" w:hAnsi="Century Gothic"/>
        </w:rPr>
        <w:t xml:space="preserve">consuntivo </w:t>
      </w:r>
      <w:r w:rsidR="00491D00">
        <w:rPr>
          <w:rFonts w:ascii="Century Gothic" w:hAnsi="Century Gothic"/>
        </w:rPr>
        <w:t xml:space="preserve"> </w:t>
      </w:r>
      <w:r w:rsidR="00F40301">
        <w:rPr>
          <w:rFonts w:ascii="Century Gothic" w:hAnsi="Century Gothic"/>
        </w:rPr>
        <w:t>degli interventi economici e dei servizi ero</w:t>
      </w:r>
      <w:r w:rsidR="00416AB0">
        <w:rPr>
          <w:rFonts w:ascii="Century Gothic" w:hAnsi="Century Gothic"/>
        </w:rPr>
        <w:t>gati nel 2014 distinti per vari</w:t>
      </w:r>
      <w:r w:rsidR="00F40301">
        <w:rPr>
          <w:rFonts w:ascii="Century Gothic" w:hAnsi="Century Gothic"/>
        </w:rPr>
        <w:t xml:space="preserve"> </w:t>
      </w:r>
      <w:r w:rsidR="00416AB0">
        <w:rPr>
          <w:rFonts w:ascii="Century Gothic" w:hAnsi="Century Gothic"/>
        </w:rPr>
        <w:t>capitoli</w:t>
      </w:r>
      <w:r w:rsidR="00F40301">
        <w:rPr>
          <w:rFonts w:ascii="Century Gothic" w:hAnsi="Century Gothic"/>
        </w:rPr>
        <w:t xml:space="preserve"> (agevolazioni tariffarie, misure anti-crisi, area materno-infantile, area anziani e non autosufficienza, etc.)</w:t>
      </w:r>
      <w:r w:rsidR="008477B2">
        <w:rPr>
          <w:rFonts w:ascii="Century Gothic" w:hAnsi="Century Gothic"/>
        </w:rPr>
        <w:t xml:space="preserve"> </w:t>
      </w:r>
      <w:r w:rsidR="00A66DED">
        <w:rPr>
          <w:rFonts w:ascii="Century Gothic" w:hAnsi="Century Gothic"/>
        </w:rPr>
        <w:t xml:space="preserve">La presenza di questi due comunicati istituzionali mette in evidenza </w:t>
      </w:r>
      <w:r w:rsidR="00A66DED" w:rsidRPr="00A66DED">
        <w:rPr>
          <w:rFonts w:ascii="Century Gothic" w:hAnsi="Century Gothic"/>
        </w:rPr>
        <w:t>l’i</w:t>
      </w:r>
      <w:r w:rsidR="008477B2" w:rsidRPr="00A66DED">
        <w:rPr>
          <w:rFonts w:ascii="Century Gothic" w:hAnsi="Century Gothic"/>
        </w:rPr>
        <w:t>mportanza delle verifiche</w:t>
      </w:r>
      <w:r w:rsidR="00A66DED">
        <w:rPr>
          <w:rFonts w:ascii="Century Gothic" w:hAnsi="Century Gothic"/>
        </w:rPr>
        <w:t xml:space="preserve"> rispetto a quanto sottoscritto negli accordi.</w:t>
      </w:r>
    </w:p>
    <w:p w:rsidR="00256008" w:rsidRDefault="008259FC" w:rsidP="00256008">
      <w:pPr>
        <w:jc w:val="both"/>
        <w:rPr>
          <w:rFonts w:ascii="Century Gothic" w:hAnsi="Century Gothic"/>
        </w:rPr>
      </w:pPr>
      <w:r>
        <w:rPr>
          <w:rFonts w:ascii="Century Gothic" w:hAnsi="Century Gothic"/>
        </w:rPr>
        <w:t>Nella</w:t>
      </w:r>
      <w:r w:rsidR="006A12DF">
        <w:rPr>
          <w:rFonts w:ascii="Century Gothic" w:hAnsi="Century Gothic"/>
        </w:rPr>
        <w:t xml:space="preserve"> zona della Versilia sono stati conclusi accordi in tutti i comuni eccetto che in quello di Viareggio perché in dissesto e commissariato</w:t>
      </w:r>
      <w:r w:rsidR="006849C9">
        <w:rPr>
          <w:rFonts w:ascii="Century Gothic" w:hAnsi="Century Gothic"/>
        </w:rPr>
        <w:t xml:space="preserve">, anche se comunque si è cercato di mantenere un rapporto continuo con il commissario straordinario prefettizio. </w:t>
      </w:r>
      <w:r w:rsidR="00491D00">
        <w:rPr>
          <w:rFonts w:ascii="Century Gothic" w:hAnsi="Century Gothic"/>
        </w:rPr>
        <w:t xml:space="preserve">Nel comune di </w:t>
      </w:r>
      <w:r w:rsidR="00491D00" w:rsidRPr="00F01BD2">
        <w:rPr>
          <w:rFonts w:ascii="Century Gothic" w:hAnsi="Century Gothic"/>
        </w:rPr>
        <w:t>Pietrasanta l’accordo è stato approvato con delibera della giunta comunale</w:t>
      </w:r>
      <w:r w:rsidR="00416AB0" w:rsidRPr="00F01BD2">
        <w:rPr>
          <w:rFonts w:ascii="Century Gothic" w:hAnsi="Century Gothic"/>
        </w:rPr>
        <w:t>,</w:t>
      </w:r>
      <w:r w:rsidR="00416AB0">
        <w:rPr>
          <w:rFonts w:ascii="Century Gothic" w:hAnsi="Century Gothic"/>
        </w:rPr>
        <w:t xml:space="preserve"> che, dovrebbe, quindi, garantire l’esecutività</w:t>
      </w:r>
      <w:r w:rsidR="00491D00">
        <w:rPr>
          <w:rFonts w:ascii="Century Gothic" w:hAnsi="Century Gothic"/>
        </w:rPr>
        <w:t xml:space="preserve">. </w:t>
      </w:r>
      <w:r w:rsidR="006849C9">
        <w:rPr>
          <w:rFonts w:ascii="Century Gothic" w:hAnsi="Century Gothic"/>
        </w:rPr>
        <w:t xml:space="preserve">Nella Valle del Serchio oltre che intese con singole amministrazioni comunali (Barga, Borgo a Mozzano, Pescaglia), è stato sottoscritto un accordo intercomunale con l’Unione dei comuni della Media Valle del Serchio. Nella tavola sinottica concernente la contrattazione sociale in questa provincia viene fatta anche menzione di un accordo </w:t>
      </w:r>
      <w:r w:rsidR="00491D00">
        <w:rPr>
          <w:rFonts w:ascii="Century Gothic" w:hAnsi="Century Gothic"/>
        </w:rPr>
        <w:t>dell’Unione comuni Garfagnana, ma non essendone in possesso non ne è stato tenuto conto nel conteggio.</w:t>
      </w:r>
    </w:p>
    <w:p w:rsidR="006A12DF" w:rsidRDefault="006A12DF" w:rsidP="00256008">
      <w:pPr>
        <w:jc w:val="both"/>
        <w:rPr>
          <w:rFonts w:ascii="Century Gothic" w:hAnsi="Century Gothic"/>
        </w:rPr>
      </w:pPr>
    </w:p>
    <w:p w:rsidR="00256008" w:rsidRDefault="008259FC" w:rsidP="00256008">
      <w:pPr>
        <w:jc w:val="both"/>
        <w:rPr>
          <w:rFonts w:ascii="Century Gothic" w:hAnsi="Century Gothic"/>
        </w:rPr>
      </w:pPr>
      <w:r>
        <w:rPr>
          <w:rFonts w:ascii="Century Gothic" w:hAnsi="Century Gothic"/>
        </w:rPr>
        <w:t>La</w:t>
      </w:r>
      <w:r w:rsidR="00256008">
        <w:rPr>
          <w:rFonts w:ascii="Century Gothic" w:hAnsi="Century Gothic"/>
        </w:rPr>
        <w:t xml:space="preserve"> </w:t>
      </w:r>
      <w:r w:rsidR="00256008" w:rsidRPr="008F4138">
        <w:rPr>
          <w:rFonts w:ascii="Century Gothic" w:hAnsi="Century Gothic"/>
          <w:b/>
          <w:i/>
        </w:rPr>
        <w:t>provincia di Massa</w:t>
      </w:r>
      <w:r w:rsidR="00256008">
        <w:rPr>
          <w:rFonts w:ascii="Century Gothic" w:hAnsi="Century Gothic"/>
        </w:rPr>
        <w:t xml:space="preserve"> non </w:t>
      </w:r>
      <w:r>
        <w:rPr>
          <w:rFonts w:ascii="Century Gothic" w:hAnsi="Century Gothic"/>
        </w:rPr>
        <w:t xml:space="preserve">vanta </w:t>
      </w:r>
      <w:r w:rsidR="00256008">
        <w:rPr>
          <w:rFonts w:ascii="Century Gothic" w:hAnsi="Century Gothic"/>
        </w:rPr>
        <w:t xml:space="preserve">una tradizione di </w:t>
      </w:r>
      <w:r w:rsidR="008E0B75">
        <w:rPr>
          <w:rFonts w:ascii="Century Gothic" w:hAnsi="Century Gothic"/>
        </w:rPr>
        <w:t>negoziazione</w:t>
      </w:r>
      <w:r w:rsidR="00256008">
        <w:rPr>
          <w:rFonts w:ascii="Century Gothic" w:hAnsi="Century Gothic"/>
        </w:rPr>
        <w:t xml:space="preserve"> sociale</w:t>
      </w:r>
      <w:r>
        <w:rPr>
          <w:rFonts w:ascii="Century Gothic" w:hAnsi="Century Gothic"/>
        </w:rPr>
        <w:t xml:space="preserve"> </w:t>
      </w:r>
      <w:r w:rsidR="008E0B75">
        <w:rPr>
          <w:rFonts w:ascii="Century Gothic" w:hAnsi="Century Gothic"/>
        </w:rPr>
        <w:t xml:space="preserve">soprattutto </w:t>
      </w:r>
      <w:r>
        <w:rPr>
          <w:rFonts w:ascii="Century Gothic" w:hAnsi="Century Gothic"/>
        </w:rPr>
        <w:t>a livello di amministrazione comunale. In passato, l’attività di contrattazione sociale ha riguardato soprattutto l’ambito sanitario</w:t>
      </w:r>
      <w:r w:rsidR="00256008">
        <w:rPr>
          <w:rFonts w:ascii="Century Gothic" w:hAnsi="Century Gothic"/>
        </w:rPr>
        <w:t xml:space="preserve">, di fronte alla crisi </w:t>
      </w:r>
      <w:r>
        <w:rPr>
          <w:rFonts w:ascii="Century Gothic" w:hAnsi="Century Gothic"/>
        </w:rPr>
        <w:t>concernent</w:t>
      </w:r>
      <w:r w:rsidR="00416AB0">
        <w:rPr>
          <w:rFonts w:ascii="Century Gothic" w:hAnsi="Century Gothic"/>
        </w:rPr>
        <w:t>e</w:t>
      </w:r>
      <w:r w:rsidR="00256008">
        <w:rPr>
          <w:rFonts w:ascii="Century Gothic" w:hAnsi="Century Gothic"/>
        </w:rPr>
        <w:t xml:space="preserve"> alcune ASL, con la sigla di verbali di incontro assimilabili ad accordi, che interessavano 4 comuni, e con incontri con le ASL sia nel 2012 che nel 2013. Nel 2014, non si </w:t>
      </w:r>
      <w:r>
        <w:rPr>
          <w:rFonts w:ascii="Century Gothic" w:hAnsi="Century Gothic"/>
        </w:rPr>
        <w:t xml:space="preserve">è </w:t>
      </w:r>
      <w:r w:rsidR="00256008">
        <w:rPr>
          <w:rFonts w:ascii="Century Gothic" w:hAnsi="Century Gothic"/>
        </w:rPr>
        <w:t>registra</w:t>
      </w:r>
      <w:r>
        <w:rPr>
          <w:rFonts w:ascii="Century Gothic" w:hAnsi="Century Gothic"/>
        </w:rPr>
        <w:t>to</w:t>
      </w:r>
      <w:r w:rsidR="00256008">
        <w:rPr>
          <w:rFonts w:ascii="Century Gothic" w:hAnsi="Century Gothic"/>
        </w:rPr>
        <w:t xml:space="preserve"> alcun tipo di accordo</w:t>
      </w:r>
      <w:r>
        <w:rPr>
          <w:rFonts w:ascii="Century Gothic" w:hAnsi="Century Gothic"/>
        </w:rPr>
        <w:t xml:space="preserve">, ma nel 2015 </w:t>
      </w:r>
      <w:r w:rsidR="008E0B75">
        <w:rPr>
          <w:rFonts w:ascii="Century Gothic" w:hAnsi="Century Gothic"/>
        </w:rPr>
        <w:t xml:space="preserve">si è arrivati alla </w:t>
      </w:r>
      <w:r w:rsidR="00E35D6D">
        <w:rPr>
          <w:rFonts w:ascii="Century Gothic" w:hAnsi="Century Gothic"/>
        </w:rPr>
        <w:t>conclusione</w:t>
      </w:r>
      <w:r w:rsidR="008E0B75">
        <w:rPr>
          <w:rFonts w:ascii="Century Gothic" w:hAnsi="Century Gothic"/>
        </w:rPr>
        <w:t xml:space="preserve"> di </w:t>
      </w:r>
      <w:r w:rsidR="00E35D6D">
        <w:rPr>
          <w:rFonts w:ascii="Century Gothic" w:hAnsi="Century Gothic"/>
        </w:rPr>
        <w:t>intese</w:t>
      </w:r>
      <w:r w:rsidR="008E0B75">
        <w:rPr>
          <w:rFonts w:ascii="Century Gothic" w:hAnsi="Century Gothic"/>
        </w:rPr>
        <w:t xml:space="preserve"> </w:t>
      </w:r>
      <w:r w:rsidR="00E35D6D">
        <w:rPr>
          <w:rFonts w:ascii="Century Gothic" w:hAnsi="Century Gothic"/>
        </w:rPr>
        <w:t xml:space="preserve">in due comuni, che sono i primi due esempi di sottoscrizione di accordi </w:t>
      </w:r>
      <w:r w:rsidR="008E0B75">
        <w:rPr>
          <w:rFonts w:ascii="Century Gothic" w:hAnsi="Century Gothic"/>
        </w:rPr>
        <w:t>con le amministrazioni comunali</w:t>
      </w:r>
      <w:r w:rsidR="00E35D6D">
        <w:rPr>
          <w:rFonts w:ascii="Century Gothic" w:hAnsi="Century Gothic"/>
        </w:rPr>
        <w:t xml:space="preserve"> in questo </w:t>
      </w:r>
      <w:r w:rsidR="00E35D6D">
        <w:rPr>
          <w:rFonts w:ascii="Century Gothic" w:hAnsi="Century Gothic"/>
        </w:rPr>
        <w:lastRenderedPageBreak/>
        <w:t xml:space="preserve">territorio. E’ sicuramente un risultato da valorizzare </w:t>
      </w:r>
      <w:r w:rsidR="002F3DA3">
        <w:rPr>
          <w:rFonts w:ascii="Century Gothic" w:hAnsi="Century Gothic"/>
        </w:rPr>
        <w:t xml:space="preserve">in una provincia in cui era stato finora assente questo tipo di contrattazione, considerando anche la presenza del comune capoluogo, che porta la copertura della popolazione a circa due quinti di quella totale (39%), in linea con la media regionale (38%). </w:t>
      </w:r>
      <w:r w:rsidR="00517760">
        <w:rPr>
          <w:rFonts w:ascii="Century Gothic" w:hAnsi="Century Gothic"/>
        </w:rPr>
        <w:t xml:space="preserve">Inoltre, è stato </w:t>
      </w:r>
      <w:r w:rsidR="00517760" w:rsidRPr="00517760">
        <w:rPr>
          <w:rFonts w:ascii="Century Gothic" w:hAnsi="Century Gothic"/>
        </w:rPr>
        <w:t>presentata una piattaforma a livello provinciale, che, a quanto ci risulta, è il primo documento di tale tipologia redatto in questo territorio.</w:t>
      </w:r>
      <w:r w:rsidR="00517760">
        <w:rPr>
          <w:rFonts w:ascii="Century Gothic" w:hAnsi="Century Gothic"/>
        </w:rPr>
        <w:t xml:space="preserve"> </w:t>
      </w:r>
      <w:r w:rsidR="002F3DA3">
        <w:rPr>
          <w:rFonts w:ascii="Century Gothic" w:hAnsi="Century Gothic"/>
        </w:rPr>
        <w:t xml:space="preserve">I due accordi, simili nel contenuto, prendono come riferimento </w:t>
      </w:r>
      <w:r w:rsidR="00416AB0">
        <w:rPr>
          <w:rFonts w:ascii="Century Gothic" w:hAnsi="Century Gothic"/>
        </w:rPr>
        <w:t xml:space="preserve">due intese </w:t>
      </w:r>
      <w:r w:rsidR="00D65D2C">
        <w:rPr>
          <w:rFonts w:ascii="Century Gothic" w:hAnsi="Century Gothic"/>
        </w:rPr>
        <w:t xml:space="preserve">firmate </w:t>
      </w:r>
      <w:r w:rsidR="00416AB0">
        <w:rPr>
          <w:rFonts w:ascii="Century Gothic" w:hAnsi="Century Gothic"/>
        </w:rPr>
        <w:t xml:space="preserve">a livello regionale: </w:t>
      </w:r>
      <w:r w:rsidR="002F3DA3">
        <w:rPr>
          <w:rFonts w:ascii="Century Gothic" w:hAnsi="Century Gothic"/>
        </w:rPr>
        <w:t>il protocollo sottoscritto con l’ANCI Toscana sui temi della fiscalità locale</w:t>
      </w:r>
      <w:r w:rsidR="00416AB0">
        <w:rPr>
          <w:rFonts w:ascii="Century Gothic" w:hAnsi="Century Gothic"/>
        </w:rPr>
        <w:t>;</w:t>
      </w:r>
      <w:r w:rsidR="009A23E0">
        <w:rPr>
          <w:rFonts w:ascii="Century Gothic" w:hAnsi="Century Gothic"/>
        </w:rPr>
        <w:t xml:space="preserve"> </w:t>
      </w:r>
      <w:r w:rsidR="009A23E0" w:rsidRPr="00416AB0">
        <w:rPr>
          <w:rFonts w:ascii="Century Gothic" w:hAnsi="Century Gothic"/>
        </w:rPr>
        <w:t xml:space="preserve">il protocollo </w:t>
      </w:r>
      <w:r w:rsidR="00416AB0" w:rsidRPr="00416AB0">
        <w:rPr>
          <w:rFonts w:ascii="Century Gothic" w:hAnsi="Century Gothic"/>
        </w:rPr>
        <w:t xml:space="preserve">sottoscritto con </w:t>
      </w:r>
      <w:r w:rsidR="009A23E0" w:rsidRPr="00416AB0">
        <w:rPr>
          <w:rFonts w:ascii="Century Gothic" w:hAnsi="Century Gothic"/>
        </w:rPr>
        <w:t xml:space="preserve">Regione Toscana ed Estar per quanto riguarda </w:t>
      </w:r>
      <w:r w:rsidR="00634F95">
        <w:rPr>
          <w:rFonts w:ascii="Century Gothic" w:hAnsi="Century Gothic"/>
        </w:rPr>
        <w:t>l’introduzione di clausole sociali ne</w:t>
      </w:r>
      <w:r w:rsidR="009A23E0" w:rsidRPr="00416AB0">
        <w:rPr>
          <w:rFonts w:ascii="Century Gothic" w:hAnsi="Century Gothic"/>
        </w:rPr>
        <w:t>gli appalti.</w:t>
      </w:r>
      <w:r w:rsidR="006827D5">
        <w:rPr>
          <w:rFonts w:ascii="Century Gothic" w:hAnsi="Century Gothic"/>
        </w:rPr>
        <w:t xml:space="preserve"> </w:t>
      </w:r>
    </w:p>
    <w:p w:rsidR="00256008" w:rsidRDefault="00256008" w:rsidP="00256008">
      <w:pPr>
        <w:jc w:val="both"/>
        <w:rPr>
          <w:rFonts w:ascii="Century Gothic" w:hAnsi="Century Gothic"/>
        </w:rPr>
      </w:pPr>
    </w:p>
    <w:p w:rsidR="00B13DB1" w:rsidRPr="001907F0" w:rsidRDefault="00256008" w:rsidP="001907F0">
      <w:pPr>
        <w:tabs>
          <w:tab w:val="left" w:pos="1530"/>
        </w:tabs>
        <w:jc w:val="both"/>
        <w:rPr>
          <w:rFonts w:ascii="Century Gothic" w:hAnsi="Century Gothic"/>
        </w:rPr>
      </w:pPr>
      <w:r w:rsidRPr="00590AE2">
        <w:rPr>
          <w:rFonts w:ascii="Century Gothic" w:hAnsi="Century Gothic"/>
        </w:rPr>
        <w:t xml:space="preserve">La </w:t>
      </w:r>
      <w:r w:rsidRPr="008F4138">
        <w:rPr>
          <w:rFonts w:ascii="Century Gothic" w:hAnsi="Century Gothic"/>
          <w:b/>
          <w:i/>
        </w:rPr>
        <w:t>provincia di Pisa</w:t>
      </w:r>
      <w:r w:rsidRPr="009146F2">
        <w:rPr>
          <w:rFonts w:ascii="Century Gothic" w:hAnsi="Century Gothic"/>
          <w:b/>
        </w:rPr>
        <w:t xml:space="preserve"> </w:t>
      </w:r>
      <w:r w:rsidR="00B76935">
        <w:rPr>
          <w:rFonts w:ascii="Century Gothic" w:hAnsi="Century Gothic"/>
        </w:rPr>
        <w:t xml:space="preserve">riesce a conservare </w:t>
      </w:r>
      <w:r w:rsidR="00B76935" w:rsidRPr="00590AE2">
        <w:rPr>
          <w:rFonts w:ascii="Century Gothic" w:hAnsi="Century Gothic"/>
        </w:rPr>
        <w:t>all’incirca</w:t>
      </w:r>
      <w:r w:rsidR="00B76935">
        <w:rPr>
          <w:rFonts w:ascii="Century Gothic" w:hAnsi="Century Gothic"/>
        </w:rPr>
        <w:t xml:space="preserve"> il </w:t>
      </w:r>
      <w:r w:rsidR="00B76935" w:rsidRPr="0019393E">
        <w:rPr>
          <w:rFonts w:ascii="Century Gothic" w:hAnsi="Century Gothic"/>
        </w:rPr>
        <w:t xml:space="preserve">numero </w:t>
      </w:r>
      <w:r w:rsidR="00B76935" w:rsidRPr="00D6085A">
        <w:rPr>
          <w:rFonts w:ascii="Century Gothic" w:hAnsi="Century Gothic"/>
        </w:rPr>
        <w:t>di comuni coperti</w:t>
      </w:r>
      <w:r w:rsidR="00B76935">
        <w:rPr>
          <w:rFonts w:ascii="Century Gothic" w:hAnsi="Century Gothic"/>
        </w:rPr>
        <w:t xml:space="preserve"> del 2014, anno in cui, nonostante i margini ristretti di negoziazione sociale, era l’unica area che aveva incrementato in maniera significativa le amministrazioni comunali coinvolte rispetto al 2013. Si attesta </w:t>
      </w:r>
      <w:r w:rsidR="00A16D42">
        <w:rPr>
          <w:rFonts w:ascii="Century Gothic" w:hAnsi="Century Gothic"/>
        </w:rPr>
        <w:t xml:space="preserve">quindi su valori simili al 2014 per quanto riguarda il numero coperti </w:t>
      </w:r>
      <w:r w:rsidR="00B76935">
        <w:rPr>
          <w:rFonts w:ascii="Century Gothic" w:hAnsi="Century Gothic" w:cs="Arial"/>
          <w:lang w:eastAsia="it-IT"/>
        </w:rPr>
        <w:t>(43%</w:t>
      </w:r>
      <w:r w:rsidR="00A16D42">
        <w:rPr>
          <w:rFonts w:ascii="Century Gothic" w:hAnsi="Century Gothic" w:cs="Arial"/>
          <w:lang w:eastAsia="it-IT"/>
        </w:rPr>
        <w:t xml:space="preserve"> nel 2015 rispetto al 46% del 2014</w:t>
      </w:r>
      <w:r w:rsidR="00B76935">
        <w:rPr>
          <w:rFonts w:ascii="Century Gothic" w:hAnsi="Century Gothic" w:cs="Arial"/>
          <w:lang w:eastAsia="it-IT"/>
        </w:rPr>
        <w:t xml:space="preserve">) </w:t>
      </w:r>
      <w:r w:rsidR="00A16D42">
        <w:rPr>
          <w:rFonts w:ascii="Century Gothic" w:hAnsi="Century Gothic" w:cs="Arial"/>
          <w:lang w:eastAsia="it-IT"/>
        </w:rPr>
        <w:t>ma cala notevolmente la popolazione coperta (da 72% del 2014 a 45% del 2015)</w:t>
      </w:r>
      <w:r w:rsidR="00590AE2">
        <w:rPr>
          <w:rFonts w:ascii="Century Gothic" w:hAnsi="Century Gothic" w:cs="Arial"/>
          <w:lang w:eastAsia="it-IT"/>
        </w:rPr>
        <w:t>;</w:t>
      </w:r>
      <w:r w:rsidR="00A16D42">
        <w:rPr>
          <w:rFonts w:ascii="Century Gothic" w:hAnsi="Century Gothic" w:cs="Arial"/>
          <w:lang w:eastAsia="it-IT"/>
        </w:rPr>
        <w:t xml:space="preserve"> </w:t>
      </w:r>
      <w:r w:rsidR="00590AE2">
        <w:rPr>
          <w:rFonts w:ascii="Century Gothic" w:hAnsi="Century Gothic" w:cs="Arial"/>
          <w:lang w:eastAsia="it-IT"/>
        </w:rPr>
        <w:t xml:space="preserve">questo è </w:t>
      </w:r>
      <w:r w:rsidR="00970A1C">
        <w:rPr>
          <w:rFonts w:ascii="Century Gothic" w:hAnsi="Century Gothic" w:cs="Arial"/>
          <w:lang w:eastAsia="it-IT"/>
        </w:rPr>
        <w:t>dovuto</w:t>
      </w:r>
      <w:r w:rsidR="00634F95">
        <w:rPr>
          <w:rFonts w:ascii="Century Gothic" w:hAnsi="Century Gothic" w:cs="Arial"/>
          <w:lang w:eastAsia="it-IT"/>
        </w:rPr>
        <w:t>,</w:t>
      </w:r>
      <w:r w:rsidR="00970A1C">
        <w:rPr>
          <w:rFonts w:ascii="Century Gothic" w:hAnsi="Century Gothic" w:cs="Arial"/>
          <w:lang w:eastAsia="it-IT"/>
        </w:rPr>
        <w:t xml:space="preserve"> </w:t>
      </w:r>
      <w:r w:rsidR="00634F95">
        <w:rPr>
          <w:rFonts w:ascii="Century Gothic" w:hAnsi="Century Gothic" w:cs="Arial"/>
          <w:lang w:eastAsia="it-IT"/>
        </w:rPr>
        <w:t xml:space="preserve">principalmente, </w:t>
      </w:r>
      <w:r w:rsidR="00970A1C">
        <w:rPr>
          <w:rFonts w:ascii="Century Gothic" w:hAnsi="Century Gothic" w:cs="Arial"/>
          <w:lang w:eastAsia="it-IT"/>
        </w:rPr>
        <w:t>all’assenza del comune capoluogo e</w:t>
      </w:r>
      <w:r w:rsidR="006E53D3">
        <w:rPr>
          <w:rFonts w:ascii="Century Gothic" w:hAnsi="Century Gothic" w:cs="Arial"/>
          <w:lang w:eastAsia="it-IT"/>
        </w:rPr>
        <w:t>,</w:t>
      </w:r>
      <w:r w:rsidR="00970A1C">
        <w:rPr>
          <w:rFonts w:ascii="Century Gothic" w:hAnsi="Century Gothic" w:cs="Arial"/>
          <w:lang w:eastAsia="it-IT"/>
        </w:rPr>
        <w:t xml:space="preserve"> secondariamente</w:t>
      </w:r>
      <w:r w:rsidR="006E53D3">
        <w:rPr>
          <w:rFonts w:ascii="Century Gothic" w:hAnsi="Century Gothic" w:cs="Arial"/>
          <w:lang w:eastAsia="it-IT"/>
        </w:rPr>
        <w:t>,</w:t>
      </w:r>
      <w:r w:rsidR="00970A1C">
        <w:rPr>
          <w:rFonts w:ascii="Century Gothic" w:hAnsi="Century Gothic" w:cs="Arial"/>
          <w:lang w:eastAsia="it-IT"/>
        </w:rPr>
        <w:t xml:space="preserve"> di un comune medio-grande come San Miniato. </w:t>
      </w:r>
      <w:r w:rsidR="008B1DD4">
        <w:rPr>
          <w:rFonts w:ascii="Century Gothic" w:hAnsi="Century Gothic" w:cs="Arial"/>
          <w:lang w:eastAsia="it-IT"/>
        </w:rPr>
        <w:t xml:space="preserve">Nel 2014 </w:t>
      </w:r>
      <w:r w:rsidR="008B1DD4" w:rsidRPr="0042034D">
        <w:rPr>
          <w:rFonts w:ascii="Century Gothic" w:hAnsi="Century Gothic"/>
        </w:rPr>
        <w:t>il comune capoluogo</w:t>
      </w:r>
      <w:r w:rsidR="008B1DD4">
        <w:rPr>
          <w:rFonts w:ascii="Century Gothic" w:hAnsi="Century Gothic"/>
        </w:rPr>
        <w:t xml:space="preserve"> era presente anche se con un verbale di incontro, in cui, comunque, veniva stabilito l’inserimento nella manovra di variazione di bilancio 2014 di alcune proposte dei rappresentanti delle leghe dei pensionati, mentre per altre si prevedeva l’approfondimento nel bilancio 2015</w:t>
      </w:r>
      <w:r w:rsidR="00B13DB1">
        <w:rPr>
          <w:rFonts w:ascii="Century Gothic" w:hAnsi="Century Gothic"/>
        </w:rPr>
        <w:t>,</w:t>
      </w:r>
      <w:r w:rsidR="008B1DD4">
        <w:rPr>
          <w:rFonts w:ascii="Century Gothic" w:hAnsi="Century Gothic"/>
        </w:rPr>
        <w:t xml:space="preserve"> dopo una fase di concertazione. </w:t>
      </w:r>
      <w:r w:rsidR="006E53D3">
        <w:rPr>
          <w:rFonts w:ascii="Century Gothic" w:hAnsi="Century Gothic" w:cs="Arial"/>
          <w:lang w:eastAsia="it-IT"/>
        </w:rPr>
        <w:t xml:space="preserve">In questa provincia </w:t>
      </w:r>
      <w:r w:rsidR="00590AE2">
        <w:rPr>
          <w:rFonts w:ascii="Century Gothic" w:hAnsi="Century Gothic" w:cs="Arial"/>
          <w:lang w:eastAsia="it-IT"/>
        </w:rPr>
        <w:t xml:space="preserve">l’iniziativa è partita con la presentazione di </w:t>
      </w:r>
      <w:r w:rsidR="006E53D3">
        <w:rPr>
          <w:rFonts w:ascii="Century Gothic" w:hAnsi="Century Gothic" w:cs="Arial"/>
          <w:lang w:eastAsia="it-IT"/>
        </w:rPr>
        <w:t>una piattaforma unitaria da parte delle organizzazioni sindacali confederali</w:t>
      </w:r>
      <w:r w:rsidR="000855B2">
        <w:rPr>
          <w:rFonts w:ascii="Century Gothic" w:hAnsi="Century Gothic" w:cs="Arial"/>
          <w:lang w:eastAsia="it-IT"/>
        </w:rPr>
        <w:t>, sulla base della quale è stato richiesto un confronto con tutt</w:t>
      </w:r>
      <w:r w:rsidR="00F218D6">
        <w:rPr>
          <w:rFonts w:ascii="Century Gothic" w:hAnsi="Century Gothic" w:cs="Arial"/>
          <w:lang w:eastAsia="it-IT"/>
        </w:rPr>
        <w:t>e</w:t>
      </w:r>
      <w:r w:rsidR="000855B2">
        <w:rPr>
          <w:rFonts w:ascii="Century Gothic" w:hAnsi="Century Gothic" w:cs="Arial"/>
          <w:lang w:eastAsia="it-IT"/>
        </w:rPr>
        <w:t xml:space="preserve"> </w:t>
      </w:r>
      <w:r w:rsidR="00F218D6">
        <w:rPr>
          <w:rFonts w:ascii="Century Gothic" w:hAnsi="Century Gothic" w:cs="Arial"/>
          <w:lang w:eastAsia="it-IT"/>
        </w:rPr>
        <w:t>le</w:t>
      </w:r>
      <w:r w:rsidR="000855B2">
        <w:rPr>
          <w:rFonts w:ascii="Century Gothic" w:hAnsi="Century Gothic" w:cs="Arial"/>
          <w:lang w:eastAsia="it-IT"/>
        </w:rPr>
        <w:t xml:space="preserve"> </w:t>
      </w:r>
      <w:r w:rsidR="00F218D6">
        <w:rPr>
          <w:rFonts w:ascii="Century Gothic" w:hAnsi="Century Gothic" w:cs="Arial"/>
          <w:lang w:eastAsia="it-IT"/>
        </w:rPr>
        <w:t xml:space="preserve">amministrazioni </w:t>
      </w:r>
      <w:r w:rsidR="000855B2">
        <w:rPr>
          <w:rFonts w:ascii="Century Gothic" w:hAnsi="Century Gothic" w:cs="Arial"/>
          <w:lang w:eastAsia="it-IT"/>
        </w:rPr>
        <w:t>comun</w:t>
      </w:r>
      <w:r w:rsidR="00F218D6">
        <w:rPr>
          <w:rFonts w:ascii="Century Gothic" w:hAnsi="Century Gothic" w:cs="Arial"/>
          <w:lang w:eastAsia="it-IT"/>
        </w:rPr>
        <w:t>ali</w:t>
      </w:r>
      <w:r w:rsidR="000855B2">
        <w:rPr>
          <w:rFonts w:ascii="Century Gothic" w:hAnsi="Century Gothic" w:cs="Arial"/>
          <w:lang w:eastAsia="it-IT"/>
        </w:rPr>
        <w:t xml:space="preserve">. </w:t>
      </w:r>
      <w:r w:rsidR="0007004F">
        <w:rPr>
          <w:rFonts w:ascii="Century Gothic" w:hAnsi="Century Gothic" w:cs="Arial"/>
          <w:lang w:eastAsia="it-IT"/>
        </w:rPr>
        <w:t>Nel complesso, come si rileva dal comunicato sindacale</w:t>
      </w:r>
      <w:r w:rsidR="0036011F">
        <w:rPr>
          <w:rFonts w:ascii="Century Gothic" w:hAnsi="Century Gothic" w:cs="Arial"/>
          <w:lang w:eastAsia="it-IT"/>
        </w:rPr>
        <w:t xml:space="preserve"> </w:t>
      </w:r>
      <w:r w:rsidR="0036011F">
        <w:rPr>
          <w:rFonts w:ascii="Century Gothic" w:hAnsi="Century Gothic"/>
        </w:rPr>
        <w:t>diffuso alla fine di novembre 2015</w:t>
      </w:r>
      <w:r w:rsidR="0007004F">
        <w:rPr>
          <w:rFonts w:ascii="Century Gothic" w:hAnsi="Century Gothic" w:cs="Arial"/>
          <w:lang w:eastAsia="it-IT"/>
        </w:rPr>
        <w:t xml:space="preserve">, su 37 comuni della provincia solo 5 non hanno accettato il </w:t>
      </w:r>
      <w:r w:rsidR="00174857">
        <w:rPr>
          <w:rFonts w:ascii="Century Gothic" w:hAnsi="Century Gothic" w:cs="Arial"/>
          <w:lang w:eastAsia="it-IT"/>
        </w:rPr>
        <w:t>dialogo</w:t>
      </w:r>
      <w:r w:rsidR="0007004F">
        <w:rPr>
          <w:rFonts w:ascii="Century Gothic" w:hAnsi="Century Gothic" w:cs="Arial"/>
          <w:lang w:eastAsia="it-IT"/>
        </w:rPr>
        <w:t xml:space="preserve">. </w:t>
      </w:r>
      <w:r w:rsidR="00B13DB1">
        <w:rPr>
          <w:rFonts w:ascii="Century Gothic" w:hAnsi="Century Gothic" w:cs="Arial"/>
          <w:lang w:eastAsia="it-IT"/>
        </w:rPr>
        <w:t>Negli altri casi</w:t>
      </w:r>
      <w:r w:rsidR="00634F95">
        <w:rPr>
          <w:rFonts w:ascii="Century Gothic" w:hAnsi="Century Gothic" w:cs="Arial"/>
          <w:lang w:eastAsia="it-IT"/>
        </w:rPr>
        <w:t>,</w:t>
      </w:r>
      <w:r w:rsidR="00B13DB1">
        <w:rPr>
          <w:rFonts w:ascii="Century Gothic" w:hAnsi="Century Gothic" w:cs="Arial"/>
          <w:lang w:eastAsia="it-IT"/>
        </w:rPr>
        <w:t xml:space="preserve"> </w:t>
      </w:r>
      <w:r w:rsidR="00634F95">
        <w:rPr>
          <w:rFonts w:ascii="Century Gothic" w:hAnsi="Century Gothic" w:cs="Arial"/>
          <w:lang w:eastAsia="it-IT"/>
        </w:rPr>
        <w:t xml:space="preserve">con l’impegno congiunto dei sindacati confederali e delle leghe dei pensionati, </w:t>
      </w:r>
      <w:r w:rsidR="00B13DB1">
        <w:rPr>
          <w:rFonts w:ascii="Century Gothic" w:hAnsi="Century Gothic" w:cs="Arial"/>
          <w:lang w:eastAsia="it-IT"/>
        </w:rPr>
        <w:t>sono stati siglati accordi, oppure sono stati redatti verbali o si sono svolti degli incontri senza accordo o verbale</w:t>
      </w:r>
      <w:r w:rsidR="00634F95">
        <w:rPr>
          <w:rFonts w:ascii="Century Gothic" w:hAnsi="Century Gothic" w:cs="Arial"/>
          <w:lang w:eastAsia="it-IT"/>
        </w:rPr>
        <w:t>.</w:t>
      </w:r>
      <w:r w:rsidR="001907F0">
        <w:rPr>
          <w:rFonts w:ascii="Century Gothic" w:hAnsi="Century Gothic" w:cs="Arial"/>
          <w:lang w:eastAsia="it-IT"/>
        </w:rPr>
        <w:t xml:space="preserve"> </w:t>
      </w:r>
      <w:r w:rsidR="00B13DB1" w:rsidRPr="001907F0">
        <w:rPr>
          <w:rFonts w:ascii="Century Gothic" w:hAnsi="Century Gothic"/>
        </w:rPr>
        <w:t xml:space="preserve">I temi trattati sono stati quelli propri della contrattazione sociale (fiscalità, politiche sociali, tariffe, etc.) e sono stati acquisiti risultati in termini di progressività nelle aliquote e scaglioni fiscali, </w:t>
      </w:r>
      <w:r w:rsidR="001907F0">
        <w:rPr>
          <w:rFonts w:ascii="Century Gothic" w:hAnsi="Century Gothic"/>
        </w:rPr>
        <w:t xml:space="preserve">di </w:t>
      </w:r>
      <w:r w:rsidR="00B13DB1" w:rsidRPr="001907F0">
        <w:rPr>
          <w:rFonts w:ascii="Century Gothic" w:hAnsi="Century Gothic"/>
        </w:rPr>
        <w:t>invarianza delle tariffe per i servizi a domanda individuale, di mantenimento d</w:t>
      </w:r>
      <w:r w:rsidR="001907F0">
        <w:rPr>
          <w:rFonts w:ascii="Century Gothic" w:hAnsi="Century Gothic"/>
        </w:rPr>
        <w:t>ello</w:t>
      </w:r>
      <w:r w:rsidR="00B13DB1" w:rsidRPr="001907F0">
        <w:rPr>
          <w:rFonts w:ascii="Century Gothic" w:hAnsi="Century Gothic"/>
        </w:rPr>
        <w:t xml:space="preserve"> stanziamento di risorse per le politiche sociali</w:t>
      </w:r>
      <w:r w:rsidR="001907F0">
        <w:rPr>
          <w:rFonts w:ascii="Century Gothic" w:hAnsi="Century Gothic"/>
        </w:rPr>
        <w:t>,</w:t>
      </w:r>
      <w:r w:rsidR="00B13DB1" w:rsidRPr="001907F0">
        <w:rPr>
          <w:rFonts w:ascii="Century Gothic" w:hAnsi="Century Gothic"/>
        </w:rPr>
        <w:t xml:space="preserve"> in particolare per gli anziani e le fasce più deboli della popolazione. </w:t>
      </w:r>
      <w:r w:rsidR="00174857">
        <w:rPr>
          <w:rFonts w:ascii="Century Gothic" w:hAnsi="Century Gothic"/>
        </w:rPr>
        <w:t xml:space="preserve">Inoltre, </w:t>
      </w:r>
      <w:r w:rsidR="00E52523">
        <w:rPr>
          <w:rFonts w:ascii="Century Gothic" w:hAnsi="Century Gothic"/>
        </w:rPr>
        <w:t>il</w:t>
      </w:r>
      <w:r w:rsidR="001907F0">
        <w:rPr>
          <w:rFonts w:ascii="Century Gothic" w:hAnsi="Century Gothic"/>
        </w:rPr>
        <w:t xml:space="preserve"> sindacato di questo territorio</w:t>
      </w:r>
      <w:r w:rsidR="00E52523">
        <w:rPr>
          <w:rFonts w:ascii="Century Gothic" w:hAnsi="Century Gothic"/>
        </w:rPr>
        <w:t xml:space="preserve"> ha sottolineato l’</w:t>
      </w:r>
      <w:r w:rsidR="00B13DB1" w:rsidRPr="001907F0">
        <w:rPr>
          <w:rFonts w:ascii="Century Gothic" w:hAnsi="Century Gothic"/>
        </w:rPr>
        <w:t>importan</w:t>
      </w:r>
      <w:r w:rsidR="00E52523">
        <w:rPr>
          <w:rFonts w:ascii="Century Gothic" w:hAnsi="Century Gothic"/>
        </w:rPr>
        <w:t xml:space="preserve">za di </w:t>
      </w:r>
      <w:r w:rsidR="00B13DB1" w:rsidRPr="001907F0">
        <w:rPr>
          <w:rFonts w:ascii="Century Gothic" w:hAnsi="Century Gothic"/>
        </w:rPr>
        <w:t>chiedere ai comuni firmatari degli accordi e dei verbali incontri di verifica</w:t>
      </w:r>
      <w:r w:rsidR="001907F0">
        <w:rPr>
          <w:rFonts w:ascii="Century Gothic" w:hAnsi="Century Gothic"/>
        </w:rPr>
        <w:t xml:space="preserve"> </w:t>
      </w:r>
      <w:r w:rsidR="00B13DB1" w:rsidRPr="001907F0">
        <w:rPr>
          <w:rFonts w:ascii="Century Gothic" w:hAnsi="Century Gothic"/>
        </w:rPr>
        <w:t>a consuntivo, e il monitoraggio degli effetti derivanti dall’applicazione dell</w:t>
      </w:r>
      <w:r w:rsidR="001907F0" w:rsidRPr="001907F0">
        <w:rPr>
          <w:rFonts w:ascii="Century Gothic" w:hAnsi="Century Gothic"/>
        </w:rPr>
        <w:t xml:space="preserve">a </w:t>
      </w:r>
      <w:r w:rsidR="00B13DB1" w:rsidRPr="001907F0">
        <w:rPr>
          <w:rFonts w:ascii="Century Gothic" w:hAnsi="Century Gothic"/>
        </w:rPr>
        <w:t xml:space="preserve">nuova </w:t>
      </w:r>
      <w:r w:rsidR="00775BDD">
        <w:rPr>
          <w:rFonts w:ascii="Century Gothic" w:hAnsi="Century Gothic"/>
        </w:rPr>
        <w:t xml:space="preserve">regolamentazione </w:t>
      </w:r>
      <w:r w:rsidR="00B13DB1" w:rsidRPr="001907F0">
        <w:rPr>
          <w:rFonts w:ascii="Century Gothic" w:hAnsi="Century Gothic"/>
        </w:rPr>
        <w:t>ISEE.</w:t>
      </w:r>
      <w:r w:rsidR="001907F0">
        <w:rPr>
          <w:rFonts w:ascii="Century Gothic" w:hAnsi="Century Gothic"/>
        </w:rPr>
        <w:t xml:space="preserve"> E’ opportuno ricordare che</w:t>
      </w:r>
      <w:r w:rsidR="00775BDD">
        <w:rPr>
          <w:rFonts w:ascii="Century Gothic" w:hAnsi="Century Gothic"/>
        </w:rPr>
        <w:t>,</w:t>
      </w:r>
      <w:r w:rsidR="001907F0">
        <w:rPr>
          <w:rFonts w:ascii="Century Gothic" w:hAnsi="Century Gothic"/>
        </w:rPr>
        <w:t xml:space="preserve"> nel conteggio dei comuni coperti da contrattazione</w:t>
      </w:r>
      <w:r w:rsidR="00775BDD">
        <w:rPr>
          <w:rFonts w:ascii="Century Gothic" w:hAnsi="Century Gothic"/>
        </w:rPr>
        <w:t>,</w:t>
      </w:r>
      <w:r w:rsidR="001907F0">
        <w:rPr>
          <w:rFonts w:ascii="Century Gothic" w:hAnsi="Century Gothic"/>
        </w:rPr>
        <w:t xml:space="preserve"> è stato tenuto conto </w:t>
      </w:r>
      <w:r w:rsidR="00DD20AA">
        <w:rPr>
          <w:rFonts w:ascii="Century Gothic" w:hAnsi="Century Gothic"/>
        </w:rPr>
        <w:t xml:space="preserve">solo </w:t>
      </w:r>
      <w:r w:rsidR="001907F0">
        <w:rPr>
          <w:rFonts w:ascii="Century Gothic" w:hAnsi="Century Gothic"/>
        </w:rPr>
        <w:t xml:space="preserve">degli accordi o dei verbali assimilabili ad accordi pervenuti. </w:t>
      </w:r>
      <w:r w:rsidR="0036011F">
        <w:rPr>
          <w:rFonts w:ascii="Century Gothic" w:hAnsi="Century Gothic"/>
        </w:rPr>
        <w:t>Come precedentemente visto, d</w:t>
      </w:r>
      <w:r w:rsidR="001907F0">
        <w:rPr>
          <w:rFonts w:ascii="Century Gothic" w:hAnsi="Century Gothic"/>
        </w:rPr>
        <w:t>al comunicato sindacale risulta, comunque, una negoziazione sociale più diffusa</w:t>
      </w:r>
      <w:r w:rsidR="0036011F">
        <w:rPr>
          <w:rFonts w:ascii="Century Gothic" w:hAnsi="Century Gothic"/>
        </w:rPr>
        <w:t xml:space="preserve"> nel territorio</w:t>
      </w:r>
      <w:r w:rsidR="001907F0">
        <w:rPr>
          <w:rFonts w:ascii="Century Gothic" w:hAnsi="Century Gothic"/>
        </w:rPr>
        <w:t>.</w:t>
      </w:r>
    </w:p>
    <w:p w:rsidR="00970A1C" w:rsidRDefault="00970A1C" w:rsidP="00B76935">
      <w:pPr>
        <w:jc w:val="both"/>
        <w:rPr>
          <w:rFonts w:ascii="Century Gothic" w:hAnsi="Century Gothic"/>
        </w:rPr>
      </w:pPr>
    </w:p>
    <w:p w:rsidR="00256008" w:rsidRDefault="00256008" w:rsidP="00256008">
      <w:pPr>
        <w:jc w:val="both"/>
        <w:rPr>
          <w:rFonts w:ascii="Century Gothic" w:hAnsi="Century Gothic"/>
        </w:rPr>
      </w:pPr>
      <w:r>
        <w:rPr>
          <w:rFonts w:ascii="Century Gothic" w:hAnsi="Century Gothic"/>
        </w:rPr>
        <w:t xml:space="preserve">Come rilevato nei precedenti rapporti a livello regionale, la </w:t>
      </w:r>
      <w:r w:rsidRPr="008F4138">
        <w:rPr>
          <w:rFonts w:ascii="Century Gothic" w:hAnsi="Century Gothic"/>
          <w:b/>
          <w:i/>
        </w:rPr>
        <w:t>provincia di Pistoia</w:t>
      </w:r>
      <w:r w:rsidRPr="00AE562C">
        <w:rPr>
          <w:rFonts w:ascii="Century Gothic" w:hAnsi="Century Gothic"/>
        </w:rPr>
        <w:t xml:space="preserve">, </w:t>
      </w:r>
      <w:r>
        <w:rPr>
          <w:rFonts w:ascii="Century Gothic" w:hAnsi="Century Gothic"/>
        </w:rPr>
        <w:t xml:space="preserve">è stata fra quelle che maggiormente hanno risentito della crisi. Nel 2014 con la sigla di due </w:t>
      </w:r>
      <w:r w:rsidR="00775BDD">
        <w:rPr>
          <w:rFonts w:ascii="Century Gothic" w:hAnsi="Century Gothic"/>
        </w:rPr>
        <w:t>intese</w:t>
      </w:r>
      <w:r>
        <w:rPr>
          <w:rFonts w:ascii="Century Gothic" w:hAnsi="Century Gothic"/>
        </w:rPr>
        <w:t xml:space="preserve"> si</w:t>
      </w:r>
      <w:r w:rsidR="00F402C9">
        <w:rPr>
          <w:rFonts w:ascii="Century Gothic" w:hAnsi="Century Gothic"/>
        </w:rPr>
        <w:t xml:space="preserve"> è</w:t>
      </w:r>
      <w:r w:rsidRPr="008B04F2">
        <w:rPr>
          <w:rFonts w:ascii="Century Gothic" w:hAnsi="Century Gothic"/>
          <w:b/>
        </w:rPr>
        <w:t xml:space="preserve"> </w:t>
      </w:r>
      <w:r>
        <w:rPr>
          <w:rFonts w:ascii="Century Gothic" w:hAnsi="Century Gothic"/>
        </w:rPr>
        <w:t>invert</w:t>
      </w:r>
      <w:r w:rsidR="00F402C9">
        <w:rPr>
          <w:rFonts w:ascii="Century Gothic" w:hAnsi="Century Gothic"/>
        </w:rPr>
        <w:t>ito</w:t>
      </w:r>
      <w:r>
        <w:rPr>
          <w:rFonts w:ascii="Century Gothic" w:hAnsi="Century Gothic"/>
        </w:rPr>
        <w:t xml:space="preserve"> quel trend decrescente che l’aveva portata a non concludere alcun accordo nel 2013. </w:t>
      </w:r>
      <w:r w:rsidR="00F402C9">
        <w:rPr>
          <w:rFonts w:ascii="Century Gothic" w:hAnsi="Century Gothic"/>
        </w:rPr>
        <w:t xml:space="preserve">Nel 2015 non si registra una crescita ma vengono mantenute le intese sottoscritte nel 2014 </w:t>
      </w:r>
      <w:r w:rsidR="00676FC2">
        <w:rPr>
          <w:rFonts w:ascii="Century Gothic" w:hAnsi="Century Gothic"/>
        </w:rPr>
        <w:t xml:space="preserve">con due amministrazioni comunali (Pescia e Serravalle Pistoiese). Il contenuto </w:t>
      </w:r>
      <w:r w:rsidR="00676FC2">
        <w:rPr>
          <w:rFonts w:ascii="Century Gothic" w:hAnsi="Century Gothic"/>
        </w:rPr>
        <w:lastRenderedPageBreak/>
        <w:t>degli accordi è</w:t>
      </w:r>
      <w:r w:rsidR="00485793">
        <w:rPr>
          <w:rFonts w:ascii="Century Gothic" w:hAnsi="Century Gothic"/>
        </w:rPr>
        <w:t xml:space="preserve"> </w:t>
      </w:r>
      <w:r w:rsidR="00676FC2">
        <w:rPr>
          <w:rFonts w:ascii="Century Gothic" w:hAnsi="Century Gothic"/>
        </w:rPr>
        <w:t xml:space="preserve">simile a quello del 2014, quindi </w:t>
      </w:r>
      <w:r>
        <w:rPr>
          <w:rFonts w:ascii="Century Gothic" w:hAnsi="Century Gothic"/>
        </w:rPr>
        <w:t xml:space="preserve">di un buon livello qualitativo, </w:t>
      </w:r>
      <w:r w:rsidR="00676FC2">
        <w:rPr>
          <w:rFonts w:ascii="Century Gothic" w:hAnsi="Century Gothic"/>
        </w:rPr>
        <w:t>con l’articolazione</w:t>
      </w:r>
      <w:r w:rsidRPr="008B3815">
        <w:rPr>
          <w:rFonts w:ascii="Century Gothic" w:hAnsi="Century Gothic"/>
        </w:rPr>
        <w:t xml:space="preserve"> in paragrafi, in cui sono descritte in maniera dettagliata le varie misure volte alla tutela del welfare locale.</w:t>
      </w:r>
      <w:r w:rsidR="00676FC2">
        <w:rPr>
          <w:rFonts w:ascii="Century Gothic" w:hAnsi="Century Gothic"/>
        </w:rPr>
        <w:t xml:space="preserve"> </w:t>
      </w:r>
    </w:p>
    <w:p w:rsidR="00256008" w:rsidRDefault="00256008" w:rsidP="00256008">
      <w:pPr>
        <w:jc w:val="both"/>
        <w:rPr>
          <w:rFonts w:ascii="Century Gothic" w:hAnsi="Century Gothic"/>
        </w:rPr>
      </w:pPr>
    </w:p>
    <w:p w:rsidR="00AF5FE3" w:rsidRDefault="00A92F90" w:rsidP="00256008">
      <w:pPr>
        <w:jc w:val="both"/>
        <w:rPr>
          <w:rFonts w:ascii="Century Gothic" w:hAnsi="Century Gothic"/>
        </w:rPr>
      </w:pPr>
      <w:r>
        <w:rPr>
          <w:rFonts w:ascii="Century Gothic" w:hAnsi="Century Gothic"/>
        </w:rPr>
        <w:t>Nell</w:t>
      </w:r>
      <w:r w:rsidRPr="008B3815">
        <w:rPr>
          <w:rFonts w:ascii="Century Gothic" w:hAnsi="Century Gothic"/>
        </w:rPr>
        <w:t xml:space="preserve">a </w:t>
      </w:r>
      <w:r w:rsidRPr="008F4138">
        <w:rPr>
          <w:rFonts w:ascii="Century Gothic" w:hAnsi="Century Gothic"/>
          <w:b/>
          <w:i/>
        </w:rPr>
        <w:t>provincia di Prato</w:t>
      </w:r>
      <w:r>
        <w:rPr>
          <w:rFonts w:ascii="Century Gothic" w:hAnsi="Century Gothic"/>
          <w:b/>
          <w:i/>
        </w:rPr>
        <w:t xml:space="preserve"> </w:t>
      </w:r>
      <w:r w:rsidRPr="00A92F90">
        <w:rPr>
          <w:rFonts w:ascii="Century Gothic" w:hAnsi="Century Gothic"/>
        </w:rPr>
        <w:t>no</w:t>
      </w:r>
      <w:r>
        <w:rPr>
          <w:rFonts w:ascii="Century Gothic" w:hAnsi="Century Gothic"/>
        </w:rPr>
        <w:t>n si registra alcun vero e proprio accordo a livello comunale, ma è stata, comunque, svolta, nel corso del 2015 un’intensa attività riconducibile alla contrattazione sociale</w:t>
      </w:r>
      <w:r w:rsidR="007E17EA">
        <w:rPr>
          <w:rFonts w:ascii="Century Gothic" w:hAnsi="Century Gothic"/>
        </w:rPr>
        <w:t>,</w:t>
      </w:r>
      <w:r>
        <w:rPr>
          <w:rFonts w:ascii="Century Gothic" w:hAnsi="Century Gothic"/>
        </w:rPr>
        <w:t xml:space="preserve"> che concerne due principali ambiti che passeremo a trattare. In primo luogo, </w:t>
      </w:r>
      <w:r w:rsidR="00C11321">
        <w:rPr>
          <w:rFonts w:ascii="Century Gothic" w:hAnsi="Century Gothic"/>
        </w:rPr>
        <w:t xml:space="preserve">all’inizio dell’anno, </w:t>
      </w:r>
      <w:r>
        <w:rPr>
          <w:rFonts w:ascii="Century Gothic" w:hAnsi="Century Gothic"/>
        </w:rPr>
        <w:t xml:space="preserve">sulla base dei protocolli di relazioni sottoscritti nel 2014, </w:t>
      </w:r>
      <w:r w:rsidR="00C11321">
        <w:rPr>
          <w:rFonts w:ascii="Century Gothic" w:hAnsi="Century Gothic"/>
        </w:rPr>
        <w:t>è stato chiesto a tutte le amministrazioni comunali l’attivazione di tavoli di confronto per la stesura del nuovo regolamento ISEE. A questa richiesta hanno risposto quattro amministrazioni (Prato, Cantagallo, Vaiano e Vernio) e sono stati redatti dei verbali di accordo</w:t>
      </w:r>
      <w:r w:rsidR="007E17EA">
        <w:rPr>
          <w:rFonts w:ascii="Century Gothic" w:hAnsi="Century Gothic"/>
        </w:rPr>
        <w:t>,</w:t>
      </w:r>
      <w:r w:rsidR="00C11321">
        <w:rPr>
          <w:rFonts w:ascii="Century Gothic" w:hAnsi="Century Gothic"/>
        </w:rPr>
        <w:t xml:space="preserve"> che individuano le iniziative e gli strumenti da adottare per la definizione del regolamento ISEE</w:t>
      </w:r>
      <w:r w:rsidR="00DF183E">
        <w:rPr>
          <w:rFonts w:ascii="Century Gothic" w:hAnsi="Century Gothic"/>
        </w:rPr>
        <w:t xml:space="preserve">, all’interno di un processo concertativo. </w:t>
      </w:r>
    </w:p>
    <w:p w:rsidR="00B83B33" w:rsidRDefault="00DF183E" w:rsidP="00256008">
      <w:pPr>
        <w:jc w:val="both"/>
        <w:rPr>
          <w:rFonts w:ascii="Century Gothic" w:hAnsi="Century Gothic"/>
        </w:rPr>
      </w:pPr>
      <w:r>
        <w:rPr>
          <w:rFonts w:ascii="Century Gothic" w:hAnsi="Century Gothic"/>
        </w:rPr>
        <w:t>In questo territorio, la principale attività</w:t>
      </w:r>
      <w:r w:rsidR="007E17EA">
        <w:rPr>
          <w:rFonts w:ascii="Century Gothic" w:hAnsi="Century Gothic"/>
        </w:rPr>
        <w:t xml:space="preserve"> </w:t>
      </w:r>
      <w:r>
        <w:rPr>
          <w:rFonts w:ascii="Century Gothic" w:hAnsi="Century Gothic"/>
        </w:rPr>
        <w:t>ha</w:t>
      </w:r>
      <w:r w:rsidR="007E17EA">
        <w:rPr>
          <w:rFonts w:ascii="Century Gothic" w:hAnsi="Century Gothic"/>
        </w:rPr>
        <w:t>,</w:t>
      </w:r>
      <w:r>
        <w:rPr>
          <w:rFonts w:ascii="Century Gothic" w:hAnsi="Century Gothic"/>
        </w:rPr>
        <w:t xml:space="preserve"> comunque</w:t>
      </w:r>
      <w:r w:rsidR="007E17EA">
        <w:rPr>
          <w:rFonts w:ascii="Century Gothic" w:hAnsi="Century Gothic"/>
        </w:rPr>
        <w:t>,</w:t>
      </w:r>
      <w:r>
        <w:rPr>
          <w:rFonts w:ascii="Century Gothic" w:hAnsi="Century Gothic"/>
        </w:rPr>
        <w:t xml:space="preserve"> riguardato l’ambito socio-sanitario con la campagna “Salviamo la salute”, </w:t>
      </w:r>
      <w:r w:rsidR="00B83B33">
        <w:rPr>
          <w:rFonts w:ascii="Century Gothic" w:hAnsi="Century Gothic"/>
        </w:rPr>
        <w:t>che è partita</w:t>
      </w:r>
      <w:r>
        <w:rPr>
          <w:rFonts w:ascii="Century Gothic" w:hAnsi="Century Gothic"/>
        </w:rPr>
        <w:t xml:space="preserve"> </w:t>
      </w:r>
      <w:r w:rsidR="00B83B33">
        <w:rPr>
          <w:rFonts w:ascii="Century Gothic" w:hAnsi="Century Gothic"/>
        </w:rPr>
        <w:t xml:space="preserve">con la </w:t>
      </w:r>
      <w:r>
        <w:rPr>
          <w:rFonts w:ascii="Century Gothic" w:hAnsi="Century Gothic"/>
        </w:rPr>
        <w:t>presenta</w:t>
      </w:r>
      <w:r w:rsidR="00B83B33">
        <w:rPr>
          <w:rFonts w:ascii="Century Gothic" w:hAnsi="Century Gothic"/>
        </w:rPr>
        <w:t>zione</w:t>
      </w:r>
      <w:r>
        <w:rPr>
          <w:rFonts w:ascii="Century Gothic" w:hAnsi="Century Gothic"/>
        </w:rPr>
        <w:t xml:space="preserve"> un’articolata piattaforma con proposte dettagliate per la contrattazione nel welfare socio-sanitario</w:t>
      </w:r>
      <w:r w:rsidR="00B83B33">
        <w:rPr>
          <w:rFonts w:ascii="Century Gothic" w:hAnsi="Century Gothic"/>
        </w:rPr>
        <w:t xml:space="preserve">, della quale si è parlato nel </w:t>
      </w:r>
      <w:r w:rsidR="00775BDD">
        <w:rPr>
          <w:rFonts w:ascii="Century Gothic" w:hAnsi="Century Gothic"/>
        </w:rPr>
        <w:t>capitolo</w:t>
      </w:r>
      <w:r w:rsidR="00B83B33">
        <w:rPr>
          <w:rFonts w:ascii="Century Gothic" w:hAnsi="Century Gothic"/>
        </w:rPr>
        <w:t xml:space="preserve"> 2.</w:t>
      </w:r>
      <w:r>
        <w:rPr>
          <w:rFonts w:ascii="Century Gothic" w:hAnsi="Century Gothic"/>
        </w:rPr>
        <w:t xml:space="preserve"> </w:t>
      </w:r>
      <w:r w:rsidR="00B83B33">
        <w:rPr>
          <w:rFonts w:ascii="Century Gothic" w:hAnsi="Century Gothic"/>
        </w:rPr>
        <w:t>Sulla base di tale piattaforma</w:t>
      </w:r>
      <w:r w:rsidR="0096149B">
        <w:rPr>
          <w:rFonts w:ascii="Century Gothic" w:hAnsi="Century Gothic"/>
        </w:rPr>
        <w:t>, nel periodo di maggio-giugno,</w:t>
      </w:r>
      <w:r w:rsidR="00B83B33">
        <w:rPr>
          <w:rFonts w:ascii="Century Gothic" w:hAnsi="Century Gothic"/>
        </w:rPr>
        <w:t xml:space="preserve"> sono state raccolte firme in tutta la provincia a sostegno di una petizione al Sindaco e al </w:t>
      </w:r>
      <w:r w:rsidR="005C7563">
        <w:rPr>
          <w:rFonts w:ascii="Century Gothic" w:hAnsi="Century Gothic"/>
        </w:rPr>
        <w:t xml:space="preserve">Presidente del Consiglio Comunale di Prato affinché si facciano promotori presso la Regione Toscana di un progetto che riposizioni la sanità pratese allo stesso livello delle altre ASL toscane, sia come occupazione che come impegni di spesa pro-capite. Inoltre è stata richiesta ai sindaci della provincia di Prato l’attivazione di un confronto sul delicato processo di aggiunta della funzione di gestione a quella già prevista di programmazione </w:t>
      </w:r>
      <w:r w:rsidR="0034323B">
        <w:rPr>
          <w:rFonts w:ascii="Century Gothic" w:hAnsi="Century Gothic"/>
        </w:rPr>
        <w:t>nella Società della Salute pratese. Tale richiesta si colloca all’interno di quel percorso negoziale iniziato con il protocollo di intesa del 2013, del quale si è parlato più in dettaglio nel paragrafo sulle delibere</w:t>
      </w:r>
      <w:r w:rsidR="00775BDD">
        <w:rPr>
          <w:rFonts w:ascii="Century Gothic" w:hAnsi="Century Gothic"/>
        </w:rPr>
        <w:t xml:space="preserve"> nel capitolo 2</w:t>
      </w:r>
      <w:r w:rsidR="0034323B">
        <w:rPr>
          <w:rFonts w:ascii="Century Gothic" w:hAnsi="Century Gothic"/>
        </w:rPr>
        <w:t xml:space="preserve">. </w:t>
      </w:r>
    </w:p>
    <w:p w:rsidR="00AF5FE3" w:rsidRDefault="00AF5FE3" w:rsidP="00256008">
      <w:pPr>
        <w:jc w:val="both"/>
        <w:rPr>
          <w:rFonts w:ascii="Century Gothic" w:hAnsi="Century Gothic"/>
          <w:highlight w:val="yellow"/>
        </w:rPr>
      </w:pPr>
      <w:r w:rsidRPr="00AF5FE3">
        <w:rPr>
          <w:rFonts w:ascii="Century Gothic" w:hAnsi="Century Gothic"/>
        </w:rPr>
        <w:t xml:space="preserve">In questa provincia è </w:t>
      </w:r>
      <w:r>
        <w:rPr>
          <w:rFonts w:ascii="Century Gothic" w:hAnsi="Century Gothic"/>
        </w:rPr>
        <w:t>stata condotta anche un’iniziativa sul disagio abitativo, in cui</w:t>
      </w:r>
      <w:r w:rsidR="009A1ACB">
        <w:rPr>
          <w:rFonts w:ascii="Century Gothic" w:hAnsi="Century Gothic"/>
        </w:rPr>
        <w:t>, da parte della CGIL di Prato insieme al SUNIA di Prato,</w:t>
      </w:r>
      <w:r>
        <w:rPr>
          <w:rFonts w:ascii="Century Gothic" w:hAnsi="Century Gothic"/>
        </w:rPr>
        <w:t xml:space="preserve"> è stato presentato un documento sulla condizione abitativa ai presidenti e componenti delle commissioni consiliari congiunte 4 e 5 e all’assessore alle politiche sociali del comune di Prato. In tale occasione le commissioni e l’assessore hanno condiviso</w:t>
      </w:r>
      <w:r w:rsidR="009A1ACB">
        <w:rPr>
          <w:rFonts w:ascii="Century Gothic" w:hAnsi="Century Gothic"/>
        </w:rPr>
        <w:t xml:space="preserve"> le proposte e si sono impegnati in merito alle questioni dell’edilizia residenziale pubblica e degli sfratti e dell’emergenza abitativa.</w:t>
      </w:r>
    </w:p>
    <w:p w:rsidR="00256008" w:rsidRDefault="00256008" w:rsidP="00256008">
      <w:pPr>
        <w:jc w:val="both"/>
        <w:rPr>
          <w:rFonts w:ascii="Century Gothic" w:hAnsi="Century Gothic"/>
        </w:rPr>
      </w:pPr>
    </w:p>
    <w:p w:rsidR="004B4156" w:rsidRPr="004B4156" w:rsidRDefault="00BB42C6" w:rsidP="004B4156">
      <w:pPr>
        <w:jc w:val="both"/>
        <w:rPr>
          <w:rFonts w:ascii="Century Gothic" w:hAnsi="Century Gothic"/>
        </w:rPr>
      </w:pPr>
      <w:r w:rsidRPr="00FB7894">
        <w:rPr>
          <w:rFonts w:ascii="Century Gothic" w:hAnsi="Century Gothic"/>
        </w:rPr>
        <w:t xml:space="preserve">Come riscontrato per Pisa, anche nella </w:t>
      </w:r>
      <w:r w:rsidRPr="008F4138">
        <w:rPr>
          <w:rFonts w:ascii="Century Gothic" w:hAnsi="Century Gothic"/>
          <w:b/>
          <w:i/>
        </w:rPr>
        <w:t>provincia di Siena</w:t>
      </w:r>
      <w:r w:rsidRPr="00FB7894">
        <w:rPr>
          <w:rFonts w:ascii="Century Gothic" w:hAnsi="Century Gothic"/>
          <w:b/>
          <w:i/>
        </w:rPr>
        <w:t xml:space="preserve"> </w:t>
      </w:r>
      <w:r w:rsidRPr="00FB7894">
        <w:rPr>
          <w:rFonts w:ascii="Century Gothic" w:hAnsi="Century Gothic"/>
        </w:rPr>
        <w:t>l'azione di contrattazione sociale è partita con l'invio di una piattaforma a tutte le amministrazioni comunali, in cui erano definite le  priorità da affrontare nella discussione tra le parti.</w:t>
      </w:r>
      <w:r w:rsidR="00FB7894" w:rsidRPr="00FB7894">
        <w:rPr>
          <w:rFonts w:ascii="Century Gothic" w:hAnsi="Century Gothic"/>
        </w:rPr>
        <w:t xml:space="preserve"> </w:t>
      </w:r>
      <w:r w:rsidRPr="00FB7894">
        <w:rPr>
          <w:rFonts w:ascii="Century Gothic" w:hAnsi="Century Gothic"/>
        </w:rPr>
        <w:t xml:space="preserve">Dei 36 comuni solo 20 hanno accettato </w:t>
      </w:r>
      <w:r w:rsidR="00FB7894" w:rsidRPr="00FB7894">
        <w:rPr>
          <w:rFonts w:ascii="Century Gothic" w:hAnsi="Century Gothic"/>
        </w:rPr>
        <w:t>il</w:t>
      </w:r>
      <w:r w:rsidRPr="00FB7894">
        <w:rPr>
          <w:rFonts w:ascii="Century Gothic" w:hAnsi="Century Gothic"/>
        </w:rPr>
        <w:t xml:space="preserve"> confronto</w:t>
      </w:r>
      <w:r w:rsidR="00FB7894" w:rsidRPr="00FB7894">
        <w:rPr>
          <w:rFonts w:ascii="Century Gothic" w:hAnsi="Century Gothic"/>
        </w:rPr>
        <w:t xml:space="preserve"> e, di questi, 14 hanno sottoscritto un accordo </w:t>
      </w:r>
      <w:r w:rsidRPr="00FB7894">
        <w:rPr>
          <w:rFonts w:ascii="Century Gothic" w:hAnsi="Century Gothic"/>
        </w:rPr>
        <w:t>sulle linee di bilancio per l'anno 2015</w:t>
      </w:r>
      <w:r w:rsidR="00B30801">
        <w:rPr>
          <w:rFonts w:ascii="Century Gothic" w:hAnsi="Century Gothic"/>
        </w:rPr>
        <w:t xml:space="preserve">. </w:t>
      </w:r>
      <w:r w:rsidR="004B4156">
        <w:rPr>
          <w:rFonts w:ascii="Century Gothic" w:hAnsi="Century Gothic"/>
        </w:rPr>
        <w:t>Con alcune amministrazioni</w:t>
      </w:r>
      <w:r w:rsidR="004B4156" w:rsidRPr="004B4156">
        <w:rPr>
          <w:rFonts w:ascii="Century Gothic" w:hAnsi="Century Gothic"/>
        </w:rPr>
        <w:t xml:space="preserve"> si è trattato della conferma di scelte già </w:t>
      </w:r>
      <w:r w:rsidR="004B4156">
        <w:rPr>
          <w:rFonts w:ascii="Century Gothic" w:hAnsi="Century Gothic"/>
        </w:rPr>
        <w:t xml:space="preserve">effettuate </w:t>
      </w:r>
      <w:r w:rsidR="004B4156" w:rsidRPr="004B4156">
        <w:rPr>
          <w:rFonts w:ascii="Century Gothic" w:hAnsi="Century Gothic"/>
        </w:rPr>
        <w:t>nel 2014 o negli anni precedenti, con altr</w:t>
      </w:r>
      <w:r w:rsidR="004B4156">
        <w:rPr>
          <w:rFonts w:ascii="Century Gothic" w:hAnsi="Century Gothic"/>
        </w:rPr>
        <w:t>e è stata trovata un’intesa</w:t>
      </w:r>
      <w:r w:rsidR="004B4156" w:rsidRPr="004B4156">
        <w:rPr>
          <w:rFonts w:ascii="Century Gothic" w:hAnsi="Century Gothic"/>
        </w:rPr>
        <w:t xml:space="preserve"> dopo periodi </w:t>
      </w:r>
      <w:r w:rsidR="004B4156">
        <w:rPr>
          <w:rFonts w:ascii="Century Gothic" w:hAnsi="Century Gothic"/>
        </w:rPr>
        <w:t>in cui non c’era stata uniformità di</w:t>
      </w:r>
      <w:r w:rsidR="004B4156" w:rsidRPr="004B4156">
        <w:rPr>
          <w:rFonts w:ascii="Century Gothic" w:hAnsi="Century Gothic"/>
        </w:rPr>
        <w:t xml:space="preserve"> vedute. </w:t>
      </w:r>
      <w:r w:rsidR="004B4156">
        <w:rPr>
          <w:rFonts w:ascii="Century Gothic" w:hAnsi="Century Gothic"/>
        </w:rPr>
        <w:t>I maggiori confronti si sono svolti sulle decisioni di politica fiscale (</w:t>
      </w:r>
      <w:r w:rsidR="004B4156" w:rsidRPr="004B4156">
        <w:rPr>
          <w:rFonts w:ascii="Century Gothic" w:hAnsi="Century Gothic"/>
        </w:rPr>
        <w:t>'IMU</w:t>
      </w:r>
      <w:r w:rsidR="004B4156">
        <w:rPr>
          <w:rFonts w:ascii="Century Gothic" w:hAnsi="Century Gothic"/>
        </w:rPr>
        <w:t xml:space="preserve">, TASI, </w:t>
      </w:r>
      <w:r w:rsidR="004B4156" w:rsidRPr="004B4156">
        <w:rPr>
          <w:rFonts w:ascii="Century Gothic" w:hAnsi="Century Gothic"/>
        </w:rPr>
        <w:t xml:space="preserve">TARI, addizionale </w:t>
      </w:r>
      <w:r w:rsidR="004B4156">
        <w:rPr>
          <w:rFonts w:ascii="Century Gothic" w:hAnsi="Century Gothic"/>
        </w:rPr>
        <w:t>IRPEF)</w:t>
      </w:r>
      <w:r w:rsidR="004B4156" w:rsidRPr="004B4156">
        <w:rPr>
          <w:rFonts w:ascii="Century Gothic" w:hAnsi="Century Gothic"/>
        </w:rPr>
        <w:t xml:space="preserve">, </w:t>
      </w:r>
      <w:r w:rsidR="004B4156">
        <w:rPr>
          <w:rFonts w:ascii="Century Gothic" w:hAnsi="Century Gothic"/>
        </w:rPr>
        <w:t xml:space="preserve">e sull’accesso ai servizi </w:t>
      </w:r>
      <w:r w:rsidR="004B4156" w:rsidRPr="004B4156">
        <w:rPr>
          <w:rFonts w:ascii="Century Gothic" w:hAnsi="Century Gothic"/>
        </w:rPr>
        <w:t>è stato centrale il tema del nuovo indicatore ISEE</w:t>
      </w:r>
      <w:r w:rsidR="00140944">
        <w:rPr>
          <w:rFonts w:ascii="Century Gothic" w:hAnsi="Century Gothic"/>
        </w:rPr>
        <w:t>. G</w:t>
      </w:r>
      <w:r w:rsidR="00140944" w:rsidRPr="00140944">
        <w:rPr>
          <w:rFonts w:ascii="Century Gothic" w:hAnsi="Century Gothic"/>
        </w:rPr>
        <w:t xml:space="preserve">li accordi </w:t>
      </w:r>
      <w:r w:rsidR="00140944">
        <w:rPr>
          <w:rFonts w:ascii="Century Gothic" w:hAnsi="Century Gothic"/>
        </w:rPr>
        <w:t>hanno previsto</w:t>
      </w:r>
      <w:r w:rsidR="00140944" w:rsidRPr="00140944">
        <w:rPr>
          <w:rFonts w:ascii="Century Gothic" w:hAnsi="Century Gothic"/>
        </w:rPr>
        <w:t xml:space="preserve"> sia impegni immediati</w:t>
      </w:r>
      <w:r w:rsidR="00140944">
        <w:rPr>
          <w:rFonts w:ascii="Century Gothic" w:hAnsi="Century Gothic"/>
        </w:rPr>
        <w:t>, sia impegni che si</w:t>
      </w:r>
      <w:r w:rsidR="00140944" w:rsidRPr="00140944">
        <w:rPr>
          <w:rFonts w:ascii="Century Gothic" w:hAnsi="Century Gothic"/>
        </w:rPr>
        <w:t xml:space="preserve"> concretizza</w:t>
      </w:r>
      <w:r w:rsidR="00140944">
        <w:rPr>
          <w:rFonts w:ascii="Century Gothic" w:hAnsi="Century Gothic"/>
        </w:rPr>
        <w:t>no</w:t>
      </w:r>
      <w:r w:rsidR="00140944" w:rsidRPr="00140944">
        <w:rPr>
          <w:rFonts w:ascii="Century Gothic" w:hAnsi="Century Gothic"/>
        </w:rPr>
        <w:t xml:space="preserve"> nel tempo.</w:t>
      </w:r>
      <w:r w:rsidR="00140944">
        <w:rPr>
          <w:rFonts w:ascii="Century Gothic" w:hAnsi="Century Gothic"/>
        </w:rPr>
        <w:t xml:space="preserve"> Infatti s</w:t>
      </w:r>
      <w:r w:rsidR="004B4156" w:rsidRPr="004B4156">
        <w:rPr>
          <w:rFonts w:ascii="Century Gothic" w:hAnsi="Century Gothic"/>
        </w:rPr>
        <w:t>ono stati affrontati temi importanti come i servizi a rete</w:t>
      </w:r>
      <w:r w:rsidR="00140944">
        <w:rPr>
          <w:rFonts w:ascii="Century Gothic" w:hAnsi="Century Gothic"/>
        </w:rPr>
        <w:t xml:space="preserve"> e in</w:t>
      </w:r>
      <w:r w:rsidR="004B4156" w:rsidRPr="004B4156">
        <w:rPr>
          <w:rFonts w:ascii="Century Gothic" w:hAnsi="Century Gothic"/>
        </w:rPr>
        <w:t xml:space="preserve"> alcuni comuni, nonostante </w:t>
      </w:r>
      <w:r w:rsidR="00140944">
        <w:rPr>
          <w:rFonts w:ascii="Century Gothic" w:hAnsi="Century Gothic"/>
        </w:rPr>
        <w:t>i vincoli</w:t>
      </w:r>
      <w:r w:rsidR="004B4156" w:rsidRPr="004B4156">
        <w:rPr>
          <w:rFonts w:ascii="Century Gothic" w:hAnsi="Century Gothic"/>
        </w:rPr>
        <w:t xml:space="preserve"> del patto di </w:t>
      </w:r>
      <w:r w:rsidR="004B4156" w:rsidRPr="004B4156">
        <w:rPr>
          <w:rFonts w:ascii="Century Gothic" w:hAnsi="Century Gothic"/>
        </w:rPr>
        <w:lastRenderedPageBreak/>
        <w:t>stabilità</w:t>
      </w:r>
      <w:r w:rsidR="00140944">
        <w:rPr>
          <w:rFonts w:ascii="Century Gothic" w:hAnsi="Century Gothic"/>
        </w:rPr>
        <w:t>,</w:t>
      </w:r>
      <w:r w:rsidR="004B4156" w:rsidRPr="004B4156">
        <w:rPr>
          <w:rFonts w:ascii="Century Gothic" w:hAnsi="Century Gothic"/>
        </w:rPr>
        <w:t xml:space="preserve"> </w:t>
      </w:r>
      <w:r w:rsidR="00140944">
        <w:rPr>
          <w:rFonts w:ascii="Century Gothic" w:hAnsi="Century Gothic"/>
        </w:rPr>
        <w:t>sono stati programmati</w:t>
      </w:r>
      <w:r w:rsidR="004B4156" w:rsidRPr="004B4156">
        <w:rPr>
          <w:rFonts w:ascii="Century Gothic" w:hAnsi="Century Gothic"/>
        </w:rPr>
        <w:t xml:space="preserve"> alcuni investimenti</w:t>
      </w:r>
      <w:r w:rsidR="00140944">
        <w:rPr>
          <w:rFonts w:ascii="Century Gothic" w:hAnsi="Century Gothic"/>
        </w:rPr>
        <w:t>,</w:t>
      </w:r>
      <w:r w:rsidR="004B4156" w:rsidRPr="004B4156">
        <w:rPr>
          <w:rFonts w:ascii="Century Gothic" w:hAnsi="Century Gothic"/>
        </w:rPr>
        <w:t xml:space="preserve"> che in molti casi </w:t>
      </w:r>
      <w:r w:rsidR="00140944">
        <w:rPr>
          <w:rFonts w:ascii="Century Gothic" w:hAnsi="Century Gothic"/>
        </w:rPr>
        <w:t>si estendono ad anni successivi al</w:t>
      </w:r>
      <w:r w:rsidR="004B4156" w:rsidRPr="004B4156">
        <w:rPr>
          <w:rFonts w:ascii="Century Gothic" w:hAnsi="Century Gothic"/>
        </w:rPr>
        <w:t xml:space="preserve"> 2015.</w:t>
      </w:r>
    </w:p>
    <w:p w:rsidR="00CE5A7F" w:rsidRPr="00CE5A7F" w:rsidRDefault="007E17EA" w:rsidP="00CE5A7F">
      <w:pPr>
        <w:jc w:val="both"/>
        <w:rPr>
          <w:rFonts w:ascii="Century Gothic" w:hAnsi="Century Gothic"/>
        </w:rPr>
      </w:pPr>
      <w:r w:rsidRPr="00CE5A7F">
        <w:rPr>
          <w:rFonts w:ascii="Century Gothic" w:hAnsi="Century Gothic"/>
        </w:rPr>
        <w:t>Nel comune capoluogo non è stato possibile siglare un’intesa complessiva sul bilancio 2015, ma è stato firmato un accordo specifico sulle quote di compartecipazione ai servizi scolastici per l’anno scolastico 2015-2016</w:t>
      </w:r>
      <w:r w:rsidR="003D15F9">
        <w:rPr>
          <w:rFonts w:ascii="Century Gothic" w:hAnsi="Century Gothic"/>
        </w:rPr>
        <w:t>. I</w:t>
      </w:r>
      <w:r w:rsidRPr="00CE5A7F">
        <w:rPr>
          <w:rFonts w:ascii="Century Gothic" w:hAnsi="Century Gothic"/>
        </w:rPr>
        <w:t xml:space="preserve">noltre è stato redatto un verbale di incontro con l’impegno da parte da parte dell’amministrazione comunale </w:t>
      </w:r>
      <w:r w:rsidR="00CE5A7F" w:rsidRPr="00CE5A7F">
        <w:rPr>
          <w:rFonts w:ascii="Century Gothic" w:hAnsi="Century Gothic"/>
        </w:rPr>
        <w:t xml:space="preserve">ad affrontare in maniera concertativa la questione della tariffazione </w:t>
      </w:r>
      <w:r w:rsidRPr="00CE5A7F">
        <w:rPr>
          <w:rFonts w:ascii="Century Gothic" w:hAnsi="Century Gothic"/>
        </w:rPr>
        <w:t>TARI.</w:t>
      </w:r>
      <w:r w:rsidR="00140944">
        <w:rPr>
          <w:rFonts w:ascii="Century Gothic" w:hAnsi="Century Gothic"/>
        </w:rPr>
        <w:t xml:space="preserve"> </w:t>
      </w:r>
      <w:r w:rsidR="003D15F9">
        <w:rPr>
          <w:rFonts w:ascii="Century Gothic" w:hAnsi="Century Gothic"/>
        </w:rPr>
        <w:t xml:space="preserve">Bisogna poi segnalare che </w:t>
      </w:r>
      <w:r w:rsidR="00B30801">
        <w:rPr>
          <w:rFonts w:ascii="Century Gothic" w:hAnsi="Century Gothic"/>
        </w:rPr>
        <w:t xml:space="preserve"> in due comuni (</w:t>
      </w:r>
      <w:r w:rsidR="00FB7894" w:rsidRPr="00FB7894">
        <w:rPr>
          <w:rFonts w:ascii="Century Gothic" w:hAnsi="Century Gothic"/>
        </w:rPr>
        <w:t xml:space="preserve">Chianciano Terme </w:t>
      </w:r>
      <w:r w:rsidR="00B30801">
        <w:rPr>
          <w:rFonts w:ascii="Century Gothic" w:hAnsi="Century Gothic"/>
        </w:rPr>
        <w:t xml:space="preserve">e Sovicille) </w:t>
      </w:r>
      <w:r w:rsidR="00FB7894" w:rsidRPr="00FB7894">
        <w:rPr>
          <w:rFonts w:ascii="Century Gothic" w:hAnsi="Century Gothic"/>
        </w:rPr>
        <w:t>è stato redatto un verbale d'incontro, con i punti di condivisione e di dissenso tra le parti</w:t>
      </w:r>
      <w:r w:rsidR="00CE5A7F">
        <w:rPr>
          <w:rFonts w:ascii="Century Gothic" w:hAnsi="Century Gothic"/>
        </w:rPr>
        <w:t xml:space="preserve">, nella consapevolezza </w:t>
      </w:r>
      <w:r w:rsidR="00CE5A7F" w:rsidRPr="00CE5A7F">
        <w:rPr>
          <w:rFonts w:ascii="Century Gothic" w:hAnsi="Century Gothic"/>
        </w:rPr>
        <w:t xml:space="preserve">dell’importanza del metodo del confronto. In altri </w:t>
      </w:r>
      <w:r w:rsidR="00CE5A7F">
        <w:rPr>
          <w:rFonts w:ascii="Century Gothic" w:hAnsi="Century Gothic"/>
        </w:rPr>
        <w:t>casi</w:t>
      </w:r>
      <w:r w:rsidR="00CE5A7F" w:rsidRPr="00CE5A7F">
        <w:rPr>
          <w:rFonts w:ascii="Century Gothic" w:hAnsi="Century Gothic"/>
        </w:rPr>
        <w:t xml:space="preserve"> non è stato possibile sottoscrivere un’intesa in quanto la convocazione si è trasformata in una semplice comunicazione di scelte già deliberate dal comune che non potevano essere condivise a posteriori, come nel caso di Torrita di Siena.</w:t>
      </w:r>
      <w:r w:rsidR="003D15F9">
        <w:rPr>
          <w:rFonts w:ascii="Century Gothic" w:hAnsi="Century Gothic"/>
        </w:rPr>
        <w:t xml:space="preserve"> </w:t>
      </w:r>
    </w:p>
    <w:p w:rsidR="000B2D6E" w:rsidRDefault="000B2D6E">
      <w:pPr>
        <w:rPr>
          <w:rFonts w:ascii="Century Gothic" w:hAnsi="Century Gothic"/>
        </w:rPr>
      </w:pPr>
      <w:r>
        <w:rPr>
          <w:rFonts w:ascii="Century Gothic" w:hAnsi="Century Gothic"/>
        </w:rPr>
        <w:br w:type="page"/>
      </w:r>
    </w:p>
    <w:p w:rsidR="00D82120" w:rsidRPr="00573C1E" w:rsidRDefault="00D82120" w:rsidP="00D82120">
      <w:pPr>
        <w:jc w:val="both"/>
        <w:rPr>
          <w:rFonts w:ascii="Century Gothic" w:hAnsi="Century Gothic"/>
          <w:b/>
          <w:sz w:val="28"/>
          <w:szCs w:val="28"/>
        </w:rPr>
      </w:pPr>
      <w:r w:rsidRPr="00573C1E">
        <w:rPr>
          <w:rFonts w:ascii="Century Gothic" w:hAnsi="Century Gothic"/>
          <w:b/>
          <w:sz w:val="28"/>
          <w:szCs w:val="28"/>
        </w:rPr>
        <w:lastRenderedPageBreak/>
        <w:t>4. L’ANALISI DELLE AREE TEMATICHE NEGOZIALI</w:t>
      </w:r>
    </w:p>
    <w:p w:rsidR="00D82120" w:rsidRDefault="00D82120" w:rsidP="00D82120">
      <w:pPr>
        <w:jc w:val="both"/>
        <w:rPr>
          <w:rFonts w:ascii="Century Gothic" w:hAnsi="Century Gothic"/>
          <w:b/>
        </w:rPr>
      </w:pPr>
    </w:p>
    <w:p w:rsidR="00D82120" w:rsidRDefault="00D82120" w:rsidP="00D82120">
      <w:pPr>
        <w:jc w:val="both"/>
        <w:rPr>
          <w:rFonts w:ascii="Century Gothic" w:hAnsi="Century Gothic"/>
          <w:b/>
        </w:rPr>
      </w:pPr>
      <w:r>
        <w:rPr>
          <w:rFonts w:ascii="Century Gothic" w:hAnsi="Century Gothic"/>
          <w:b/>
        </w:rPr>
        <w:t xml:space="preserve">4.1. </w:t>
      </w:r>
      <w:r w:rsidRPr="00E67C0D">
        <w:rPr>
          <w:rFonts w:ascii="Century Gothic" w:hAnsi="Century Gothic"/>
          <w:b/>
        </w:rPr>
        <w:t>Gli argomenti oggetto di contrattazione</w:t>
      </w:r>
    </w:p>
    <w:p w:rsidR="00D82120" w:rsidRPr="000221D4" w:rsidRDefault="00D82120" w:rsidP="00D82120">
      <w:pPr>
        <w:jc w:val="both"/>
        <w:rPr>
          <w:rFonts w:ascii="Century Gothic" w:hAnsi="Century Gothic"/>
          <w:b/>
        </w:rPr>
      </w:pPr>
    </w:p>
    <w:p w:rsidR="00CE5A1E" w:rsidRDefault="00D82120" w:rsidP="00D82120">
      <w:pPr>
        <w:jc w:val="both"/>
        <w:rPr>
          <w:rFonts w:ascii="Century Gothic" w:hAnsi="Century Gothic"/>
        </w:rPr>
      </w:pPr>
      <w:r>
        <w:rPr>
          <w:rFonts w:ascii="Century Gothic" w:hAnsi="Century Gothic"/>
        </w:rPr>
        <w:t>In questo capitolo viene presentata una panoramica dei principali argomenti trattati ne</w:t>
      </w:r>
      <w:r w:rsidR="00F76B88">
        <w:rPr>
          <w:rFonts w:ascii="Century Gothic" w:hAnsi="Century Gothic"/>
        </w:rPr>
        <w:t>gli</w:t>
      </w:r>
      <w:r>
        <w:rPr>
          <w:rFonts w:ascii="Century Gothic" w:hAnsi="Century Gothic"/>
        </w:rPr>
        <w:t xml:space="preserve"> </w:t>
      </w:r>
      <w:r w:rsidR="00F76B88">
        <w:rPr>
          <w:rFonts w:ascii="Century Gothic" w:hAnsi="Century Gothic"/>
        </w:rPr>
        <w:t>accordi</w:t>
      </w:r>
      <w:r>
        <w:rPr>
          <w:rFonts w:ascii="Century Gothic" w:hAnsi="Century Gothic"/>
        </w:rPr>
        <w:t xml:space="preserve"> stipulat</w:t>
      </w:r>
      <w:r w:rsidR="00F76B88">
        <w:rPr>
          <w:rFonts w:ascii="Century Gothic" w:hAnsi="Century Gothic"/>
        </w:rPr>
        <w:t>i</w:t>
      </w:r>
      <w:r>
        <w:rPr>
          <w:rFonts w:ascii="Century Gothic" w:hAnsi="Century Gothic"/>
        </w:rPr>
        <w:t xml:space="preserve"> con le amministrazioni comunali nel corso del 2015</w:t>
      </w:r>
      <w:r w:rsidR="009F79DE">
        <w:rPr>
          <w:rFonts w:ascii="Century Gothic" w:hAnsi="Century Gothic"/>
        </w:rPr>
        <w:t xml:space="preserve">, </w:t>
      </w:r>
      <w:r w:rsidR="00CE5A1E">
        <w:rPr>
          <w:rFonts w:ascii="Century Gothic" w:hAnsi="Century Gothic"/>
        </w:rPr>
        <w:t xml:space="preserve">prendendo come riferimento le aree negoziali e le </w:t>
      </w:r>
      <w:r w:rsidR="00CE5A1E" w:rsidRPr="00982B3E">
        <w:rPr>
          <w:rFonts w:ascii="Century Gothic" w:hAnsi="Century Gothic"/>
        </w:rPr>
        <w:t>voci tematiche dell’albero logico adottato a livello nazionale, uno schema strutturato su più livelli relativi ai contenuti del processo negoziale</w:t>
      </w:r>
      <w:r w:rsidR="00CE5A1E">
        <w:rPr>
          <w:rFonts w:ascii="Century Gothic" w:hAnsi="Century Gothic"/>
        </w:rPr>
        <w:t>.</w:t>
      </w:r>
    </w:p>
    <w:p w:rsidR="00CE5A1E" w:rsidRDefault="00CE5A1E" w:rsidP="00CE5A1E">
      <w:pPr>
        <w:jc w:val="both"/>
        <w:rPr>
          <w:rFonts w:ascii="Century Gothic" w:hAnsi="Century Gothic"/>
        </w:rPr>
      </w:pPr>
      <w:r>
        <w:rPr>
          <w:rFonts w:ascii="Century Gothic" w:hAnsi="Century Gothic"/>
        </w:rPr>
        <w:t>Come si vede dalla tabella seguente, per le 11 aree tematiche negoziali è stata conteggiata la numerosità delle intese concordate nel 2015 che le citassero almeno una volta.</w:t>
      </w:r>
    </w:p>
    <w:p w:rsidR="00B12B83" w:rsidRDefault="00B12B83" w:rsidP="00B12B83">
      <w:pPr>
        <w:rPr>
          <w:rFonts w:ascii="Century Gothic" w:hAnsi="Century Gothic"/>
          <w:b/>
        </w:rPr>
      </w:pPr>
      <w:r>
        <w:rPr>
          <w:rFonts w:ascii="Century Gothic" w:hAnsi="Century Gothic"/>
          <w:b/>
        </w:rPr>
        <w:t>Tab</w:t>
      </w:r>
      <w:r w:rsidRPr="0035601B">
        <w:rPr>
          <w:rFonts w:ascii="Century Gothic" w:hAnsi="Century Gothic"/>
          <w:b/>
        </w:rPr>
        <w:t xml:space="preserve">. n. </w:t>
      </w:r>
      <w:r>
        <w:rPr>
          <w:rFonts w:ascii="Century Gothic" w:hAnsi="Century Gothic"/>
          <w:b/>
        </w:rPr>
        <w:t xml:space="preserve">9 </w:t>
      </w:r>
      <w:r w:rsidRPr="0035601B">
        <w:rPr>
          <w:rFonts w:ascii="Century Gothic" w:hAnsi="Century Gothic"/>
          <w:b/>
        </w:rPr>
        <w:t xml:space="preserve">- </w:t>
      </w:r>
      <w:r>
        <w:rPr>
          <w:rFonts w:ascii="Century Gothic" w:hAnsi="Century Gothic"/>
          <w:b/>
        </w:rPr>
        <w:t>Percentuale dell</w:t>
      </w:r>
      <w:r w:rsidRPr="008B1E01">
        <w:rPr>
          <w:rFonts w:ascii="Century Gothic" w:hAnsi="Century Gothic"/>
          <w:b/>
        </w:rPr>
        <w:t xml:space="preserve">e aree tematiche </w:t>
      </w:r>
      <w:r>
        <w:rPr>
          <w:rFonts w:ascii="Century Gothic" w:hAnsi="Century Gothic"/>
          <w:b/>
        </w:rPr>
        <w:t xml:space="preserve">negoziali </w:t>
      </w:r>
      <w:r w:rsidRPr="008B1E01">
        <w:rPr>
          <w:rFonts w:ascii="Century Gothic" w:hAnsi="Century Gothic"/>
          <w:b/>
        </w:rPr>
        <w:t>di primo livello</w:t>
      </w:r>
      <w:r>
        <w:rPr>
          <w:rFonts w:ascii="Century Gothic" w:hAnsi="Century Gothic"/>
          <w:b/>
        </w:rPr>
        <w:t xml:space="preserve"> sul totale degli accordi</w:t>
      </w:r>
    </w:p>
    <w:p w:rsidR="00CE5A1E" w:rsidRDefault="00CE5A1E" w:rsidP="00D82120">
      <w:pPr>
        <w:jc w:val="both"/>
        <w:rPr>
          <w:rFonts w:ascii="Century Gothic" w:hAnsi="Century Gothic"/>
        </w:rPr>
      </w:pPr>
    </w:p>
    <w:tbl>
      <w:tblPr>
        <w:tblW w:w="8360" w:type="dxa"/>
        <w:tblInd w:w="57" w:type="dxa"/>
        <w:tblCellMar>
          <w:left w:w="70" w:type="dxa"/>
          <w:right w:w="70" w:type="dxa"/>
        </w:tblCellMar>
        <w:tblLook w:val="04A0" w:firstRow="1" w:lastRow="0" w:firstColumn="1" w:lastColumn="0" w:noHBand="0" w:noVBand="1"/>
      </w:tblPr>
      <w:tblGrid>
        <w:gridCol w:w="960"/>
        <w:gridCol w:w="6440"/>
        <w:gridCol w:w="977"/>
      </w:tblGrid>
      <w:tr w:rsidR="00CE5A1E" w:rsidRPr="00CE5A1E" w:rsidTr="00CE5A1E">
        <w:trPr>
          <w:trHeight w:val="600"/>
        </w:trPr>
        <w:tc>
          <w:tcPr>
            <w:tcW w:w="7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A1E" w:rsidRPr="00CE5A1E" w:rsidRDefault="00CE5A1E"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Aree tematiche negoziali</w:t>
            </w:r>
          </w:p>
        </w:tc>
        <w:tc>
          <w:tcPr>
            <w:tcW w:w="960" w:type="dxa"/>
            <w:tcBorders>
              <w:top w:val="single" w:sz="4" w:space="0" w:color="auto"/>
              <w:left w:val="nil"/>
              <w:bottom w:val="single" w:sz="4" w:space="0" w:color="auto"/>
              <w:right w:val="single" w:sz="4" w:space="0" w:color="auto"/>
            </w:tcBorders>
            <w:shd w:val="clear" w:color="auto" w:fill="auto"/>
            <w:hideMark/>
          </w:tcPr>
          <w:p w:rsidR="00CE5A1E" w:rsidRPr="00CE5A1E" w:rsidRDefault="00CE5A1E"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 xml:space="preserve"> % sugli accordi totali</w:t>
            </w:r>
          </w:p>
        </w:tc>
      </w:tr>
      <w:tr w:rsidR="00CE5A1E" w:rsidRPr="00CE5A1E" w:rsidTr="00CE5A1E">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CE5A1E" w:rsidRPr="00CE5A1E" w:rsidRDefault="00CE5A1E"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01.</w:t>
            </w:r>
          </w:p>
        </w:tc>
        <w:tc>
          <w:tcPr>
            <w:tcW w:w="6440" w:type="dxa"/>
            <w:tcBorders>
              <w:top w:val="nil"/>
              <w:left w:val="nil"/>
              <w:bottom w:val="single" w:sz="4" w:space="0" w:color="auto"/>
              <w:right w:val="single" w:sz="4" w:space="0" w:color="auto"/>
            </w:tcBorders>
            <w:shd w:val="clear" w:color="auto" w:fill="auto"/>
            <w:hideMark/>
          </w:tcPr>
          <w:p w:rsidR="00CE5A1E" w:rsidRPr="00CE5A1E" w:rsidRDefault="00CE5A1E"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 xml:space="preserve">Relazioni tra le parti e definizione del processo </w:t>
            </w:r>
          </w:p>
        </w:tc>
        <w:tc>
          <w:tcPr>
            <w:tcW w:w="960" w:type="dxa"/>
            <w:tcBorders>
              <w:top w:val="nil"/>
              <w:left w:val="nil"/>
              <w:bottom w:val="single" w:sz="4" w:space="0" w:color="auto"/>
              <w:right w:val="single" w:sz="4" w:space="0" w:color="auto"/>
            </w:tcBorders>
            <w:shd w:val="clear" w:color="auto" w:fill="auto"/>
            <w:noWrap/>
            <w:vAlign w:val="bottom"/>
            <w:hideMark/>
          </w:tcPr>
          <w:p w:rsidR="00CE5A1E" w:rsidRPr="00CE5A1E" w:rsidRDefault="00CE5A1E" w:rsidP="00CE5A1E">
            <w:pPr>
              <w:spacing w:line="240" w:lineRule="auto"/>
              <w:jc w:val="right"/>
              <w:rPr>
                <w:rFonts w:ascii="Century Gothic" w:hAnsi="Century Gothic"/>
                <w:b/>
                <w:bCs/>
                <w:color w:val="000000"/>
                <w:lang w:eastAsia="it-IT"/>
              </w:rPr>
            </w:pPr>
            <w:r w:rsidRPr="00CE5A1E">
              <w:rPr>
                <w:rFonts w:ascii="Century Gothic" w:hAnsi="Century Gothic"/>
                <w:b/>
                <w:bCs/>
                <w:color w:val="000000"/>
                <w:lang w:eastAsia="it-IT"/>
              </w:rPr>
              <w:t>89%</w:t>
            </w:r>
          </w:p>
        </w:tc>
      </w:tr>
      <w:tr w:rsidR="00CE5A1E" w:rsidRPr="00CE5A1E" w:rsidTr="00CE5A1E">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CE5A1E" w:rsidRPr="00CE5A1E" w:rsidRDefault="00CE5A1E"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02.</w:t>
            </w:r>
          </w:p>
        </w:tc>
        <w:tc>
          <w:tcPr>
            <w:tcW w:w="6440" w:type="dxa"/>
            <w:tcBorders>
              <w:top w:val="nil"/>
              <w:left w:val="nil"/>
              <w:bottom w:val="single" w:sz="4" w:space="0" w:color="auto"/>
              <w:right w:val="single" w:sz="4" w:space="0" w:color="auto"/>
            </w:tcBorders>
            <w:shd w:val="clear" w:color="auto" w:fill="auto"/>
            <w:hideMark/>
          </w:tcPr>
          <w:p w:rsidR="00CE5A1E" w:rsidRPr="00CE5A1E" w:rsidRDefault="00CE5A1E"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Politiche e strumenti della partecipazione attiva</w:t>
            </w:r>
          </w:p>
        </w:tc>
        <w:tc>
          <w:tcPr>
            <w:tcW w:w="960" w:type="dxa"/>
            <w:tcBorders>
              <w:top w:val="nil"/>
              <w:left w:val="nil"/>
              <w:bottom w:val="single" w:sz="4" w:space="0" w:color="auto"/>
              <w:right w:val="single" w:sz="4" w:space="0" w:color="auto"/>
            </w:tcBorders>
            <w:shd w:val="clear" w:color="auto" w:fill="auto"/>
            <w:noWrap/>
            <w:vAlign w:val="bottom"/>
            <w:hideMark/>
          </w:tcPr>
          <w:p w:rsidR="00CE5A1E" w:rsidRPr="00CE5A1E" w:rsidRDefault="00CE5A1E" w:rsidP="00CE5A1E">
            <w:pPr>
              <w:spacing w:line="240" w:lineRule="auto"/>
              <w:jc w:val="right"/>
              <w:rPr>
                <w:rFonts w:ascii="Century Gothic" w:hAnsi="Century Gothic"/>
                <w:b/>
                <w:bCs/>
                <w:color w:val="000000"/>
                <w:lang w:eastAsia="it-IT"/>
              </w:rPr>
            </w:pPr>
            <w:r w:rsidRPr="00CE5A1E">
              <w:rPr>
                <w:rFonts w:ascii="Century Gothic" w:hAnsi="Century Gothic"/>
                <w:b/>
                <w:bCs/>
                <w:color w:val="000000"/>
                <w:lang w:eastAsia="it-IT"/>
              </w:rPr>
              <w:t>33%</w:t>
            </w:r>
          </w:p>
        </w:tc>
      </w:tr>
      <w:tr w:rsidR="00CE5A1E" w:rsidRPr="00CE5A1E" w:rsidTr="00CE5A1E">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CE5A1E" w:rsidRPr="00CE5A1E" w:rsidRDefault="00CE5A1E"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03.</w:t>
            </w:r>
          </w:p>
        </w:tc>
        <w:tc>
          <w:tcPr>
            <w:tcW w:w="6440" w:type="dxa"/>
            <w:tcBorders>
              <w:top w:val="nil"/>
              <w:left w:val="nil"/>
              <w:bottom w:val="single" w:sz="4" w:space="0" w:color="auto"/>
              <w:right w:val="single" w:sz="4" w:space="0" w:color="auto"/>
            </w:tcBorders>
            <w:shd w:val="clear" w:color="auto" w:fill="auto"/>
            <w:hideMark/>
          </w:tcPr>
          <w:p w:rsidR="00CE5A1E" w:rsidRPr="00CE5A1E" w:rsidRDefault="00CE5A1E"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Pubblica amministrazione</w:t>
            </w:r>
          </w:p>
        </w:tc>
        <w:tc>
          <w:tcPr>
            <w:tcW w:w="960" w:type="dxa"/>
            <w:tcBorders>
              <w:top w:val="nil"/>
              <w:left w:val="nil"/>
              <w:bottom w:val="single" w:sz="4" w:space="0" w:color="auto"/>
              <w:right w:val="single" w:sz="4" w:space="0" w:color="auto"/>
            </w:tcBorders>
            <w:shd w:val="clear" w:color="auto" w:fill="auto"/>
            <w:noWrap/>
            <w:vAlign w:val="bottom"/>
            <w:hideMark/>
          </w:tcPr>
          <w:p w:rsidR="00CE5A1E" w:rsidRPr="00CE5A1E" w:rsidRDefault="00CE5A1E" w:rsidP="00CE5A1E">
            <w:pPr>
              <w:spacing w:line="240" w:lineRule="auto"/>
              <w:jc w:val="right"/>
              <w:rPr>
                <w:rFonts w:ascii="Century Gothic" w:hAnsi="Century Gothic"/>
                <w:b/>
                <w:bCs/>
                <w:color w:val="000000"/>
                <w:lang w:eastAsia="it-IT"/>
              </w:rPr>
            </w:pPr>
            <w:r w:rsidRPr="00CE5A1E">
              <w:rPr>
                <w:rFonts w:ascii="Century Gothic" w:hAnsi="Century Gothic"/>
                <w:b/>
                <w:bCs/>
                <w:color w:val="000000"/>
                <w:lang w:eastAsia="it-IT"/>
              </w:rPr>
              <w:t>70%</w:t>
            </w:r>
          </w:p>
        </w:tc>
      </w:tr>
      <w:tr w:rsidR="00CE5A1E" w:rsidRPr="00CE5A1E" w:rsidTr="00CE5A1E">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CE5A1E" w:rsidRPr="00CE5A1E" w:rsidRDefault="00CE5A1E"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04.</w:t>
            </w:r>
          </w:p>
        </w:tc>
        <w:tc>
          <w:tcPr>
            <w:tcW w:w="6440" w:type="dxa"/>
            <w:tcBorders>
              <w:top w:val="nil"/>
              <w:left w:val="nil"/>
              <w:bottom w:val="single" w:sz="4" w:space="0" w:color="auto"/>
              <w:right w:val="single" w:sz="4" w:space="0" w:color="auto"/>
            </w:tcBorders>
            <w:shd w:val="clear" w:color="auto" w:fill="auto"/>
            <w:hideMark/>
          </w:tcPr>
          <w:p w:rsidR="00CE5A1E" w:rsidRPr="00CE5A1E" w:rsidRDefault="00CE5A1E"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 xml:space="preserve">Politiche di bilancio </w:t>
            </w:r>
          </w:p>
        </w:tc>
        <w:tc>
          <w:tcPr>
            <w:tcW w:w="960" w:type="dxa"/>
            <w:tcBorders>
              <w:top w:val="nil"/>
              <w:left w:val="nil"/>
              <w:bottom w:val="single" w:sz="4" w:space="0" w:color="auto"/>
              <w:right w:val="single" w:sz="4" w:space="0" w:color="auto"/>
            </w:tcBorders>
            <w:shd w:val="clear" w:color="auto" w:fill="auto"/>
            <w:noWrap/>
            <w:vAlign w:val="bottom"/>
            <w:hideMark/>
          </w:tcPr>
          <w:p w:rsidR="00CE5A1E" w:rsidRPr="00CE5A1E" w:rsidRDefault="00CE5A1E" w:rsidP="00CE5A1E">
            <w:pPr>
              <w:spacing w:line="240" w:lineRule="auto"/>
              <w:jc w:val="right"/>
              <w:rPr>
                <w:rFonts w:ascii="Century Gothic" w:hAnsi="Century Gothic"/>
                <w:b/>
                <w:bCs/>
                <w:color w:val="000000"/>
                <w:lang w:eastAsia="it-IT"/>
              </w:rPr>
            </w:pPr>
            <w:r w:rsidRPr="00CE5A1E">
              <w:rPr>
                <w:rFonts w:ascii="Century Gothic" w:hAnsi="Century Gothic"/>
                <w:b/>
                <w:bCs/>
                <w:color w:val="000000"/>
                <w:lang w:eastAsia="it-IT"/>
              </w:rPr>
              <w:t>80%</w:t>
            </w:r>
          </w:p>
        </w:tc>
      </w:tr>
      <w:tr w:rsidR="00CE5A1E" w:rsidRPr="00CE5A1E" w:rsidTr="00CE5A1E">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CE5A1E" w:rsidRPr="00CE5A1E" w:rsidRDefault="00CE5A1E"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05.</w:t>
            </w:r>
          </w:p>
        </w:tc>
        <w:tc>
          <w:tcPr>
            <w:tcW w:w="6440" w:type="dxa"/>
            <w:tcBorders>
              <w:top w:val="nil"/>
              <w:left w:val="nil"/>
              <w:bottom w:val="single" w:sz="4" w:space="0" w:color="auto"/>
              <w:right w:val="single" w:sz="4" w:space="0" w:color="auto"/>
            </w:tcBorders>
            <w:shd w:val="clear" w:color="auto" w:fill="auto"/>
            <w:hideMark/>
          </w:tcPr>
          <w:p w:rsidR="00CE5A1E" w:rsidRPr="00CE5A1E" w:rsidRDefault="00CE5A1E"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 xml:space="preserve">Politiche socio-sanitarie ed assistenziali </w:t>
            </w:r>
          </w:p>
        </w:tc>
        <w:tc>
          <w:tcPr>
            <w:tcW w:w="960" w:type="dxa"/>
            <w:tcBorders>
              <w:top w:val="nil"/>
              <w:left w:val="nil"/>
              <w:bottom w:val="single" w:sz="4" w:space="0" w:color="auto"/>
              <w:right w:val="single" w:sz="4" w:space="0" w:color="auto"/>
            </w:tcBorders>
            <w:shd w:val="clear" w:color="auto" w:fill="auto"/>
            <w:noWrap/>
            <w:vAlign w:val="bottom"/>
            <w:hideMark/>
          </w:tcPr>
          <w:p w:rsidR="00CE5A1E" w:rsidRPr="00CE5A1E" w:rsidRDefault="00CE5A1E" w:rsidP="00CE5A1E">
            <w:pPr>
              <w:spacing w:line="240" w:lineRule="auto"/>
              <w:jc w:val="right"/>
              <w:rPr>
                <w:rFonts w:ascii="Century Gothic" w:hAnsi="Century Gothic"/>
                <w:b/>
                <w:bCs/>
                <w:color w:val="000000"/>
                <w:lang w:eastAsia="it-IT"/>
              </w:rPr>
            </w:pPr>
            <w:r w:rsidRPr="00CE5A1E">
              <w:rPr>
                <w:rFonts w:ascii="Century Gothic" w:hAnsi="Century Gothic"/>
                <w:b/>
                <w:bCs/>
                <w:color w:val="000000"/>
                <w:lang w:eastAsia="it-IT"/>
              </w:rPr>
              <w:t>77%</w:t>
            </w:r>
          </w:p>
        </w:tc>
      </w:tr>
      <w:tr w:rsidR="00CE5A1E" w:rsidRPr="00CE5A1E" w:rsidTr="00CE5A1E">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CE5A1E" w:rsidRPr="00CE5A1E" w:rsidRDefault="00CE5A1E"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06.</w:t>
            </w:r>
          </w:p>
        </w:tc>
        <w:tc>
          <w:tcPr>
            <w:tcW w:w="6440" w:type="dxa"/>
            <w:tcBorders>
              <w:top w:val="nil"/>
              <w:left w:val="nil"/>
              <w:bottom w:val="single" w:sz="4" w:space="0" w:color="auto"/>
              <w:right w:val="single" w:sz="4" w:space="0" w:color="auto"/>
            </w:tcBorders>
            <w:shd w:val="clear" w:color="auto" w:fill="auto"/>
            <w:hideMark/>
          </w:tcPr>
          <w:p w:rsidR="00CE5A1E" w:rsidRPr="00CE5A1E" w:rsidRDefault="00CE5A1E"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Politiche del lavoro e dello sviluppo</w:t>
            </w:r>
          </w:p>
        </w:tc>
        <w:tc>
          <w:tcPr>
            <w:tcW w:w="960" w:type="dxa"/>
            <w:tcBorders>
              <w:top w:val="nil"/>
              <w:left w:val="nil"/>
              <w:bottom w:val="single" w:sz="4" w:space="0" w:color="auto"/>
              <w:right w:val="single" w:sz="4" w:space="0" w:color="auto"/>
            </w:tcBorders>
            <w:shd w:val="clear" w:color="auto" w:fill="auto"/>
            <w:noWrap/>
            <w:vAlign w:val="bottom"/>
            <w:hideMark/>
          </w:tcPr>
          <w:p w:rsidR="00CE5A1E" w:rsidRPr="00CE5A1E" w:rsidRDefault="00CE5A1E" w:rsidP="00CE5A1E">
            <w:pPr>
              <w:spacing w:line="240" w:lineRule="auto"/>
              <w:jc w:val="right"/>
              <w:rPr>
                <w:rFonts w:ascii="Century Gothic" w:hAnsi="Century Gothic"/>
                <w:b/>
                <w:bCs/>
                <w:color w:val="000000"/>
                <w:lang w:eastAsia="it-IT"/>
              </w:rPr>
            </w:pPr>
            <w:r w:rsidRPr="00CE5A1E">
              <w:rPr>
                <w:rFonts w:ascii="Century Gothic" w:hAnsi="Century Gothic"/>
                <w:b/>
                <w:bCs/>
                <w:color w:val="000000"/>
                <w:lang w:eastAsia="it-IT"/>
              </w:rPr>
              <w:t>52%</w:t>
            </w:r>
          </w:p>
        </w:tc>
      </w:tr>
      <w:tr w:rsidR="00CE5A1E" w:rsidRPr="00CE5A1E" w:rsidTr="00CE5A1E">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CE5A1E" w:rsidRPr="00CE5A1E" w:rsidRDefault="00CE5A1E"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07.</w:t>
            </w:r>
          </w:p>
        </w:tc>
        <w:tc>
          <w:tcPr>
            <w:tcW w:w="6440" w:type="dxa"/>
            <w:tcBorders>
              <w:top w:val="nil"/>
              <w:left w:val="nil"/>
              <w:bottom w:val="single" w:sz="4" w:space="0" w:color="auto"/>
              <w:right w:val="single" w:sz="4" w:space="0" w:color="auto"/>
            </w:tcBorders>
            <w:shd w:val="clear" w:color="auto" w:fill="auto"/>
            <w:hideMark/>
          </w:tcPr>
          <w:p w:rsidR="00CE5A1E" w:rsidRPr="00CE5A1E" w:rsidRDefault="00CE5A1E"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Politica locale dei redditi e delle entrate</w:t>
            </w:r>
          </w:p>
        </w:tc>
        <w:tc>
          <w:tcPr>
            <w:tcW w:w="960" w:type="dxa"/>
            <w:tcBorders>
              <w:top w:val="nil"/>
              <w:left w:val="nil"/>
              <w:bottom w:val="single" w:sz="4" w:space="0" w:color="auto"/>
              <w:right w:val="single" w:sz="4" w:space="0" w:color="auto"/>
            </w:tcBorders>
            <w:shd w:val="clear" w:color="auto" w:fill="auto"/>
            <w:noWrap/>
            <w:vAlign w:val="bottom"/>
            <w:hideMark/>
          </w:tcPr>
          <w:p w:rsidR="00CE5A1E" w:rsidRPr="00CE5A1E" w:rsidRDefault="00CE5A1E" w:rsidP="00CE5A1E">
            <w:pPr>
              <w:spacing w:line="240" w:lineRule="auto"/>
              <w:jc w:val="right"/>
              <w:rPr>
                <w:rFonts w:ascii="Century Gothic" w:hAnsi="Century Gothic"/>
                <w:b/>
                <w:bCs/>
                <w:color w:val="000000"/>
                <w:lang w:eastAsia="it-IT"/>
              </w:rPr>
            </w:pPr>
            <w:r w:rsidRPr="00CE5A1E">
              <w:rPr>
                <w:rFonts w:ascii="Century Gothic" w:hAnsi="Century Gothic"/>
                <w:b/>
                <w:bCs/>
                <w:color w:val="000000"/>
                <w:lang w:eastAsia="it-IT"/>
              </w:rPr>
              <w:t>97%</w:t>
            </w:r>
          </w:p>
        </w:tc>
      </w:tr>
      <w:tr w:rsidR="00CE5A1E" w:rsidRPr="00CE5A1E" w:rsidTr="00CE5A1E">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CE5A1E" w:rsidRPr="00CE5A1E" w:rsidRDefault="00CE5A1E"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08.</w:t>
            </w:r>
          </w:p>
        </w:tc>
        <w:tc>
          <w:tcPr>
            <w:tcW w:w="6440" w:type="dxa"/>
            <w:tcBorders>
              <w:top w:val="nil"/>
              <w:left w:val="nil"/>
              <w:bottom w:val="single" w:sz="4" w:space="0" w:color="auto"/>
              <w:right w:val="single" w:sz="4" w:space="0" w:color="auto"/>
            </w:tcBorders>
            <w:shd w:val="clear" w:color="auto" w:fill="auto"/>
            <w:hideMark/>
          </w:tcPr>
          <w:p w:rsidR="00CE5A1E" w:rsidRPr="00CE5A1E" w:rsidRDefault="00CE5A1E"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Azioni di contrasto delle discriminazioni e pari opportunità</w:t>
            </w:r>
          </w:p>
        </w:tc>
        <w:tc>
          <w:tcPr>
            <w:tcW w:w="960" w:type="dxa"/>
            <w:tcBorders>
              <w:top w:val="nil"/>
              <w:left w:val="nil"/>
              <w:bottom w:val="single" w:sz="4" w:space="0" w:color="auto"/>
              <w:right w:val="single" w:sz="4" w:space="0" w:color="auto"/>
            </w:tcBorders>
            <w:shd w:val="clear" w:color="auto" w:fill="auto"/>
            <w:noWrap/>
            <w:vAlign w:val="bottom"/>
            <w:hideMark/>
          </w:tcPr>
          <w:p w:rsidR="00CE5A1E" w:rsidRPr="00CE5A1E" w:rsidRDefault="00CE5A1E" w:rsidP="00CE5A1E">
            <w:pPr>
              <w:spacing w:line="240" w:lineRule="auto"/>
              <w:jc w:val="right"/>
              <w:rPr>
                <w:rFonts w:ascii="Century Gothic" w:hAnsi="Century Gothic"/>
                <w:b/>
                <w:bCs/>
                <w:color w:val="000000"/>
                <w:lang w:eastAsia="it-IT"/>
              </w:rPr>
            </w:pPr>
            <w:r w:rsidRPr="00CE5A1E">
              <w:rPr>
                <w:rFonts w:ascii="Century Gothic" w:hAnsi="Century Gothic"/>
                <w:b/>
                <w:bCs/>
                <w:color w:val="000000"/>
                <w:lang w:eastAsia="it-IT"/>
              </w:rPr>
              <w:t>17%</w:t>
            </w:r>
          </w:p>
        </w:tc>
      </w:tr>
      <w:tr w:rsidR="00CE5A1E" w:rsidRPr="00CE5A1E" w:rsidTr="00CE5A1E">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CE5A1E" w:rsidRPr="00CE5A1E" w:rsidRDefault="00CE5A1E"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09.</w:t>
            </w:r>
          </w:p>
        </w:tc>
        <w:tc>
          <w:tcPr>
            <w:tcW w:w="6440" w:type="dxa"/>
            <w:tcBorders>
              <w:top w:val="nil"/>
              <w:left w:val="nil"/>
              <w:bottom w:val="single" w:sz="4" w:space="0" w:color="auto"/>
              <w:right w:val="single" w:sz="4" w:space="0" w:color="auto"/>
            </w:tcBorders>
            <w:shd w:val="clear" w:color="auto" w:fill="auto"/>
            <w:hideMark/>
          </w:tcPr>
          <w:p w:rsidR="00CE5A1E" w:rsidRPr="00CE5A1E" w:rsidRDefault="00CE5A1E"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Politiche per la casa e condizione abitativa</w:t>
            </w:r>
          </w:p>
        </w:tc>
        <w:tc>
          <w:tcPr>
            <w:tcW w:w="960" w:type="dxa"/>
            <w:tcBorders>
              <w:top w:val="nil"/>
              <w:left w:val="nil"/>
              <w:bottom w:val="single" w:sz="4" w:space="0" w:color="auto"/>
              <w:right w:val="single" w:sz="4" w:space="0" w:color="auto"/>
            </w:tcBorders>
            <w:shd w:val="clear" w:color="auto" w:fill="auto"/>
            <w:noWrap/>
            <w:vAlign w:val="bottom"/>
            <w:hideMark/>
          </w:tcPr>
          <w:p w:rsidR="00CE5A1E" w:rsidRPr="00CE5A1E" w:rsidRDefault="00CE5A1E" w:rsidP="00CE5A1E">
            <w:pPr>
              <w:spacing w:line="240" w:lineRule="auto"/>
              <w:jc w:val="right"/>
              <w:rPr>
                <w:rFonts w:ascii="Century Gothic" w:hAnsi="Century Gothic"/>
                <w:b/>
                <w:bCs/>
                <w:color w:val="000000"/>
                <w:lang w:eastAsia="it-IT"/>
              </w:rPr>
            </w:pPr>
            <w:r w:rsidRPr="00CE5A1E">
              <w:rPr>
                <w:rFonts w:ascii="Century Gothic" w:hAnsi="Century Gothic"/>
                <w:b/>
                <w:bCs/>
                <w:color w:val="000000"/>
                <w:lang w:eastAsia="it-IT"/>
              </w:rPr>
              <w:t>68%</w:t>
            </w:r>
          </w:p>
        </w:tc>
      </w:tr>
      <w:tr w:rsidR="00CE5A1E" w:rsidRPr="00CE5A1E" w:rsidTr="00CE5A1E">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CE5A1E" w:rsidRPr="00CE5A1E" w:rsidRDefault="00CE5A1E"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10.</w:t>
            </w:r>
          </w:p>
        </w:tc>
        <w:tc>
          <w:tcPr>
            <w:tcW w:w="6440" w:type="dxa"/>
            <w:tcBorders>
              <w:top w:val="nil"/>
              <w:left w:val="nil"/>
              <w:bottom w:val="single" w:sz="4" w:space="0" w:color="auto"/>
              <w:right w:val="single" w:sz="4" w:space="0" w:color="auto"/>
            </w:tcBorders>
            <w:shd w:val="clear" w:color="auto" w:fill="auto"/>
            <w:hideMark/>
          </w:tcPr>
          <w:p w:rsidR="00CE5A1E" w:rsidRPr="00CE5A1E" w:rsidRDefault="00CE5A1E"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Politiche dell’infanzia, giovani, educative e dell’istruzione</w:t>
            </w:r>
          </w:p>
        </w:tc>
        <w:tc>
          <w:tcPr>
            <w:tcW w:w="960" w:type="dxa"/>
            <w:tcBorders>
              <w:top w:val="nil"/>
              <w:left w:val="nil"/>
              <w:bottom w:val="single" w:sz="4" w:space="0" w:color="auto"/>
              <w:right w:val="single" w:sz="4" w:space="0" w:color="auto"/>
            </w:tcBorders>
            <w:shd w:val="clear" w:color="auto" w:fill="auto"/>
            <w:noWrap/>
            <w:vAlign w:val="bottom"/>
            <w:hideMark/>
          </w:tcPr>
          <w:p w:rsidR="00CE5A1E" w:rsidRPr="00CE5A1E" w:rsidRDefault="00CE5A1E" w:rsidP="00CE5A1E">
            <w:pPr>
              <w:spacing w:line="240" w:lineRule="auto"/>
              <w:jc w:val="right"/>
              <w:rPr>
                <w:rFonts w:ascii="Century Gothic" w:hAnsi="Century Gothic"/>
                <w:b/>
                <w:bCs/>
                <w:color w:val="000000"/>
                <w:lang w:eastAsia="it-IT"/>
              </w:rPr>
            </w:pPr>
            <w:r w:rsidRPr="00CE5A1E">
              <w:rPr>
                <w:rFonts w:ascii="Century Gothic" w:hAnsi="Century Gothic"/>
                <w:b/>
                <w:bCs/>
                <w:color w:val="000000"/>
                <w:lang w:eastAsia="it-IT"/>
              </w:rPr>
              <w:t>70%</w:t>
            </w:r>
          </w:p>
        </w:tc>
      </w:tr>
      <w:tr w:rsidR="00CE5A1E" w:rsidRPr="00CE5A1E" w:rsidTr="00CE5A1E">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CE5A1E" w:rsidRPr="00CE5A1E" w:rsidRDefault="00CE5A1E"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11.</w:t>
            </w:r>
          </w:p>
        </w:tc>
        <w:tc>
          <w:tcPr>
            <w:tcW w:w="6440" w:type="dxa"/>
            <w:tcBorders>
              <w:top w:val="nil"/>
              <w:left w:val="nil"/>
              <w:bottom w:val="single" w:sz="4" w:space="0" w:color="auto"/>
              <w:right w:val="single" w:sz="4" w:space="0" w:color="auto"/>
            </w:tcBorders>
            <w:shd w:val="clear" w:color="auto" w:fill="auto"/>
            <w:hideMark/>
          </w:tcPr>
          <w:p w:rsidR="00CE5A1E" w:rsidRPr="00CE5A1E" w:rsidRDefault="00CE5A1E"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Politiche culturali, di socializzazione e sicurezza</w:t>
            </w:r>
          </w:p>
        </w:tc>
        <w:tc>
          <w:tcPr>
            <w:tcW w:w="960" w:type="dxa"/>
            <w:tcBorders>
              <w:top w:val="nil"/>
              <w:left w:val="nil"/>
              <w:bottom w:val="single" w:sz="4" w:space="0" w:color="auto"/>
              <w:right w:val="single" w:sz="4" w:space="0" w:color="auto"/>
            </w:tcBorders>
            <w:shd w:val="clear" w:color="auto" w:fill="auto"/>
            <w:noWrap/>
            <w:vAlign w:val="bottom"/>
            <w:hideMark/>
          </w:tcPr>
          <w:p w:rsidR="00CE5A1E" w:rsidRPr="00CE5A1E" w:rsidRDefault="00CE5A1E" w:rsidP="00CE5A1E">
            <w:pPr>
              <w:spacing w:line="240" w:lineRule="auto"/>
              <w:jc w:val="right"/>
              <w:rPr>
                <w:rFonts w:ascii="Century Gothic" w:hAnsi="Century Gothic"/>
                <w:b/>
                <w:bCs/>
                <w:color w:val="000000"/>
                <w:lang w:eastAsia="it-IT"/>
              </w:rPr>
            </w:pPr>
            <w:r w:rsidRPr="00CE5A1E">
              <w:rPr>
                <w:rFonts w:ascii="Century Gothic" w:hAnsi="Century Gothic"/>
                <w:b/>
                <w:bCs/>
                <w:color w:val="000000"/>
                <w:lang w:eastAsia="it-IT"/>
              </w:rPr>
              <w:t>32%</w:t>
            </w:r>
          </w:p>
        </w:tc>
      </w:tr>
    </w:tbl>
    <w:p w:rsidR="00CE5A1E" w:rsidRDefault="00CE5A1E" w:rsidP="00D82120">
      <w:pPr>
        <w:jc w:val="both"/>
        <w:rPr>
          <w:rFonts w:ascii="Century Gothic" w:hAnsi="Century Gothic"/>
        </w:rPr>
      </w:pPr>
    </w:p>
    <w:p w:rsidR="00431D5A" w:rsidRDefault="00CE5A1E" w:rsidP="00D82120">
      <w:pPr>
        <w:jc w:val="both"/>
        <w:rPr>
          <w:rFonts w:ascii="Century Gothic" w:hAnsi="Century Gothic"/>
        </w:rPr>
      </w:pPr>
      <w:r>
        <w:rPr>
          <w:rFonts w:ascii="Century Gothic" w:hAnsi="Century Gothic"/>
        </w:rPr>
        <w:t xml:space="preserve">In una parte </w:t>
      </w:r>
      <w:r w:rsidR="007E33AF">
        <w:rPr>
          <w:rFonts w:ascii="Century Gothic" w:hAnsi="Century Gothic"/>
        </w:rPr>
        <w:t>consistente</w:t>
      </w:r>
      <w:r>
        <w:rPr>
          <w:rFonts w:ascii="Century Gothic" w:hAnsi="Century Gothic"/>
        </w:rPr>
        <w:t xml:space="preserve"> degli accordi (circa il 90%)</w:t>
      </w:r>
      <w:r w:rsidR="00431D5A">
        <w:rPr>
          <w:rFonts w:ascii="Century Gothic" w:hAnsi="Century Gothic"/>
        </w:rPr>
        <w:t xml:space="preserve"> </w:t>
      </w:r>
      <w:r w:rsidR="00830707">
        <w:rPr>
          <w:rFonts w:ascii="Century Gothic" w:hAnsi="Century Gothic"/>
        </w:rPr>
        <w:t xml:space="preserve">è </w:t>
      </w:r>
      <w:r w:rsidR="00431D5A">
        <w:rPr>
          <w:rFonts w:ascii="Century Gothic" w:hAnsi="Century Gothic"/>
        </w:rPr>
        <w:t>present</w:t>
      </w:r>
      <w:r w:rsidR="00830707">
        <w:rPr>
          <w:rFonts w:ascii="Century Gothic" w:hAnsi="Century Gothic"/>
        </w:rPr>
        <w:t>e</w:t>
      </w:r>
      <w:r w:rsidR="00431D5A">
        <w:rPr>
          <w:rFonts w:ascii="Century Gothic" w:hAnsi="Century Gothic"/>
        </w:rPr>
        <w:t xml:space="preserve"> </w:t>
      </w:r>
      <w:r w:rsidR="00830707">
        <w:rPr>
          <w:rFonts w:ascii="Century Gothic" w:hAnsi="Century Gothic"/>
        </w:rPr>
        <w:t xml:space="preserve">l’area della relazione tra le parti </w:t>
      </w:r>
      <w:r w:rsidR="00F76B88">
        <w:rPr>
          <w:rFonts w:ascii="Century Gothic" w:hAnsi="Century Gothic"/>
        </w:rPr>
        <w:t>e definizione del processo negoziale, riferendosi principalmente a</w:t>
      </w:r>
      <w:r w:rsidR="00431D5A">
        <w:rPr>
          <w:rFonts w:ascii="Century Gothic" w:hAnsi="Century Gothic"/>
        </w:rPr>
        <w:t xml:space="preserve"> valutazioni di premessa, </w:t>
      </w:r>
      <w:r w:rsidR="009F79DE">
        <w:rPr>
          <w:rFonts w:ascii="Century Gothic" w:hAnsi="Century Gothic"/>
        </w:rPr>
        <w:t>che servono a comprendere</w:t>
      </w:r>
      <w:r w:rsidR="00431D5A">
        <w:rPr>
          <w:rFonts w:ascii="Century Gothic" w:hAnsi="Century Gothic"/>
        </w:rPr>
        <w:t xml:space="preserve"> </w:t>
      </w:r>
      <w:r w:rsidR="009F79DE">
        <w:rPr>
          <w:rFonts w:ascii="Century Gothic" w:hAnsi="Century Gothic"/>
        </w:rPr>
        <w:t>lo scenario</w:t>
      </w:r>
      <w:r w:rsidR="00431D5A">
        <w:rPr>
          <w:rFonts w:ascii="Century Gothic" w:hAnsi="Century Gothic"/>
        </w:rPr>
        <w:t xml:space="preserve"> e i vincoli in cui le amministrazioni comunali </w:t>
      </w:r>
      <w:r w:rsidR="009F79DE">
        <w:rPr>
          <w:rFonts w:ascii="Century Gothic" w:hAnsi="Century Gothic"/>
        </w:rPr>
        <w:t>operano le loro</w:t>
      </w:r>
      <w:r w:rsidR="00431D5A">
        <w:rPr>
          <w:rFonts w:ascii="Century Gothic" w:hAnsi="Century Gothic"/>
        </w:rPr>
        <w:t xml:space="preserve"> scelte di bilancio.</w:t>
      </w:r>
    </w:p>
    <w:p w:rsidR="00431D5A" w:rsidRDefault="00431D5A" w:rsidP="00D82120">
      <w:pPr>
        <w:jc w:val="both"/>
        <w:rPr>
          <w:rFonts w:ascii="Century Gothic" w:hAnsi="Century Gothic"/>
        </w:rPr>
      </w:pPr>
      <w:r>
        <w:rPr>
          <w:rFonts w:ascii="Century Gothic" w:hAnsi="Century Gothic"/>
        </w:rPr>
        <w:t xml:space="preserve">Pur in presenza di </w:t>
      </w:r>
      <w:r w:rsidR="009F79DE">
        <w:rPr>
          <w:rFonts w:ascii="Century Gothic" w:hAnsi="Century Gothic"/>
        </w:rPr>
        <w:t>limitazioni</w:t>
      </w:r>
      <w:r>
        <w:rPr>
          <w:rFonts w:ascii="Century Gothic" w:hAnsi="Century Gothic"/>
        </w:rPr>
        <w:t xml:space="preserve"> dettat</w:t>
      </w:r>
      <w:r w:rsidR="009F79DE">
        <w:rPr>
          <w:rFonts w:ascii="Century Gothic" w:hAnsi="Century Gothic"/>
        </w:rPr>
        <w:t>e</w:t>
      </w:r>
      <w:r>
        <w:rPr>
          <w:rFonts w:ascii="Century Gothic" w:hAnsi="Century Gothic"/>
        </w:rPr>
        <w:t xml:space="preserve"> dai patti di stabilità e dalla riduzione dei trasferimenti statali, le amministrazioni, </w:t>
      </w:r>
      <w:r w:rsidRPr="00F23E18">
        <w:rPr>
          <w:rFonts w:ascii="Century Gothic" w:hAnsi="Century Gothic"/>
        </w:rPr>
        <w:t>generalmente,</w:t>
      </w:r>
      <w:r>
        <w:rPr>
          <w:rFonts w:ascii="Century Gothic" w:hAnsi="Century Gothic"/>
        </w:rPr>
        <w:t xml:space="preserve"> </w:t>
      </w:r>
      <w:r w:rsidR="009F79DE">
        <w:rPr>
          <w:rFonts w:ascii="Century Gothic" w:hAnsi="Century Gothic"/>
        </w:rPr>
        <w:t>affermano il loro impegno</w:t>
      </w:r>
      <w:r>
        <w:rPr>
          <w:rFonts w:ascii="Century Gothic" w:hAnsi="Century Gothic"/>
        </w:rPr>
        <w:t xml:space="preserve"> a mantenere il livello </w:t>
      </w:r>
      <w:r>
        <w:rPr>
          <w:rFonts w:ascii="Century Gothic" w:hAnsi="Century Gothic"/>
        </w:rPr>
        <w:lastRenderedPageBreak/>
        <w:t xml:space="preserve">della spesa sociale, </w:t>
      </w:r>
      <w:r w:rsidR="009F79DE">
        <w:rPr>
          <w:rFonts w:ascii="Century Gothic" w:hAnsi="Century Gothic"/>
        </w:rPr>
        <w:t>con l’adozione di</w:t>
      </w:r>
      <w:r>
        <w:rPr>
          <w:rFonts w:ascii="Century Gothic" w:hAnsi="Century Gothic"/>
        </w:rPr>
        <w:t xml:space="preserve"> una politica fiscale locale di tipo progressivo </w:t>
      </w:r>
      <w:r w:rsidR="009F79DE">
        <w:rPr>
          <w:rFonts w:ascii="Century Gothic" w:hAnsi="Century Gothic"/>
        </w:rPr>
        <w:t>v</w:t>
      </w:r>
      <w:r>
        <w:rPr>
          <w:rFonts w:ascii="Century Gothic" w:hAnsi="Century Gothic"/>
        </w:rPr>
        <w:t xml:space="preserve">olta alla </w:t>
      </w:r>
      <w:r w:rsidR="009F79DE">
        <w:rPr>
          <w:rFonts w:ascii="Century Gothic" w:hAnsi="Century Gothic"/>
        </w:rPr>
        <w:t xml:space="preserve">difesa </w:t>
      </w:r>
      <w:r>
        <w:rPr>
          <w:rFonts w:ascii="Century Gothic" w:hAnsi="Century Gothic"/>
        </w:rPr>
        <w:t xml:space="preserve">delle </w:t>
      </w:r>
      <w:r w:rsidR="009F79DE">
        <w:rPr>
          <w:rFonts w:ascii="Century Gothic" w:hAnsi="Century Gothic"/>
        </w:rPr>
        <w:t>fasce</w:t>
      </w:r>
      <w:r>
        <w:rPr>
          <w:rFonts w:ascii="Century Gothic" w:hAnsi="Century Gothic"/>
        </w:rPr>
        <w:t xml:space="preserve"> più deboli. Nella premessa, spesso, è anche sottolineata l’importanza del metodo concertativo e del confronto preventivo, </w:t>
      </w:r>
      <w:r w:rsidR="004D6722">
        <w:rPr>
          <w:rFonts w:ascii="Century Gothic" w:hAnsi="Century Gothic"/>
        </w:rPr>
        <w:t xml:space="preserve">dando, quindi, piena legittimazione alle parti sociali. </w:t>
      </w:r>
    </w:p>
    <w:p w:rsidR="00B66FC9" w:rsidRDefault="00431D5A" w:rsidP="00431D5A">
      <w:pPr>
        <w:jc w:val="both"/>
        <w:rPr>
          <w:rFonts w:ascii="Century Gothic" w:hAnsi="Century Gothic"/>
        </w:rPr>
      </w:pPr>
      <w:r>
        <w:rPr>
          <w:rFonts w:ascii="Century Gothic" w:hAnsi="Century Gothic"/>
        </w:rPr>
        <w:t xml:space="preserve">Oltre </w:t>
      </w:r>
      <w:r w:rsidR="004D6722">
        <w:rPr>
          <w:rFonts w:ascii="Century Gothic" w:hAnsi="Century Gothic"/>
        </w:rPr>
        <w:t>a</w:t>
      </w:r>
      <w:r>
        <w:rPr>
          <w:rFonts w:ascii="Century Gothic" w:hAnsi="Century Gothic"/>
        </w:rPr>
        <w:t xml:space="preserve"> affermazioni generali sulla definizione dei percorsi negoziali, </w:t>
      </w:r>
      <w:r w:rsidR="004D6722">
        <w:rPr>
          <w:rFonts w:ascii="Century Gothic" w:hAnsi="Century Gothic"/>
        </w:rPr>
        <w:t xml:space="preserve">in diversi accordi </w:t>
      </w:r>
      <w:r>
        <w:rPr>
          <w:rFonts w:ascii="Century Gothic" w:hAnsi="Century Gothic"/>
        </w:rPr>
        <w:t xml:space="preserve">sono </w:t>
      </w:r>
      <w:r w:rsidR="00CB720D">
        <w:rPr>
          <w:rFonts w:ascii="Century Gothic" w:hAnsi="Century Gothic"/>
        </w:rPr>
        <w:t>presi in considerazione</w:t>
      </w:r>
      <w:r w:rsidRPr="00F23E18">
        <w:rPr>
          <w:rFonts w:ascii="Century Gothic" w:hAnsi="Century Gothic"/>
        </w:rPr>
        <w:t xml:space="preserve"> </w:t>
      </w:r>
      <w:r w:rsidR="004D6722">
        <w:rPr>
          <w:rFonts w:ascii="Century Gothic" w:hAnsi="Century Gothic"/>
        </w:rPr>
        <w:t>momenti</w:t>
      </w:r>
      <w:r>
        <w:rPr>
          <w:rFonts w:ascii="Century Gothic" w:hAnsi="Century Gothic"/>
        </w:rPr>
        <w:t xml:space="preserve"> di confronto su diverse tematiche</w:t>
      </w:r>
      <w:r w:rsidR="004D6722">
        <w:rPr>
          <w:rFonts w:ascii="Century Gothic" w:hAnsi="Century Gothic"/>
        </w:rPr>
        <w:t xml:space="preserve">, con l’attivazione di specifici tavoli, e anche incontri </w:t>
      </w:r>
      <w:r w:rsidRPr="00C24576">
        <w:rPr>
          <w:rFonts w:ascii="Century Gothic" w:hAnsi="Century Gothic"/>
        </w:rPr>
        <w:t>di verifica o approfondimento rispetto ai contenuti acquisiti nell’accordo</w:t>
      </w:r>
      <w:r>
        <w:rPr>
          <w:rFonts w:ascii="Century Gothic" w:hAnsi="Century Gothic"/>
        </w:rPr>
        <w:t xml:space="preserve">. </w:t>
      </w:r>
      <w:r w:rsidR="004D6722">
        <w:rPr>
          <w:rFonts w:ascii="Century Gothic" w:hAnsi="Century Gothic"/>
        </w:rPr>
        <w:t>Può essere</w:t>
      </w:r>
      <w:r>
        <w:rPr>
          <w:rFonts w:ascii="Century Gothic" w:hAnsi="Century Gothic"/>
        </w:rPr>
        <w:t xml:space="preserve"> </w:t>
      </w:r>
      <w:r w:rsidRPr="003F093F">
        <w:rPr>
          <w:rFonts w:ascii="Century Gothic" w:hAnsi="Century Gothic"/>
        </w:rPr>
        <w:t>prevista</w:t>
      </w:r>
      <w:r w:rsidR="004D6722" w:rsidRPr="003F093F">
        <w:rPr>
          <w:rFonts w:ascii="Century Gothic" w:hAnsi="Century Gothic"/>
        </w:rPr>
        <w:t>,</w:t>
      </w:r>
      <w:r w:rsidR="004D6722">
        <w:rPr>
          <w:rFonts w:ascii="Century Gothic" w:hAnsi="Century Gothic"/>
        </w:rPr>
        <w:t xml:space="preserve"> in termini generici, </w:t>
      </w:r>
      <w:r>
        <w:rPr>
          <w:rFonts w:ascii="Century Gothic" w:hAnsi="Century Gothic"/>
        </w:rPr>
        <w:t xml:space="preserve">la verifica </w:t>
      </w:r>
      <w:r w:rsidRPr="006E1A90">
        <w:rPr>
          <w:rFonts w:ascii="Century Gothic" w:hAnsi="Century Gothic"/>
        </w:rPr>
        <w:t>sul consuntivo e sull’assestamento di bilancio</w:t>
      </w:r>
      <w:r w:rsidR="004D6722">
        <w:rPr>
          <w:rFonts w:ascii="Century Gothic" w:hAnsi="Century Gothic"/>
        </w:rPr>
        <w:t xml:space="preserve"> oppure può essere evidenziata</w:t>
      </w:r>
      <w:r w:rsidRPr="00C24576">
        <w:rPr>
          <w:rFonts w:ascii="Century Gothic" w:hAnsi="Century Gothic"/>
        </w:rPr>
        <w:t xml:space="preserve"> la necessità di riprendere il confronto sull’applicazione delle misure fiscali locali</w:t>
      </w:r>
      <w:r>
        <w:rPr>
          <w:rFonts w:ascii="Century Gothic" w:hAnsi="Century Gothic"/>
        </w:rPr>
        <w:t>,</w:t>
      </w:r>
      <w:r w:rsidRPr="00C24576">
        <w:rPr>
          <w:rFonts w:ascii="Century Gothic" w:hAnsi="Century Gothic"/>
        </w:rPr>
        <w:t xml:space="preserve"> che richiedono </w:t>
      </w:r>
      <w:r w:rsidR="00B66FC9">
        <w:rPr>
          <w:rFonts w:ascii="Century Gothic" w:hAnsi="Century Gothic"/>
        </w:rPr>
        <w:t>ulteriori</w:t>
      </w:r>
      <w:r w:rsidRPr="00C24576">
        <w:rPr>
          <w:rFonts w:ascii="Century Gothic" w:hAnsi="Century Gothic"/>
        </w:rPr>
        <w:t xml:space="preserve"> incontri </w:t>
      </w:r>
      <w:r>
        <w:rPr>
          <w:rFonts w:ascii="Century Gothic" w:hAnsi="Century Gothic"/>
        </w:rPr>
        <w:t>dopo il</w:t>
      </w:r>
      <w:r w:rsidRPr="00C24576">
        <w:rPr>
          <w:rFonts w:ascii="Century Gothic" w:hAnsi="Century Gothic"/>
        </w:rPr>
        <w:t xml:space="preserve"> negoziato sul bilancio di previsione.</w:t>
      </w:r>
      <w:r>
        <w:rPr>
          <w:rFonts w:ascii="Century Gothic" w:hAnsi="Century Gothic"/>
        </w:rPr>
        <w:t xml:space="preserve"> </w:t>
      </w:r>
      <w:r w:rsidR="00B66FC9">
        <w:rPr>
          <w:rFonts w:ascii="Century Gothic" w:hAnsi="Century Gothic"/>
        </w:rPr>
        <w:t xml:space="preserve">Nel 2015 particolare attenzione in questo senso è stata rivolta all’introduzione della nuova regolamentazione </w:t>
      </w:r>
      <w:r w:rsidR="00B66FC9" w:rsidRPr="000F3B7A">
        <w:rPr>
          <w:rFonts w:ascii="Century Gothic" w:hAnsi="Century Gothic"/>
        </w:rPr>
        <w:t xml:space="preserve">ISEE, argomento </w:t>
      </w:r>
      <w:r w:rsidR="000F3B7A" w:rsidRPr="000F3B7A">
        <w:rPr>
          <w:rFonts w:ascii="Century Gothic" w:hAnsi="Century Gothic"/>
        </w:rPr>
        <w:t xml:space="preserve">che necessita </w:t>
      </w:r>
      <w:r w:rsidR="00B66FC9" w:rsidRPr="000F3B7A">
        <w:rPr>
          <w:rFonts w:ascii="Century Gothic" w:hAnsi="Century Gothic"/>
        </w:rPr>
        <w:t>di approfondimenti.</w:t>
      </w:r>
      <w:r w:rsidR="00B66FC9">
        <w:rPr>
          <w:rFonts w:ascii="Century Gothic" w:hAnsi="Century Gothic"/>
        </w:rPr>
        <w:t xml:space="preserve"> </w:t>
      </w:r>
    </w:p>
    <w:p w:rsidR="00F76B88" w:rsidRDefault="00B66FC9" w:rsidP="000F3B7A">
      <w:pPr>
        <w:jc w:val="both"/>
        <w:rPr>
          <w:rFonts w:ascii="Century Gothic" w:hAnsi="Century Gothic"/>
        </w:rPr>
      </w:pPr>
      <w:r>
        <w:rPr>
          <w:rFonts w:ascii="Century Gothic" w:hAnsi="Century Gothic"/>
        </w:rPr>
        <w:t xml:space="preserve">La presenza di questa parte sulle </w:t>
      </w:r>
      <w:r w:rsidR="00D903F4">
        <w:rPr>
          <w:rFonts w:ascii="Century Gothic" w:hAnsi="Century Gothic"/>
        </w:rPr>
        <w:t xml:space="preserve">relazioni tra le parti e </w:t>
      </w:r>
      <w:r>
        <w:rPr>
          <w:rFonts w:ascii="Century Gothic" w:hAnsi="Century Gothic"/>
        </w:rPr>
        <w:t xml:space="preserve">sulla </w:t>
      </w:r>
      <w:r w:rsidR="00D903F4">
        <w:rPr>
          <w:rFonts w:ascii="Century Gothic" w:hAnsi="Century Gothic"/>
        </w:rPr>
        <w:t>definizione del processo negoziale</w:t>
      </w:r>
      <w:r>
        <w:rPr>
          <w:rFonts w:ascii="Century Gothic" w:hAnsi="Century Gothic"/>
        </w:rPr>
        <w:t xml:space="preserve"> è importante perché, come ribadito più volte, è un </w:t>
      </w:r>
      <w:r w:rsidR="00D903F4">
        <w:rPr>
          <w:rFonts w:ascii="Century Gothic" w:hAnsi="Century Gothic"/>
        </w:rPr>
        <w:t>indicatore</w:t>
      </w:r>
      <w:r w:rsidR="00503809">
        <w:rPr>
          <w:rFonts w:ascii="Century Gothic" w:hAnsi="Century Gothic"/>
        </w:rPr>
        <w:t>, anche se indiretto,</w:t>
      </w:r>
      <w:r w:rsidR="00D903F4">
        <w:rPr>
          <w:rFonts w:ascii="Century Gothic" w:hAnsi="Century Gothic"/>
        </w:rPr>
        <w:t xml:space="preserve"> della salute delle procedure negoziali</w:t>
      </w:r>
      <w:r>
        <w:rPr>
          <w:rFonts w:ascii="Century Gothic" w:hAnsi="Century Gothic"/>
        </w:rPr>
        <w:t xml:space="preserve">. Inoltre la </w:t>
      </w:r>
      <w:r w:rsidRPr="00E67C0D">
        <w:rPr>
          <w:rFonts w:ascii="Century Gothic" w:hAnsi="Century Gothic"/>
        </w:rPr>
        <w:t>previsione</w:t>
      </w:r>
      <w:r>
        <w:rPr>
          <w:rFonts w:ascii="Century Gothic" w:hAnsi="Century Gothic"/>
        </w:rPr>
        <w:t xml:space="preserve"> </w:t>
      </w:r>
      <w:r w:rsidR="00C961FC">
        <w:rPr>
          <w:rFonts w:ascii="Century Gothic" w:hAnsi="Century Gothic"/>
        </w:rPr>
        <w:t xml:space="preserve">di un monitoraggio e di verifiche delle politiche è </w:t>
      </w:r>
      <w:r w:rsidR="00982B3E">
        <w:rPr>
          <w:rFonts w:ascii="Century Gothic" w:hAnsi="Century Gothic"/>
        </w:rPr>
        <w:t>fondamentale</w:t>
      </w:r>
      <w:r w:rsidR="00C961FC">
        <w:rPr>
          <w:rFonts w:ascii="Century Gothic" w:hAnsi="Century Gothic"/>
        </w:rPr>
        <w:t xml:space="preserve"> per consentire al sindacato e ai cittadini di controllare la realizzazione delle scelte definite nelle intese, che, spesso, </w:t>
      </w:r>
      <w:r w:rsidR="000F3B7A">
        <w:rPr>
          <w:rFonts w:ascii="Century Gothic" w:hAnsi="Century Gothic"/>
        </w:rPr>
        <w:t xml:space="preserve">per </w:t>
      </w:r>
      <w:r w:rsidR="00C961FC" w:rsidRPr="000F3B7A">
        <w:rPr>
          <w:rFonts w:ascii="Century Gothic" w:hAnsi="Century Gothic"/>
        </w:rPr>
        <w:t>le loro caratteristiche,</w:t>
      </w:r>
      <w:r w:rsidR="00C961FC">
        <w:rPr>
          <w:rFonts w:ascii="Century Gothic" w:hAnsi="Century Gothic"/>
        </w:rPr>
        <w:t xml:space="preserve"> non sono esigibili, come accade nelle disposizioni contrattuali vere e proprie. </w:t>
      </w:r>
    </w:p>
    <w:p w:rsidR="00C961FC" w:rsidRDefault="007E33AF" w:rsidP="000F3B7A">
      <w:pPr>
        <w:jc w:val="both"/>
        <w:rPr>
          <w:rFonts w:ascii="Century Gothic" w:hAnsi="Century Gothic"/>
        </w:rPr>
      </w:pPr>
      <w:r>
        <w:rPr>
          <w:rFonts w:ascii="Century Gothic" w:hAnsi="Century Gothic"/>
        </w:rPr>
        <w:t xml:space="preserve">Dato che la contrattazione sociale, in genere, riguarda il confronto sul </w:t>
      </w:r>
      <w:r w:rsidRPr="00C961FC">
        <w:rPr>
          <w:rFonts w:ascii="Century Gothic" w:hAnsi="Century Gothic"/>
        </w:rPr>
        <w:t>bilancio preventivo</w:t>
      </w:r>
      <w:r>
        <w:rPr>
          <w:rFonts w:ascii="Century Gothic" w:hAnsi="Century Gothic"/>
        </w:rPr>
        <w:t xml:space="preserve"> a</w:t>
      </w:r>
      <w:r w:rsidR="00F76B88">
        <w:rPr>
          <w:rFonts w:ascii="Century Gothic" w:hAnsi="Century Gothic"/>
        </w:rPr>
        <w:t xml:space="preserve">nche </w:t>
      </w:r>
      <w:r w:rsidR="00F76B88" w:rsidRPr="00230A73">
        <w:rPr>
          <w:rFonts w:ascii="Century Gothic" w:hAnsi="Century Gothic"/>
        </w:rPr>
        <w:t xml:space="preserve">l’area delle politiche di bilancio è presente in una </w:t>
      </w:r>
      <w:r w:rsidRPr="00230A73">
        <w:rPr>
          <w:rFonts w:ascii="Century Gothic" w:hAnsi="Century Gothic"/>
        </w:rPr>
        <w:t>quota</w:t>
      </w:r>
      <w:r w:rsidR="00F76B88" w:rsidRPr="00230A73">
        <w:rPr>
          <w:rFonts w:ascii="Century Gothic" w:hAnsi="Century Gothic"/>
        </w:rPr>
        <w:t xml:space="preserve"> </w:t>
      </w:r>
      <w:r w:rsidRPr="00230A73">
        <w:rPr>
          <w:rFonts w:ascii="Century Gothic" w:hAnsi="Century Gothic"/>
        </w:rPr>
        <w:t xml:space="preserve">rilevante </w:t>
      </w:r>
      <w:r w:rsidR="00F76B88" w:rsidRPr="00230A73">
        <w:rPr>
          <w:rFonts w:ascii="Century Gothic" w:hAnsi="Century Gothic"/>
        </w:rPr>
        <w:t>degli accordi (</w:t>
      </w:r>
      <w:r w:rsidR="00230A73" w:rsidRPr="00230A73">
        <w:rPr>
          <w:rFonts w:ascii="Century Gothic" w:hAnsi="Century Gothic"/>
        </w:rPr>
        <w:t>l’</w:t>
      </w:r>
      <w:r w:rsidRPr="00230A73">
        <w:rPr>
          <w:rFonts w:ascii="Century Gothic" w:hAnsi="Century Gothic"/>
        </w:rPr>
        <w:t>80%</w:t>
      </w:r>
      <w:r w:rsidR="00230A73" w:rsidRPr="00230A73">
        <w:rPr>
          <w:rFonts w:ascii="Century Gothic" w:hAnsi="Century Gothic"/>
        </w:rPr>
        <w:t>, quindi</w:t>
      </w:r>
      <w:r w:rsidR="00CB720D">
        <w:rPr>
          <w:rFonts w:ascii="Century Gothic" w:hAnsi="Century Gothic"/>
        </w:rPr>
        <w:t>,</w:t>
      </w:r>
      <w:r w:rsidR="00230A73" w:rsidRPr="00230A73">
        <w:rPr>
          <w:rFonts w:ascii="Century Gothic" w:hAnsi="Century Gothic"/>
        </w:rPr>
        <w:t xml:space="preserve"> quattro quinti delle intese</w:t>
      </w:r>
      <w:r w:rsidR="00F76B88" w:rsidRPr="00230A73">
        <w:rPr>
          <w:rFonts w:ascii="Century Gothic" w:hAnsi="Century Gothic"/>
        </w:rPr>
        <w:t>)</w:t>
      </w:r>
      <w:r w:rsidRPr="00230A73">
        <w:rPr>
          <w:rFonts w:ascii="Century Gothic" w:hAnsi="Century Gothic"/>
        </w:rPr>
        <w:t>. Ne</w:t>
      </w:r>
      <w:r>
        <w:rPr>
          <w:rFonts w:ascii="Century Gothic" w:hAnsi="Century Gothic"/>
        </w:rPr>
        <w:t>lle valutazioni di premessa</w:t>
      </w:r>
      <w:r w:rsidR="00286550">
        <w:rPr>
          <w:rFonts w:ascii="Century Gothic" w:hAnsi="Century Gothic"/>
        </w:rPr>
        <w:t>, spesso, è indicato l’approccio di bilancio che l’amministrazione intende seguire, soprattutto se c’è una trattazione complessiva dei diversi ambiti relativi alle politiche sociali locali</w:t>
      </w:r>
      <w:r w:rsidR="00230A73">
        <w:rPr>
          <w:rFonts w:ascii="Century Gothic" w:hAnsi="Century Gothic"/>
        </w:rPr>
        <w:t>. Comunque, anche se</w:t>
      </w:r>
      <w:r w:rsidR="00CB720D">
        <w:rPr>
          <w:rFonts w:ascii="Century Gothic" w:hAnsi="Century Gothic"/>
        </w:rPr>
        <w:t>,</w:t>
      </w:r>
      <w:r w:rsidR="00230A73">
        <w:rPr>
          <w:rFonts w:ascii="Century Gothic" w:hAnsi="Century Gothic"/>
        </w:rPr>
        <w:t xml:space="preserve"> </w:t>
      </w:r>
      <w:r w:rsidR="00CB720D">
        <w:rPr>
          <w:rFonts w:ascii="Century Gothic" w:hAnsi="Century Gothic"/>
        </w:rPr>
        <w:t xml:space="preserve">negli accordi, </w:t>
      </w:r>
      <w:r w:rsidR="00230A73">
        <w:rPr>
          <w:rFonts w:ascii="Century Gothic" w:hAnsi="Century Gothic"/>
        </w:rPr>
        <w:t xml:space="preserve">vengono affrontate solo le questioni più rilevanti </w:t>
      </w:r>
      <w:r w:rsidR="00CB720D">
        <w:rPr>
          <w:rFonts w:ascii="Century Gothic" w:hAnsi="Century Gothic"/>
        </w:rPr>
        <w:t>(</w:t>
      </w:r>
      <w:r w:rsidR="00230A73">
        <w:rPr>
          <w:rFonts w:ascii="Century Gothic" w:hAnsi="Century Gothic"/>
        </w:rPr>
        <w:t>concernenti, quindi, le tasse e i tributi locali</w:t>
      </w:r>
      <w:r w:rsidR="00CB720D">
        <w:rPr>
          <w:rFonts w:ascii="Century Gothic" w:hAnsi="Century Gothic"/>
        </w:rPr>
        <w:t>), in alcuni casi,</w:t>
      </w:r>
      <w:r w:rsidR="00230A73">
        <w:rPr>
          <w:rFonts w:ascii="Century Gothic" w:hAnsi="Century Gothic"/>
        </w:rPr>
        <w:t xml:space="preserve"> si possono rilevare delle considerazioni sugli indirizzi di bilancio, che mirano a tutelare la popolazione più bisognosa.</w:t>
      </w:r>
      <w:r w:rsidR="00230A73" w:rsidRPr="000F3B7A">
        <w:rPr>
          <w:rFonts w:ascii="Century Gothic" w:hAnsi="Century Gothic"/>
        </w:rPr>
        <w:t xml:space="preserve"> </w:t>
      </w:r>
      <w:r w:rsidR="00CB720D">
        <w:rPr>
          <w:rFonts w:ascii="Century Gothic" w:hAnsi="Century Gothic"/>
        </w:rPr>
        <w:t>Come detto in precedenza, i</w:t>
      </w:r>
      <w:r w:rsidR="00503809" w:rsidRPr="000F3B7A">
        <w:rPr>
          <w:rFonts w:ascii="Century Gothic" w:hAnsi="Century Gothic"/>
        </w:rPr>
        <w:t>n diversi accordi sono</w:t>
      </w:r>
      <w:r w:rsidR="00C961FC" w:rsidRPr="000F3B7A">
        <w:rPr>
          <w:rFonts w:ascii="Century Gothic" w:hAnsi="Century Gothic"/>
        </w:rPr>
        <w:t xml:space="preserve"> previsti confronti </w:t>
      </w:r>
      <w:r w:rsidR="00230A73">
        <w:rPr>
          <w:rFonts w:ascii="Century Gothic" w:hAnsi="Century Gothic"/>
        </w:rPr>
        <w:t xml:space="preserve">anche </w:t>
      </w:r>
      <w:r w:rsidR="00C961FC" w:rsidRPr="000F3B7A">
        <w:rPr>
          <w:rFonts w:ascii="Century Gothic" w:hAnsi="Century Gothic"/>
        </w:rPr>
        <w:t xml:space="preserve">sul consuntivo e sugli assestamenti di bilancio, </w:t>
      </w:r>
      <w:r w:rsidR="000F3B7A" w:rsidRPr="000F3B7A">
        <w:rPr>
          <w:rFonts w:ascii="Century Gothic" w:hAnsi="Century Gothic"/>
        </w:rPr>
        <w:t>che indicano</w:t>
      </w:r>
      <w:r w:rsidR="00C961FC" w:rsidRPr="000F3B7A">
        <w:rPr>
          <w:rFonts w:ascii="Century Gothic" w:hAnsi="Century Gothic"/>
        </w:rPr>
        <w:t xml:space="preserve"> </w:t>
      </w:r>
      <w:r w:rsidR="000F3B7A" w:rsidRPr="000F3B7A">
        <w:rPr>
          <w:rFonts w:ascii="Century Gothic" w:hAnsi="Century Gothic"/>
        </w:rPr>
        <w:t>una risposta positiva, almeno a parole, alle</w:t>
      </w:r>
      <w:r w:rsidR="00C961FC" w:rsidRPr="000F3B7A">
        <w:rPr>
          <w:rFonts w:ascii="Century Gothic" w:hAnsi="Century Gothic"/>
        </w:rPr>
        <w:t xml:space="preserve"> </w:t>
      </w:r>
      <w:r w:rsidR="000F3B7A" w:rsidRPr="000F3B7A">
        <w:rPr>
          <w:rFonts w:ascii="Century Gothic" w:hAnsi="Century Gothic"/>
        </w:rPr>
        <w:t>esigenze</w:t>
      </w:r>
      <w:r w:rsidR="00C961FC" w:rsidRPr="000F3B7A">
        <w:rPr>
          <w:rFonts w:ascii="Century Gothic" w:hAnsi="Century Gothic"/>
        </w:rPr>
        <w:t xml:space="preserve"> di </w:t>
      </w:r>
      <w:r w:rsidR="000F3B7A" w:rsidRPr="000F3B7A">
        <w:rPr>
          <w:rFonts w:ascii="Century Gothic" w:hAnsi="Century Gothic"/>
        </w:rPr>
        <w:t>verifica da</w:t>
      </w:r>
      <w:r w:rsidR="000F3B7A">
        <w:rPr>
          <w:rFonts w:ascii="Century Gothic" w:hAnsi="Century Gothic"/>
        </w:rPr>
        <w:t xml:space="preserve"> parte del sindacato sulle decisioni concordate.</w:t>
      </w:r>
    </w:p>
    <w:p w:rsidR="000F3B7A" w:rsidRDefault="000F3B7A" w:rsidP="000F3B7A">
      <w:pPr>
        <w:jc w:val="both"/>
        <w:rPr>
          <w:rFonts w:ascii="Century Gothic" w:hAnsi="Century Gothic"/>
        </w:rPr>
      </w:pPr>
      <w:r>
        <w:rPr>
          <w:rFonts w:ascii="Century Gothic" w:hAnsi="Century Gothic"/>
        </w:rPr>
        <w:t xml:space="preserve">Dopo questa premessa </w:t>
      </w:r>
      <w:r w:rsidR="00230A73">
        <w:rPr>
          <w:rFonts w:ascii="Century Gothic" w:hAnsi="Century Gothic"/>
        </w:rPr>
        <w:t xml:space="preserve">sulle </w:t>
      </w:r>
      <w:r w:rsidR="00230A73" w:rsidRPr="001B755F">
        <w:rPr>
          <w:rFonts w:ascii="Century Gothic" w:hAnsi="Century Gothic"/>
        </w:rPr>
        <w:t>aree</w:t>
      </w:r>
      <w:r w:rsidR="00230A73">
        <w:rPr>
          <w:rFonts w:ascii="Century Gothic" w:hAnsi="Century Gothic"/>
        </w:rPr>
        <w:t xml:space="preserve"> che sono di introduzione negli accordi</w:t>
      </w:r>
      <w:r>
        <w:rPr>
          <w:rFonts w:ascii="Century Gothic" w:hAnsi="Century Gothic"/>
        </w:rPr>
        <w:t>, nei prossimi paragrafi saranno esaminate i principali ambiti di negoziazione</w:t>
      </w:r>
      <w:r w:rsidR="00982B3E">
        <w:rPr>
          <w:rFonts w:ascii="Century Gothic" w:hAnsi="Century Gothic"/>
        </w:rPr>
        <w:t xml:space="preserve">, </w:t>
      </w:r>
      <w:r w:rsidR="00230A73">
        <w:rPr>
          <w:rFonts w:ascii="Century Gothic" w:hAnsi="Century Gothic"/>
        </w:rPr>
        <w:t xml:space="preserve">partendo </w:t>
      </w:r>
      <w:r w:rsidR="001B755F">
        <w:rPr>
          <w:rFonts w:ascii="Century Gothic" w:hAnsi="Century Gothic"/>
        </w:rPr>
        <w:t>da quelli</w:t>
      </w:r>
      <w:r w:rsidR="00982B3E">
        <w:rPr>
          <w:rFonts w:ascii="Century Gothic" w:hAnsi="Century Gothic"/>
        </w:rPr>
        <w:t xml:space="preserve"> maggiormente presenti nelle intese</w:t>
      </w:r>
      <w:r w:rsidR="00230A73">
        <w:rPr>
          <w:rFonts w:ascii="Century Gothic" w:hAnsi="Century Gothic"/>
        </w:rPr>
        <w:t>,</w:t>
      </w:r>
      <w:r w:rsidR="00982B3E">
        <w:rPr>
          <w:rFonts w:ascii="Century Gothic" w:hAnsi="Century Gothic"/>
        </w:rPr>
        <w:t xml:space="preserve"> che rappresentano il cuore della contrattazione sociale</w:t>
      </w:r>
      <w:r w:rsidR="00230A73">
        <w:rPr>
          <w:rFonts w:ascii="Century Gothic" w:hAnsi="Century Gothic"/>
        </w:rPr>
        <w:t>,</w:t>
      </w:r>
      <w:r w:rsidR="00982B3E">
        <w:rPr>
          <w:rFonts w:ascii="Century Gothic" w:hAnsi="Century Gothic"/>
        </w:rPr>
        <w:t xml:space="preserve"> per arrivare a quell</w:t>
      </w:r>
      <w:r w:rsidR="001B755F">
        <w:rPr>
          <w:rFonts w:ascii="Century Gothic" w:hAnsi="Century Gothic"/>
        </w:rPr>
        <w:t>i</w:t>
      </w:r>
      <w:r w:rsidR="00982B3E">
        <w:rPr>
          <w:rFonts w:ascii="Century Gothic" w:hAnsi="Century Gothic"/>
        </w:rPr>
        <w:t xml:space="preserve"> che hanno minore incidenza</w:t>
      </w:r>
      <w:r w:rsidR="00C438D5">
        <w:rPr>
          <w:rFonts w:ascii="Century Gothic" w:hAnsi="Century Gothic"/>
        </w:rPr>
        <w:t xml:space="preserve">, ma che, comunque, configurano aspetti che sono di complemento alla soddisfazione delle esigenze di base. </w:t>
      </w:r>
    </w:p>
    <w:p w:rsidR="00982B3E" w:rsidRPr="00982B3E" w:rsidRDefault="00982B3E" w:rsidP="000F3B7A">
      <w:pPr>
        <w:jc w:val="both"/>
        <w:rPr>
          <w:rFonts w:ascii="Century Gothic" w:hAnsi="Century Gothic"/>
        </w:rPr>
      </w:pPr>
    </w:p>
    <w:p w:rsidR="003D3BA7" w:rsidRPr="00573C1E" w:rsidRDefault="003D3BA7" w:rsidP="003D3BA7">
      <w:pPr>
        <w:jc w:val="both"/>
        <w:rPr>
          <w:rFonts w:ascii="Century Gothic" w:hAnsi="Century Gothic"/>
          <w:b/>
        </w:rPr>
      </w:pPr>
      <w:r>
        <w:rPr>
          <w:rFonts w:ascii="Century Gothic" w:hAnsi="Century Gothic"/>
          <w:b/>
        </w:rPr>
        <w:t xml:space="preserve">4.2. </w:t>
      </w:r>
      <w:r w:rsidRPr="00573C1E">
        <w:rPr>
          <w:rFonts w:ascii="Century Gothic" w:hAnsi="Century Gothic"/>
          <w:b/>
        </w:rPr>
        <w:t>Esame delle aree tematiche negoziali</w:t>
      </w:r>
    </w:p>
    <w:p w:rsidR="00D82120" w:rsidRDefault="00D82120" w:rsidP="00DD1D58">
      <w:pPr>
        <w:jc w:val="both"/>
        <w:rPr>
          <w:rFonts w:ascii="Century Gothic" w:hAnsi="Century Gothic"/>
          <w:b/>
        </w:rPr>
      </w:pPr>
    </w:p>
    <w:p w:rsidR="00DD1D58" w:rsidRPr="004F777B" w:rsidRDefault="00DD1D58" w:rsidP="00DD1D58">
      <w:pPr>
        <w:jc w:val="both"/>
        <w:rPr>
          <w:rFonts w:ascii="Century Gothic" w:hAnsi="Century Gothic"/>
          <w:b/>
        </w:rPr>
      </w:pPr>
      <w:r w:rsidRPr="00E67C0D">
        <w:rPr>
          <w:rFonts w:ascii="Century Gothic" w:hAnsi="Century Gothic"/>
          <w:b/>
        </w:rPr>
        <w:t>Politica locale dei redditi e delle entrate</w:t>
      </w:r>
    </w:p>
    <w:p w:rsidR="00DD1D58" w:rsidRDefault="00DD1D58" w:rsidP="00795064">
      <w:pPr>
        <w:jc w:val="both"/>
        <w:rPr>
          <w:rFonts w:ascii="Century Gothic" w:hAnsi="Century Gothic"/>
        </w:rPr>
      </w:pPr>
    </w:p>
    <w:p w:rsidR="00795064" w:rsidRDefault="00795064" w:rsidP="00795064">
      <w:pPr>
        <w:jc w:val="both"/>
        <w:rPr>
          <w:rFonts w:ascii="Century Gothic" w:hAnsi="Century Gothic"/>
        </w:rPr>
      </w:pPr>
      <w:r>
        <w:rPr>
          <w:rFonts w:ascii="Century Gothic" w:hAnsi="Century Gothic"/>
        </w:rPr>
        <w:t xml:space="preserve">Come negli anni precedenti, il maggior confronto tra organizzazioni sindacali e amministrazioni comunali </w:t>
      </w:r>
      <w:r w:rsidR="00BD5F22">
        <w:rPr>
          <w:rFonts w:ascii="Century Gothic" w:hAnsi="Century Gothic"/>
        </w:rPr>
        <w:t>è avvenuto</w:t>
      </w:r>
      <w:r>
        <w:rPr>
          <w:rFonts w:ascii="Century Gothic" w:hAnsi="Century Gothic"/>
        </w:rPr>
        <w:t xml:space="preserve"> sulle scelte</w:t>
      </w:r>
      <w:r w:rsidR="00BD5F22">
        <w:rPr>
          <w:rFonts w:ascii="Century Gothic" w:hAnsi="Century Gothic"/>
        </w:rPr>
        <w:t xml:space="preserve"> di </w:t>
      </w:r>
      <w:r>
        <w:rPr>
          <w:rFonts w:ascii="Century Gothic" w:hAnsi="Century Gothic"/>
        </w:rPr>
        <w:t>politica fiscale</w:t>
      </w:r>
      <w:r w:rsidR="00230A73">
        <w:rPr>
          <w:rFonts w:ascii="Century Gothic" w:hAnsi="Century Gothic"/>
        </w:rPr>
        <w:t>, che nel 2015 arriva a coprire la quasi totalità degli accordi (97%)</w:t>
      </w:r>
      <w:r>
        <w:rPr>
          <w:rFonts w:ascii="Century Gothic" w:hAnsi="Century Gothic"/>
        </w:rPr>
        <w:t xml:space="preserve">. </w:t>
      </w:r>
      <w:r w:rsidR="00BD5F22">
        <w:rPr>
          <w:rFonts w:ascii="Century Gothic" w:hAnsi="Century Gothic"/>
        </w:rPr>
        <w:t xml:space="preserve">Il contesto rimane quello di una complessa situazione economico-finanziaria in cui diminuiscono i trasferimenti statali verso gli enti </w:t>
      </w:r>
      <w:r w:rsidR="00BD5F22">
        <w:rPr>
          <w:rFonts w:ascii="Century Gothic" w:hAnsi="Century Gothic"/>
        </w:rPr>
        <w:lastRenderedPageBreak/>
        <w:t>locali e</w:t>
      </w:r>
      <w:r w:rsidR="000F7E2C">
        <w:rPr>
          <w:rFonts w:ascii="Century Gothic" w:hAnsi="Century Gothic"/>
        </w:rPr>
        <w:t>,</w:t>
      </w:r>
      <w:r w:rsidR="00BD5F22">
        <w:rPr>
          <w:rFonts w:ascii="Century Gothic" w:hAnsi="Century Gothic"/>
        </w:rPr>
        <w:t xml:space="preserve"> per contro</w:t>
      </w:r>
      <w:r w:rsidR="000F7E2C">
        <w:rPr>
          <w:rFonts w:ascii="Century Gothic" w:hAnsi="Century Gothic"/>
        </w:rPr>
        <w:t>,</w:t>
      </w:r>
      <w:r w:rsidR="00BD5F22">
        <w:rPr>
          <w:rFonts w:ascii="Century Gothic" w:hAnsi="Century Gothic"/>
        </w:rPr>
        <w:t xml:space="preserve"> questi ultimi devono operare il versamento di rilevanti somme verso lo Stato centrale. Si sta verificando una riduzione degli spazi di autonomia delle istituzioni locali, con la sottrazione di risorse </w:t>
      </w:r>
      <w:r w:rsidR="003A141B">
        <w:rPr>
          <w:rFonts w:ascii="Century Gothic" w:hAnsi="Century Gothic"/>
        </w:rPr>
        <w:t xml:space="preserve">ai sistemi locali e alla </w:t>
      </w:r>
      <w:r w:rsidR="00E749F0">
        <w:rPr>
          <w:rFonts w:ascii="Century Gothic" w:hAnsi="Century Gothic"/>
        </w:rPr>
        <w:t xml:space="preserve">loro </w:t>
      </w:r>
      <w:r w:rsidR="003A141B">
        <w:rPr>
          <w:rFonts w:ascii="Century Gothic" w:hAnsi="Century Gothic"/>
        </w:rPr>
        <w:t xml:space="preserve">popolazione. </w:t>
      </w:r>
    </w:p>
    <w:p w:rsidR="00631F3E" w:rsidRDefault="003B27CB" w:rsidP="00795064">
      <w:pPr>
        <w:jc w:val="both"/>
        <w:rPr>
          <w:rFonts w:ascii="Century Gothic" w:hAnsi="Century Gothic"/>
        </w:rPr>
      </w:pPr>
      <w:r>
        <w:rPr>
          <w:rFonts w:ascii="Century Gothic" w:hAnsi="Century Gothic"/>
        </w:rPr>
        <w:t xml:space="preserve">Pertanto l’iniziativa sindacale si è rivolta, in primo luogo, verso una politica difensiva che però, in molti casi, è riuscita a mantenere invariate rette, tasse e tariffe comunali a parità di prestazioni e servizi. Il primo impegno è stato quello di richiedere una politica fiscale locale basata sull’equità a tutela delle categorie più deboli come famiglie a basso reddito, gli anziani, i lavoratori </w:t>
      </w:r>
      <w:r w:rsidR="00832C88">
        <w:rPr>
          <w:rFonts w:ascii="Century Gothic" w:hAnsi="Century Gothic"/>
        </w:rPr>
        <w:t xml:space="preserve">colpiti dalla crisi (in </w:t>
      </w:r>
      <w:r>
        <w:rPr>
          <w:rFonts w:ascii="Century Gothic" w:hAnsi="Century Gothic"/>
        </w:rPr>
        <w:t>cassa integrazione</w:t>
      </w:r>
      <w:r w:rsidR="00832C88">
        <w:rPr>
          <w:rFonts w:ascii="Century Gothic" w:hAnsi="Century Gothic"/>
        </w:rPr>
        <w:t>, mobilità, disoccupati)</w:t>
      </w:r>
      <w:r>
        <w:rPr>
          <w:rFonts w:ascii="Century Gothic" w:hAnsi="Century Gothic"/>
        </w:rPr>
        <w:t>. A fronte di minori risorse destinate agli enti locali</w:t>
      </w:r>
      <w:r w:rsidR="00832C88">
        <w:rPr>
          <w:rFonts w:ascii="Century Gothic" w:hAnsi="Century Gothic"/>
        </w:rPr>
        <w:t>,</w:t>
      </w:r>
      <w:r>
        <w:rPr>
          <w:rFonts w:ascii="Century Gothic" w:hAnsi="Century Gothic"/>
        </w:rPr>
        <w:t xml:space="preserve"> </w:t>
      </w:r>
      <w:r w:rsidR="00832C88">
        <w:rPr>
          <w:rFonts w:ascii="Century Gothic" w:hAnsi="Century Gothic"/>
        </w:rPr>
        <w:t xml:space="preserve">bisogna anche segnalare </w:t>
      </w:r>
      <w:r w:rsidR="00C6129C">
        <w:rPr>
          <w:rFonts w:ascii="Century Gothic" w:hAnsi="Century Gothic"/>
        </w:rPr>
        <w:t>il configurarsi</w:t>
      </w:r>
      <w:r w:rsidR="00832C88">
        <w:rPr>
          <w:rFonts w:ascii="Century Gothic" w:hAnsi="Century Gothic"/>
        </w:rPr>
        <w:t xml:space="preserve"> di</w:t>
      </w:r>
      <w:r>
        <w:rPr>
          <w:rFonts w:ascii="Century Gothic" w:hAnsi="Century Gothic"/>
        </w:rPr>
        <w:t xml:space="preserve"> maggiori necessità da parte dei cittadini</w:t>
      </w:r>
      <w:r w:rsidR="00832C88">
        <w:rPr>
          <w:rFonts w:ascii="Century Gothic" w:hAnsi="Century Gothic"/>
        </w:rPr>
        <w:t>, dato l’aumento di persone che si trovano al di fuori del mercato del lavoro. La conferma di decisioni di politica fiscale e di spesa prese in anni precedenti è un risultato che deve essere valorizzato  e tenuto in considerazione. Nei casi in cui c’è stata una rimodulazione verso l’alto</w:t>
      </w:r>
      <w:r w:rsidR="00BE01E8">
        <w:rPr>
          <w:rFonts w:ascii="Century Gothic" w:hAnsi="Century Gothic"/>
        </w:rPr>
        <w:t>, l’obiettivo è stato quello di mantenere</w:t>
      </w:r>
      <w:r w:rsidR="00E749F0">
        <w:rPr>
          <w:rFonts w:ascii="Century Gothic" w:hAnsi="Century Gothic"/>
        </w:rPr>
        <w:t>,</w:t>
      </w:r>
      <w:r w:rsidR="00BE01E8">
        <w:rPr>
          <w:rFonts w:ascii="Century Gothic" w:hAnsi="Century Gothic"/>
        </w:rPr>
        <w:t xml:space="preserve"> o addirittura migliorare</w:t>
      </w:r>
      <w:r w:rsidR="00E749F0">
        <w:rPr>
          <w:rFonts w:ascii="Century Gothic" w:hAnsi="Century Gothic"/>
        </w:rPr>
        <w:t>,</w:t>
      </w:r>
      <w:r w:rsidR="00BE01E8">
        <w:rPr>
          <w:rFonts w:ascii="Century Gothic" w:hAnsi="Century Gothic"/>
        </w:rPr>
        <w:t xml:space="preserve"> i servizi sociali e si è, comunque, cercato di non aggravare le fasce più vulnerabili. </w:t>
      </w:r>
      <w:r w:rsidR="00441346" w:rsidRPr="00703277">
        <w:rPr>
          <w:rFonts w:ascii="Century Gothic" w:hAnsi="Century Gothic"/>
        </w:rPr>
        <w:t>Si riporta un esempio tratto dall’accordo con il comune di Pescia concernente l’addizionale IRPEF, che viene aumentata per consentire il mantenimento e, se possibile</w:t>
      </w:r>
      <w:r w:rsidR="000F7E2C" w:rsidRPr="00703277">
        <w:rPr>
          <w:rFonts w:ascii="Century Gothic" w:hAnsi="Century Gothic"/>
        </w:rPr>
        <w:t>,</w:t>
      </w:r>
      <w:r w:rsidR="00441346" w:rsidRPr="00703277">
        <w:rPr>
          <w:rFonts w:ascii="Century Gothic" w:hAnsi="Century Gothic"/>
        </w:rPr>
        <w:t xml:space="preserve"> il </w:t>
      </w:r>
      <w:r w:rsidR="000F7E2C" w:rsidRPr="00703277">
        <w:rPr>
          <w:rFonts w:ascii="Century Gothic" w:hAnsi="Century Gothic"/>
        </w:rPr>
        <w:t>potenziamento</w:t>
      </w:r>
      <w:r w:rsidR="00441346" w:rsidRPr="00703277">
        <w:rPr>
          <w:rFonts w:ascii="Century Gothic" w:hAnsi="Century Gothic"/>
        </w:rPr>
        <w:t xml:space="preserve"> dei servizi pubblici. Viene, comunque, previsto un aumento di mille euro della soglia di esenzione di legge dell’imposta</w:t>
      </w:r>
      <w:r w:rsidR="000F7E2C" w:rsidRPr="00703277">
        <w:rPr>
          <w:rFonts w:ascii="Century Gothic" w:hAnsi="Century Gothic"/>
        </w:rPr>
        <w:t xml:space="preserve"> per i redditi dei pensionati ed </w:t>
      </w:r>
      <w:r w:rsidR="00441346" w:rsidRPr="00703277">
        <w:rPr>
          <w:rFonts w:ascii="Century Gothic" w:hAnsi="Century Gothic"/>
        </w:rPr>
        <w:t>incapienti, al fine attenuare il loro disagio.</w:t>
      </w:r>
    </w:p>
    <w:p w:rsidR="00E67C0D" w:rsidRDefault="00692D41" w:rsidP="00795064">
      <w:pPr>
        <w:jc w:val="both"/>
        <w:rPr>
          <w:rFonts w:ascii="Century Gothic" w:hAnsi="Century Gothic"/>
        </w:rPr>
      </w:pPr>
      <w:r>
        <w:rPr>
          <w:rFonts w:ascii="Century Gothic" w:hAnsi="Century Gothic"/>
        </w:rPr>
        <w:t>Come di consueto, le voci di politica fiscale maggiormente trattate sono l’IMU, la TASI, l’addizionale IRPEF,  e</w:t>
      </w:r>
      <w:r w:rsidR="00E749F0">
        <w:rPr>
          <w:rFonts w:ascii="Century Gothic" w:hAnsi="Century Gothic"/>
        </w:rPr>
        <w:t>,</w:t>
      </w:r>
      <w:r>
        <w:rPr>
          <w:rFonts w:ascii="Century Gothic" w:hAnsi="Century Gothic"/>
        </w:rPr>
        <w:t xml:space="preserve"> nel campo delle tariffe dei servizi pubblici</w:t>
      </w:r>
      <w:r w:rsidR="00E749F0">
        <w:rPr>
          <w:rFonts w:ascii="Century Gothic" w:hAnsi="Century Gothic"/>
        </w:rPr>
        <w:t>,</w:t>
      </w:r>
      <w:r>
        <w:rPr>
          <w:rFonts w:ascii="Century Gothic" w:hAnsi="Century Gothic"/>
        </w:rPr>
        <w:t xml:space="preserve"> la tassa sui rifiuti, la TARI. In alcuni accordi è presente anche il tema delle utenze domestiche, affrontato dal punto di vista dei contributi comunali per il pagamento delle bollette dei soggetti in difficoltà</w:t>
      </w:r>
      <w:r w:rsidR="00646BCC">
        <w:rPr>
          <w:rFonts w:ascii="Century Gothic" w:hAnsi="Century Gothic"/>
        </w:rPr>
        <w:t>,</w:t>
      </w:r>
      <w:r>
        <w:rPr>
          <w:rFonts w:ascii="Century Gothic" w:hAnsi="Century Gothic"/>
        </w:rPr>
        <w:t xml:space="preserve"> all’interno dei fondi anti-povertà o fondi anticrisi.</w:t>
      </w:r>
      <w:r w:rsidR="00EF2EC6">
        <w:rPr>
          <w:rFonts w:ascii="Century Gothic" w:hAnsi="Century Gothic"/>
        </w:rPr>
        <w:t xml:space="preserve"> </w:t>
      </w:r>
    </w:p>
    <w:p w:rsidR="00795064" w:rsidRDefault="00EF2EC6" w:rsidP="00795064">
      <w:pPr>
        <w:jc w:val="both"/>
        <w:rPr>
          <w:rFonts w:ascii="Century Gothic" w:hAnsi="Century Gothic"/>
        </w:rPr>
      </w:pPr>
      <w:r>
        <w:rPr>
          <w:rFonts w:ascii="Century Gothic" w:hAnsi="Century Gothic"/>
        </w:rPr>
        <w:t xml:space="preserve">Ampio spazio viene dato anche alla </w:t>
      </w:r>
      <w:r w:rsidR="00795064">
        <w:rPr>
          <w:rFonts w:ascii="Century Gothic" w:hAnsi="Century Gothic"/>
        </w:rPr>
        <w:t>compart</w:t>
      </w:r>
      <w:r>
        <w:rPr>
          <w:rFonts w:ascii="Century Gothic" w:hAnsi="Century Gothic"/>
        </w:rPr>
        <w:t xml:space="preserve">ecipazione ai costi del welfare, ossia </w:t>
      </w:r>
      <w:r w:rsidR="00795064">
        <w:rPr>
          <w:rFonts w:ascii="Century Gothic" w:hAnsi="Century Gothic"/>
        </w:rPr>
        <w:t>della determinazione delle rette dei servizi pubblici (sociali, educativi, assistenziali) con l’intento di mantenere le tariffe invariate rispetto agli anni precedenti e di consentire delle agevolazioni o esenzioni a coloro che si trovano in stato di necessità.</w:t>
      </w:r>
    </w:p>
    <w:p w:rsidR="00795064" w:rsidRDefault="00EF2EC6" w:rsidP="00795064">
      <w:pPr>
        <w:jc w:val="both"/>
        <w:rPr>
          <w:rFonts w:ascii="Century Gothic" w:hAnsi="Century Gothic"/>
        </w:rPr>
      </w:pPr>
      <w:r>
        <w:rPr>
          <w:rFonts w:ascii="Century Gothic" w:hAnsi="Century Gothic"/>
        </w:rPr>
        <w:t xml:space="preserve">L’indicatore </w:t>
      </w:r>
      <w:r w:rsidR="00795064" w:rsidRPr="001B3733">
        <w:rPr>
          <w:rFonts w:ascii="Century Gothic" w:hAnsi="Century Gothic"/>
          <w:bCs/>
        </w:rPr>
        <w:t>ISEE</w:t>
      </w:r>
      <w:r>
        <w:rPr>
          <w:rFonts w:ascii="Century Gothic" w:hAnsi="Century Gothic"/>
          <w:b/>
          <w:bCs/>
        </w:rPr>
        <w:t xml:space="preserve"> </w:t>
      </w:r>
      <w:r>
        <w:rPr>
          <w:rFonts w:ascii="Century Gothic" w:hAnsi="Century Gothic"/>
          <w:bCs/>
        </w:rPr>
        <w:t xml:space="preserve">rimane lo </w:t>
      </w:r>
      <w:r w:rsidR="00795064" w:rsidRPr="001B3733">
        <w:rPr>
          <w:rFonts w:ascii="Century Gothic" w:hAnsi="Century Gothic"/>
        </w:rPr>
        <w:t xml:space="preserve">strumento adottato in modo pressoché uniforme </w:t>
      </w:r>
      <w:r w:rsidR="00795064">
        <w:rPr>
          <w:rFonts w:ascii="Century Gothic" w:hAnsi="Century Gothic"/>
        </w:rPr>
        <w:t xml:space="preserve">in tutta la regione </w:t>
      </w:r>
      <w:r w:rsidR="00795064" w:rsidRPr="001B3733">
        <w:rPr>
          <w:rFonts w:ascii="Century Gothic" w:hAnsi="Century Gothic"/>
        </w:rPr>
        <w:t>per de</w:t>
      </w:r>
      <w:r w:rsidR="001B755F">
        <w:rPr>
          <w:rFonts w:ascii="Century Gothic" w:hAnsi="Century Gothic"/>
        </w:rPr>
        <w:t xml:space="preserve">finire varie misure quali: </w:t>
      </w:r>
      <w:r w:rsidR="00795064" w:rsidRPr="00B12B83">
        <w:rPr>
          <w:rFonts w:ascii="Century Gothic" w:hAnsi="Century Gothic"/>
        </w:rPr>
        <w:t>le quote di compartecipazione ai servizi a domanda individuale (sociali, educativi, assistenziali), i contributi per il pagamento delle bollette di gas e acqua,</w:t>
      </w:r>
      <w:r w:rsidR="00795064">
        <w:rPr>
          <w:rFonts w:ascii="Century Gothic" w:hAnsi="Century Gothic"/>
        </w:rPr>
        <w:t xml:space="preserve"> la determinazione del sostegno previsto dal fondo anticrisi.</w:t>
      </w:r>
      <w:r>
        <w:rPr>
          <w:rFonts w:ascii="Century Gothic" w:hAnsi="Century Gothic"/>
        </w:rPr>
        <w:t xml:space="preserve"> </w:t>
      </w:r>
      <w:r w:rsidR="00FE2EB1">
        <w:rPr>
          <w:rFonts w:ascii="Century Gothic" w:hAnsi="Century Gothic"/>
        </w:rPr>
        <w:t xml:space="preserve">Naturalmente, data l’introduzione della nuova regolamentazione ISEE, in buona parte degli accordi vengono stabiliti dei criteri di massima anche sulla base di quanto </w:t>
      </w:r>
      <w:r w:rsidR="00E749F0">
        <w:rPr>
          <w:rFonts w:ascii="Century Gothic" w:hAnsi="Century Gothic"/>
        </w:rPr>
        <w:t>deciso</w:t>
      </w:r>
      <w:r w:rsidR="00FE2EB1">
        <w:rPr>
          <w:rFonts w:ascii="Century Gothic" w:hAnsi="Century Gothic"/>
        </w:rPr>
        <w:t xml:space="preserve"> negli anni precedenti, ma sono previsti dei tavoli di confronto per approfondire la materia oppure delle verifiche. </w:t>
      </w:r>
    </w:p>
    <w:p w:rsidR="00647718" w:rsidRDefault="00FE2EB1" w:rsidP="00050F5E">
      <w:pPr>
        <w:jc w:val="both"/>
        <w:rPr>
          <w:rFonts w:ascii="Century Gothic" w:hAnsi="Century Gothic"/>
        </w:rPr>
      </w:pPr>
      <w:r>
        <w:rPr>
          <w:rFonts w:ascii="Century Gothic" w:hAnsi="Century Gothic"/>
        </w:rPr>
        <w:t xml:space="preserve">Se nel 2014 la necessità di </w:t>
      </w:r>
      <w:r w:rsidRPr="00C24576">
        <w:rPr>
          <w:rFonts w:ascii="Century Gothic" w:hAnsi="Century Gothic"/>
        </w:rPr>
        <w:t xml:space="preserve">incontri e verifiche </w:t>
      </w:r>
      <w:r>
        <w:rPr>
          <w:rFonts w:ascii="Century Gothic" w:hAnsi="Century Gothic"/>
        </w:rPr>
        <w:t>dopo il</w:t>
      </w:r>
      <w:r w:rsidRPr="00C24576">
        <w:rPr>
          <w:rFonts w:ascii="Century Gothic" w:hAnsi="Century Gothic"/>
        </w:rPr>
        <w:t xml:space="preserve"> negoziato sul bilancio di previsione</w:t>
      </w:r>
      <w:r w:rsidR="00050F5E">
        <w:rPr>
          <w:rFonts w:ascii="Century Gothic" w:hAnsi="Century Gothic"/>
        </w:rPr>
        <w:t xml:space="preserve"> riguardava prevalentemente l’argomento della TASI, data la recente introduzione, nel 2015 l’attenzione si sposta sull’applicazione del nuovo ISEE</w:t>
      </w:r>
      <w:r w:rsidRPr="00C24576">
        <w:rPr>
          <w:rFonts w:ascii="Century Gothic" w:hAnsi="Century Gothic"/>
        </w:rPr>
        <w:t>.</w:t>
      </w:r>
      <w:r w:rsidR="00050F5E">
        <w:rPr>
          <w:rFonts w:ascii="Century Gothic" w:hAnsi="Century Gothic"/>
        </w:rPr>
        <w:t xml:space="preserve"> </w:t>
      </w:r>
    </w:p>
    <w:p w:rsidR="00A27DF6" w:rsidRDefault="00F95604" w:rsidP="00F95604">
      <w:pPr>
        <w:jc w:val="both"/>
        <w:rPr>
          <w:rFonts w:ascii="Century Gothic" w:hAnsi="Century Gothic"/>
        </w:rPr>
      </w:pPr>
      <w:r>
        <w:rPr>
          <w:rFonts w:ascii="Century Gothic" w:hAnsi="Century Gothic"/>
        </w:rPr>
        <w:t xml:space="preserve">In alcuni accordi, riguardo all’ISEE, viene posta l’attenzione non solo in termini di </w:t>
      </w:r>
      <w:r w:rsidR="00A844C7">
        <w:rPr>
          <w:rFonts w:ascii="Century Gothic" w:hAnsi="Century Gothic"/>
        </w:rPr>
        <w:t xml:space="preserve">livello </w:t>
      </w:r>
      <w:r>
        <w:rPr>
          <w:rFonts w:ascii="Century Gothic" w:hAnsi="Century Gothic"/>
        </w:rPr>
        <w:t xml:space="preserve">di accesso all’esenzione o al contributo, ma anche dal punto di vista della derivazione del reddito. </w:t>
      </w:r>
      <w:r w:rsidR="00A844C7">
        <w:rPr>
          <w:rFonts w:ascii="Century Gothic" w:hAnsi="Century Gothic"/>
        </w:rPr>
        <w:t xml:space="preserve">Si possono riportare degli esempi. In un comune della provincia di Siena, è inserita l’esenzione per l’addizionale IRPEF fino a 10.000 euro ma esclusivamente per i redditi da lavoro dipendente e pensioni. In altri accordi, ad esempio della provincia di Lucca, </w:t>
      </w:r>
      <w:r w:rsidR="00C05C42">
        <w:rPr>
          <w:rFonts w:ascii="Century Gothic" w:hAnsi="Century Gothic"/>
        </w:rPr>
        <w:t>il riconoscimento di esenzioni e agevolazioni tariffarie</w:t>
      </w:r>
      <w:r w:rsidR="00A27DF6">
        <w:rPr>
          <w:rFonts w:ascii="Century Gothic" w:hAnsi="Century Gothic"/>
        </w:rPr>
        <w:t xml:space="preserve"> </w:t>
      </w:r>
      <w:r w:rsidR="00C05C42">
        <w:rPr>
          <w:rFonts w:ascii="Century Gothic" w:hAnsi="Century Gothic"/>
        </w:rPr>
        <w:t>è a</w:t>
      </w:r>
      <w:r w:rsidR="00A27DF6">
        <w:rPr>
          <w:rFonts w:ascii="Century Gothic" w:hAnsi="Century Gothic"/>
        </w:rPr>
        <w:t>mmess</w:t>
      </w:r>
      <w:r w:rsidR="00C05C42">
        <w:rPr>
          <w:rFonts w:ascii="Century Gothic" w:hAnsi="Century Gothic"/>
        </w:rPr>
        <w:t>o</w:t>
      </w:r>
      <w:r w:rsidR="00A27DF6">
        <w:rPr>
          <w:rFonts w:ascii="Century Gothic" w:hAnsi="Century Gothic"/>
        </w:rPr>
        <w:t xml:space="preserve"> solo per </w:t>
      </w:r>
      <w:r w:rsidR="00C05C42">
        <w:rPr>
          <w:rFonts w:ascii="Century Gothic" w:hAnsi="Century Gothic"/>
        </w:rPr>
        <w:t xml:space="preserve">coloro che </w:t>
      </w:r>
      <w:r w:rsidR="00C05C42">
        <w:rPr>
          <w:rFonts w:ascii="Century Gothic" w:hAnsi="Century Gothic"/>
        </w:rPr>
        <w:lastRenderedPageBreak/>
        <w:t>percepiscono redditi da pensione, lavoro</w:t>
      </w:r>
      <w:r w:rsidR="00A27DF6">
        <w:rPr>
          <w:rFonts w:ascii="Century Gothic" w:hAnsi="Century Gothic"/>
        </w:rPr>
        <w:t xml:space="preserve"> dipendent</w:t>
      </w:r>
      <w:r w:rsidR="00C05C42">
        <w:rPr>
          <w:rFonts w:ascii="Century Gothic" w:hAnsi="Century Gothic"/>
        </w:rPr>
        <w:t>e</w:t>
      </w:r>
      <w:r w:rsidR="00A27DF6">
        <w:rPr>
          <w:rFonts w:ascii="Century Gothic" w:hAnsi="Century Gothic"/>
        </w:rPr>
        <w:t>, parasubordinat</w:t>
      </w:r>
      <w:r w:rsidR="00C05C42">
        <w:rPr>
          <w:rFonts w:ascii="Century Gothic" w:hAnsi="Century Gothic"/>
        </w:rPr>
        <w:t>o</w:t>
      </w:r>
      <w:r w:rsidR="00A27DF6">
        <w:rPr>
          <w:rFonts w:ascii="Century Gothic" w:hAnsi="Century Gothic"/>
        </w:rPr>
        <w:t xml:space="preserve">, </w:t>
      </w:r>
      <w:r w:rsidR="00C05C42">
        <w:rPr>
          <w:rFonts w:ascii="Century Gothic" w:hAnsi="Century Gothic"/>
        </w:rPr>
        <w:t xml:space="preserve">cassintegrazione, </w:t>
      </w:r>
      <w:r w:rsidR="00A27DF6">
        <w:rPr>
          <w:rFonts w:ascii="Century Gothic" w:hAnsi="Century Gothic"/>
        </w:rPr>
        <w:t>disoccupa</w:t>
      </w:r>
      <w:r w:rsidR="00C05C42">
        <w:rPr>
          <w:rFonts w:ascii="Century Gothic" w:hAnsi="Century Gothic"/>
        </w:rPr>
        <w:t>zione</w:t>
      </w:r>
      <w:r w:rsidR="00A27DF6">
        <w:rPr>
          <w:rFonts w:ascii="Century Gothic" w:hAnsi="Century Gothic"/>
        </w:rPr>
        <w:t xml:space="preserve">, e assimilabili. Si considera, quindi, che tali categorie non possano </w:t>
      </w:r>
      <w:r w:rsidR="001B755F">
        <w:rPr>
          <w:rFonts w:ascii="Century Gothic" w:hAnsi="Century Gothic"/>
        </w:rPr>
        <w:t xml:space="preserve">fornire dati </w:t>
      </w:r>
      <w:r w:rsidR="00D45EE2">
        <w:rPr>
          <w:rFonts w:ascii="Century Gothic" w:hAnsi="Century Gothic"/>
        </w:rPr>
        <w:t>non corretti</w:t>
      </w:r>
      <w:r w:rsidR="001B755F">
        <w:rPr>
          <w:rFonts w:ascii="Century Gothic" w:hAnsi="Century Gothic"/>
        </w:rPr>
        <w:t xml:space="preserve"> </w:t>
      </w:r>
      <w:r w:rsidR="00A27DF6">
        <w:rPr>
          <w:rFonts w:ascii="Century Gothic" w:hAnsi="Century Gothic"/>
        </w:rPr>
        <w:t>sul livello</w:t>
      </w:r>
      <w:r w:rsidR="00D45EE2">
        <w:rPr>
          <w:rFonts w:ascii="Century Gothic" w:hAnsi="Century Gothic"/>
        </w:rPr>
        <w:t xml:space="preserve"> effettivo</w:t>
      </w:r>
      <w:r w:rsidR="00A27DF6">
        <w:rPr>
          <w:rFonts w:ascii="Century Gothic" w:hAnsi="Century Gothic"/>
        </w:rPr>
        <w:t xml:space="preserve"> del reddito, quindi s</w:t>
      </w:r>
      <w:r w:rsidR="00441346">
        <w:rPr>
          <w:rFonts w:ascii="Century Gothic" w:hAnsi="Century Gothic"/>
        </w:rPr>
        <w:t>ia</w:t>
      </w:r>
      <w:r w:rsidR="00A27DF6">
        <w:rPr>
          <w:rFonts w:ascii="Century Gothic" w:hAnsi="Century Gothic"/>
        </w:rPr>
        <w:t xml:space="preserve">no le uniche alle quali possano essere consentite delle agevolazioni. E’ interessante notare, come sempre nella provincia di Lucca, </w:t>
      </w:r>
      <w:r w:rsidR="00441346">
        <w:rPr>
          <w:rFonts w:ascii="Century Gothic" w:hAnsi="Century Gothic"/>
        </w:rPr>
        <w:t xml:space="preserve">venga data importanza a degli indicatori indiretti del livello del reddito. Nelle intese di questo territorio è ricorrente la precisazione che le agevolazioni non vengono riconosciute a coloro che hanno acquistato, dopo una certa data, beni immobili o autoveicoli e motocicli di nuova immatricolazione oltre una certa cilindrata. </w:t>
      </w:r>
    </w:p>
    <w:p w:rsidR="00647718" w:rsidRPr="00703277" w:rsidRDefault="001B755F" w:rsidP="00050F5E">
      <w:pPr>
        <w:jc w:val="both"/>
        <w:rPr>
          <w:rFonts w:ascii="Century Gothic" w:hAnsi="Century Gothic"/>
        </w:rPr>
      </w:pPr>
      <w:r w:rsidRPr="00703277">
        <w:rPr>
          <w:rFonts w:ascii="Century Gothic" w:hAnsi="Century Gothic"/>
        </w:rPr>
        <w:t>Si può poi ricordare che, r</w:t>
      </w:r>
      <w:r w:rsidR="00865AE9" w:rsidRPr="00703277">
        <w:rPr>
          <w:rFonts w:ascii="Century Gothic" w:hAnsi="Century Gothic"/>
        </w:rPr>
        <w:t xml:space="preserve">iguardo al nuovo ISEE sono </w:t>
      </w:r>
      <w:r w:rsidR="00E92EB2" w:rsidRPr="00703277">
        <w:rPr>
          <w:rFonts w:ascii="Century Gothic" w:hAnsi="Century Gothic"/>
        </w:rPr>
        <w:t>state presentate delle osserva</w:t>
      </w:r>
      <w:r w:rsidR="00865AE9" w:rsidRPr="00703277">
        <w:rPr>
          <w:rFonts w:ascii="Century Gothic" w:hAnsi="Century Gothic"/>
        </w:rPr>
        <w:t xml:space="preserve">zioni </w:t>
      </w:r>
      <w:r w:rsidR="00E92EB2" w:rsidRPr="00703277">
        <w:rPr>
          <w:rFonts w:ascii="Century Gothic" w:hAnsi="Century Gothic"/>
        </w:rPr>
        <w:t xml:space="preserve">da parte </w:t>
      </w:r>
      <w:r w:rsidR="00865AE9" w:rsidRPr="00703277">
        <w:rPr>
          <w:rFonts w:ascii="Century Gothic" w:hAnsi="Century Gothic"/>
        </w:rPr>
        <w:t>dello SPI della provincia di Livorno, che</w:t>
      </w:r>
      <w:r w:rsidR="00DC10F0" w:rsidRPr="00703277">
        <w:rPr>
          <w:rFonts w:ascii="Century Gothic" w:hAnsi="Century Gothic"/>
        </w:rPr>
        <w:t xml:space="preserve"> </w:t>
      </w:r>
      <w:r w:rsidR="00E92EB2" w:rsidRPr="00703277">
        <w:rPr>
          <w:rFonts w:ascii="Century Gothic" w:hAnsi="Century Gothic"/>
        </w:rPr>
        <w:t>evidenziano alcune</w:t>
      </w:r>
      <w:r w:rsidR="00865AE9" w:rsidRPr="00703277">
        <w:rPr>
          <w:rFonts w:ascii="Century Gothic" w:hAnsi="Century Gothic"/>
        </w:rPr>
        <w:t xml:space="preserve"> </w:t>
      </w:r>
      <w:r w:rsidR="00185EE2" w:rsidRPr="00703277">
        <w:rPr>
          <w:rFonts w:ascii="Century Gothic" w:hAnsi="Century Gothic"/>
        </w:rPr>
        <w:t>problematicità</w:t>
      </w:r>
      <w:r w:rsidR="00865AE9" w:rsidRPr="00703277">
        <w:rPr>
          <w:rFonts w:ascii="Century Gothic" w:hAnsi="Century Gothic"/>
        </w:rPr>
        <w:t xml:space="preserve"> della nuova articolazione di questo strumento. </w:t>
      </w:r>
      <w:r w:rsidR="00185EE2" w:rsidRPr="00703277">
        <w:rPr>
          <w:rFonts w:ascii="Century Gothic" w:hAnsi="Century Gothic"/>
        </w:rPr>
        <w:t xml:space="preserve">Uno dei punti </w:t>
      </w:r>
      <w:r w:rsidR="00D45EE2">
        <w:rPr>
          <w:rFonts w:ascii="Century Gothic" w:hAnsi="Century Gothic"/>
        </w:rPr>
        <w:t>in discussione</w:t>
      </w:r>
      <w:r w:rsidR="00185EE2" w:rsidRPr="00703277">
        <w:rPr>
          <w:rFonts w:ascii="Century Gothic" w:hAnsi="Century Gothic"/>
        </w:rPr>
        <w:t xml:space="preserve"> è l’ampliamento della definizione di reddito con l’inclusione del</w:t>
      </w:r>
      <w:r w:rsidR="00185EE2" w:rsidRPr="00703277">
        <w:rPr>
          <w:rFonts w:ascii="Century Gothic" w:eastAsia="Calibri" w:hAnsi="Century Gothic"/>
          <w:color w:val="000000"/>
        </w:rPr>
        <w:t>le prestazioni non soggette a imposizione Irpef (assegni sociali, pensioni invalidità, accompagnamento, ecc.) e tutti i redditi tassati con regimi sostitutivi o a titolo di imposta (contribuenti minimi, cedolare secca, premi produttività, ect.).</w:t>
      </w:r>
    </w:p>
    <w:p w:rsidR="000B37F3" w:rsidRDefault="00795064" w:rsidP="00795064">
      <w:pPr>
        <w:jc w:val="both"/>
        <w:rPr>
          <w:rFonts w:ascii="Century Gothic" w:hAnsi="Century Gothic"/>
          <w:highlight w:val="cyan"/>
        </w:rPr>
      </w:pPr>
      <w:r w:rsidRPr="00703277">
        <w:rPr>
          <w:rFonts w:ascii="Century Gothic" w:hAnsi="Century Gothic"/>
        </w:rPr>
        <w:t xml:space="preserve">In linea con quanto stabilito dalle raccomandazioni sulla contrattazione sociale a livello </w:t>
      </w:r>
      <w:r w:rsidRPr="00053F0D">
        <w:rPr>
          <w:rFonts w:ascii="Century Gothic" w:hAnsi="Century Gothic"/>
        </w:rPr>
        <w:t xml:space="preserve">nazionale, è </w:t>
      </w:r>
      <w:r w:rsidR="005D10C5" w:rsidRPr="00053F0D">
        <w:rPr>
          <w:rFonts w:ascii="Century Gothic" w:hAnsi="Century Gothic"/>
        </w:rPr>
        <w:t>ricorrente</w:t>
      </w:r>
      <w:r w:rsidRPr="00053F0D">
        <w:rPr>
          <w:rFonts w:ascii="Century Gothic" w:hAnsi="Century Gothic"/>
        </w:rPr>
        <w:t xml:space="preserve"> il tema del contrasto all’evasione fiscale e tributaria</w:t>
      </w:r>
      <w:r w:rsidR="005D10C5" w:rsidRPr="00053F0D">
        <w:rPr>
          <w:rFonts w:ascii="Century Gothic" w:hAnsi="Century Gothic"/>
        </w:rPr>
        <w:t>, anche se,</w:t>
      </w:r>
      <w:r w:rsidR="003D4A11" w:rsidRPr="00053F0D">
        <w:rPr>
          <w:rFonts w:ascii="Century Gothic" w:hAnsi="Century Gothic"/>
        </w:rPr>
        <w:t xml:space="preserve"> in</w:t>
      </w:r>
      <w:r w:rsidR="005D10C5" w:rsidRPr="00053F0D">
        <w:rPr>
          <w:rFonts w:ascii="Century Gothic" w:hAnsi="Century Gothic"/>
        </w:rPr>
        <w:t xml:space="preserve"> alcuni casi trattato solo in termini generici</w:t>
      </w:r>
      <w:r w:rsidRPr="00053F0D">
        <w:rPr>
          <w:rFonts w:ascii="Century Gothic" w:hAnsi="Century Gothic"/>
        </w:rPr>
        <w:t xml:space="preserve">. </w:t>
      </w:r>
      <w:r w:rsidR="005D10C5" w:rsidRPr="00053F0D">
        <w:rPr>
          <w:rFonts w:ascii="Century Gothic" w:hAnsi="Century Gothic"/>
        </w:rPr>
        <w:t xml:space="preserve">In una situazione di minori fondi a disposizione, diventa sempre più importante recuperare risorse da destinare alla spesa sociale, oppure verso la tutela del lavoro, come si verifica </w:t>
      </w:r>
      <w:r w:rsidRPr="00053F0D">
        <w:rPr>
          <w:rFonts w:ascii="Century Gothic" w:hAnsi="Century Gothic"/>
        </w:rPr>
        <w:t>in alcuni accordi</w:t>
      </w:r>
      <w:r w:rsidR="005D10C5" w:rsidRPr="00053F0D">
        <w:rPr>
          <w:rFonts w:ascii="Century Gothic" w:hAnsi="Century Gothic"/>
        </w:rPr>
        <w:t xml:space="preserve"> che prevedono </w:t>
      </w:r>
      <w:r w:rsidRPr="00053F0D">
        <w:rPr>
          <w:rFonts w:ascii="Century Gothic" w:hAnsi="Century Gothic"/>
        </w:rPr>
        <w:t xml:space="preserve">anche agevolazioni per imprese che assumono a tempo indeterminato. In determinati accordi </w:t>
      </w:r>
      <w:r w:rsidR="00EB7012" w:rsidRPr="00053F0D">
        <w:rPr>
          <w:rFonts w:ascii="Century Gothic" w:hAnsi="Century Gothic"/>
        </w:rPr>
        <w:t>sono descritte nel dettaglio</w:t>
      </w:r>
      <w:r w:rsidRPr="00053F0D">
        <w:rPr>
          <w:rFonts w:ascii="Century Gothic" w:hAnsi="Century Gothic"/>
        </w:rPr>
        <w:t xml:space="preserve"> </w:t>
      </w:r>
      <w:r w:rsidR="00EB7012" w:rsidRPr="00053F0D">
        <w:rPr>
          <w:rFonts w:ascii="Century Gothic" w:hAnsi="Century Gothic"/>
        </w:rPr>
        <w:t xml:space="preserve">le </w:t>
      </w:r>
      <w:r w:rsidRPr="00053F0D">
        <w:rPr>
          <w:rFonts w:ascii="Century Gothic" w:hAnsi="Century Gothic"/>
        </w:rPr>
        <w:t xml:space="preserve">attività anti-evasione in convenzione con l’Agenzia delle Entrate e all’interno del progetto regionale TOSCA, </w:t>
      </w:r>
      <w:r w:rsidR="00EB7012" w:rsidRPr="00053F0D">
        <w:rPr>
          <w:rFonts w:ascii="Century Gothic" w:hAnsi="Century Gothic"/>
        </w:rPr>
        <w:t xml:space="preserve">con </w:t>
      </w:r>
      <w:r w:rsidRPr="00053F0D">
        <w:rPr>
          <w:rFonts w:ascii="Century Gothic" w:hAnsi="Century Gothic"/>
        </w:rPr>
        <w:t xml:space="preserve"> specifici percorsi formativi </w:t>
      </w:r>
      <w:r w:rsidR="00EB7012" w:rsidRPr="00053F0D">
        <w:rPr>
          <w:rFonts w:ascii="Century Gothic" w:hAnsi="Century Gothic"/>
        </w:rPr>
        <w:t>rivolti ai</w:t>
      </w:r>
      <w:r w:rsidRPr="00053F0D">
        <w:rPr>
          <w:rFonts w:ascii="Century Gothic" w:hAnsi="Century Gothic"/>
        </w:rPr>
        <w:t xml:space="preserve"> dipendenti comunali.</w:t>
      </w:r>
      <w:r>
        <w:rPr>
          <w:rFonts w:ascii="Century Gothic" w:hAnsi="Century Gothic"/>
        </w:rPr>
        <w:t xml:space="preserve"> </w:t>
      </w:r>
      <w:r w:rsidR="000B37F3" w:rsidRPr="000B37F3">
        <w:rPr>
          <w:rFonts w:ascii="Century Gothic" w:hAnsi="Century Gothic"/>
        </w:rPr>
        <w:t xml:space="preserve">La </w:t>
      </w:r>
      <w:r w:rsidR="00F320D7" w:rsidRPr="000B37F3">
        <w:rPr>
          <w:rFonts w:ascii="Century Gothic" w:hAnsi="Century Gothic"/>
        </w:rPr>
        <w:t>Regione Toscana</w:t>
      </w:r>
      <w:r w:rsidR="000B37F3">
        <w:rPr>
          <w:rFonts w:ascii="Century Gothic" w:hAnsi="Century Gothic"/>
        </w:rPr>
        <w:t>,</w:t>
      </w:r>
      <w:r w:rsidR="00F320D7" w:rsidRPr="000B37F3">
        <w:rPr>
          <w:rFonts w:ascii="Century Gothic" w:hAnsi="Century Gothic"/>
        </w:rPr>
        <w:t xml:space="preserve"> </w:t>
      </w:r>
      <w:r w:rsidR="000B37F3" w:rsidRPr="000B37F3">
        <w:rPr>
          <w:rFonts w:ascii="Century Gothic" w:hAnsi="Century Gothic"/>
        </w:rPr>
        <w:t>a partire</w:t>
      </w:r>
      <w:r w:rsidR="000B37F3">
        <w:rPr>
          <w:rFonts w:ascii="Century Gothic" w:hAnsi="Century Gothic"/>
        </w:rPr>
        <w:t xml:space="preserve"> dal 2008, ha indirizzato le amministrazioni comunali verso la lotta contro l’</w:t>
      </w:r>
      <w:r w:rsidR="00E749F0">
        <w:rPr>
          <w:rFonts w:ascii="Century Gothic" w:hAnsi="Century Gothic"/>
        </w:rPr>
        <w:t xml:space="preserve">evasione, ponendo l’accento sullo </w:t>
      </w:r>
      <w:r w:rsidR="000B37F3">
        <w:rPr>
          <w:rFonts w:ascii="Century Gothic" w:hAnsi="Century Gothic"/>
        </w:rPr>
        <w:t xml:space="preserve">svolgimento in forma associata. </w:t>
      </w:r>
    </w:p>
    <w:p w:rsidR="00795064" w:rsidRDefault="005E5DF8" w:rsidP="00795064">
      <w:pPr>
        <w:jc w:val="both"/>
        <w:rPr>
          <w:rFonts w:ascii="Century Gothic" w:hAnsi="Century Gothic"/>
        </w:rPr>
      </w:pPr>
      <w:r>
        <w:rPr>
          <w:rFonts w:ascii="Century Gothic" w:hAnsi="Century Gothic"/>
        </w:rPr>
        <w:t>Ai fini della verifica del lavoro svolto,</w:t>
      </w:r>
      <w:r w:rsidR="00795064">
        <w:rPr>
          <w:rFonts w:ascii="Century Gothic" w:hAnsi="Century Gothic"/>
        </w:rPr>
        <w:t xml:space="preserve"> in alcuni accordi </w:t>
      </w:r>
      <w:r>
        <w:rPr>
          <w:rFonts w:ascii="Century Gothic" w:hAnsi="Century Gothic"/>
        </w:rPr>
        <w:t>sono presenti</w:t>
      </w:r>
      <w:r w:rsidR="00795064">
        <w:rPr>
          <w:rFonts w:ascii="Century Gothic" w:hAnsi="Century Gothic"/>
        </w:rPr>
        <w:t xml:space="preserve"> pure </w:t>
      </w:r>
      <w:r>
        <w:rPr>
          <w:rFonts w:ascii="Century Gothic" w:hAnsi="Century Gothic"/>
        </w:rPr>
        <w:t>i risultati</w:t>
      </w:r>
      <w:r w:rsidR="00795064">
        <w:rPr>
          <w:rFonts w:ascii="Century Gothic" w:hAnsi="Century Gothic"/>
        </w:rPr>
        <w:t xml:space="preserve"> di precedenti attività anti-evasione con l’indicazione delle somme recuperate e della loro destinazione. </w:t>
      </w:r>
      <w:r w:rsidR="00F93B2E">
        <w:rPr>
          <w:rFonts w:ascii="Century Gothic" w:hAnsi="Century Gothic"/>
        </w:rPr>
        <w:t xml:space="preserve">L’azione di monitoraggio necessita, però, di una maggiore formalizzazione, come ricorda un comunicato dello SPI regionale sull’argomento. Nonostante gli impegni previsti dagli accordi sottoscritti con l’ANCI nel 2014 e nel 2015, non è stata effettuata un’attività di verifica in maniera strutturata e </w:t>
      </w:r>
      <w:r w:rsidR="000B37F3">
        <w:rPr>
          <w:rFonts w:ascii="Century Gothic" w:hAnsi="Century Gothic"/>
        </w:rPr>
        <w:t>non esistono cifre definitive al riguardo.</w:t>
      </w:r>
    </w:p>
    <w:p w:rsidR="00DD1D58" w:rsidRDefault="000B37F3" w:rsidP="00795064">
      <w:pPr>
        <w:jc w:val="both"/>
        <w:rPr>
          <w:rFonts w:ascii="Century Gothic" w:hAnsi="Century Gothic"/>
        </w:rPr>
      </w:pPr>
      <w:r>
        <w:rPr>
          <w:rFonts w:ascii="Century Gothic" w:hAnsi="Century Gothic"/>
        </w:rPr>
        <w:t>Il</w:t>
      </w:r>
      <w:r w:rsidR="003D4A11">
        <w:rPr>
          <w:rFonts w:ascii="Century Gothic" w:hAnsi="Century Gothic"/>
        </w:rPr>
        <w:t xml:space="preserve"> comunicato dello SPI </w:t>
      </w:r>
      <w:r>
        <w:rPr>
          <w:rFonts w:ascii="Century Gothic" w:hAnsi="Century Gothic"/>
        </w:rPr>
        <w:t>mette, inoltre,</w:t>
      </w:r>
      <w:r w:rsidR="003D4A11">
        <w:rPr>
          <w:rFonts w:ascii="Century Gothic" w:hAnsi="Century Gothic"/>
        </w:rPr>
        <w:t xml:space="preserve"> l’accento sul fatto che queste attività </w:t>
      </w:r>
      <w:r w:rsidR="00F320D7">
        <w:rPr>
          <w:rFonts w:ascii="Century Gothic" w:hAnsi="Century Gothic"/>
        </w:rPr>
        <w:t xml:space="preserve">riguardano il recupero di tributi di competenza delle amministrazioni, quindi nel caso dei comuni </w:t>
      </w:r>
      <w:r w:rsidR="00703277">
        <w:rPr>
          <w:rFonts w:ascii="Century Gothic" w:hAnsi="Century Gothic"/>
        </w:rPr>
        <w:t>ICI-IMU e TOSAP-COSAP.</w:t>
      </w:r>
      <w:r w:rsidR="00F320D7">
        <w:rPr>
          <w:rFonts w:ascii="Century Gothic" w:hAnsi="Century Gothic"/>
        </w:rPr>
        <w:t xml:space="preserve"> </w:t>
      </w:r>
    </w:p>
    <w:p w:rsidR="00F320D7" w:rsidRDefault="00F320D7" w:rsidP="00DD1D58">
      <w:pPr>
        <w:jc w:val="both"/>
        <w:rPr>
          <w:rFonts w:ascii="Century Gothic" w:hAnsi="Century Gothic"/>
        </w:rPr>
      </w:pPr>
      <w:r>
        <w:rPr>
          <w:rFonts w:ascii="Century Gothic" w:hAnsi="Century Gothic"/>
        </w:rPr>
        <w:t xml:space="preserve">Esiste però un altro tipo di attività di accertamento fiscale e contributivo che i comuni possono svolgere per lo </w:t>
      </w:r>
      <w:r w:rsidR="00EC2D0C">
        <w:rPr>
          <w:rFonts w:ascii="Century Gothic" w:hAnsi="Century Gothic"/>
        </w:rPr>
        <w:t>S</w:t>
      </w:r>
      <w:r>
        <w:rPr>
          <w:rFonts w:ascii="Century Gothic" w:hAnsi="Century Gothic"/>
        </w:rPr>
        <w:t>tato centrale</w:t>
      </w:r>
      <w:r w:rsidR="00E749F0">
        <w:rPr>
          <w:rFonts w:ascii="Century Gothic" w:hAnsi="Century Gothic"/>
        </w:rPr>
        <w:t>,</w:t>
      </w:r>
      <w:r>
        <w:rPr>
          <w:rFonts w:ascii="Century Gothic" w:hAnsi="Century Gothic"/>
        </w:rPr>
        <w:t xml:space="preserve"> e l’aspetto importante è che il contributo riconosciuto </w:t>
      </w:r>
      <w:r w:rsidR="003F65C1">
        <w:rPr>
          <w:rFonts w:ascii="Century Gothic" w:hAnsi="Century Gothic"/>
        </w:rPr>
        <w:t xml:space="preserve">a ogni comune </w:t>
      </w:r>
      <w:r>
        <w:rPr>
          <w:rFonts w:ascii="Century Gothic" w:hAnsi="Century Gothic"/>
        </w:rPr>
        <w:t xml:space="preserve">è il totale dell’importo dell’evasione fiscale e/o contributiva che è stata accertata. </w:t>
      </w:r>
      <w:r w:rsidR="003F65C1">
        <w:rPr>
          <w:rFonts w:ascii="Century Gothic" w:hAnsi="Century Gothic"/>
        </w:rPr>
        <w:t xml:space="preserve">Con lo svolgimento di questo genere di attività i comuni potrebbero, quindi, disporre di risorse da indirizzare verso la spesa sociale. </w:t>
      </w:r>
    </w:p>
    <w:p w:rsidR="00FD3F12" w:rsidRDefault="003F65C1" w:rsidP="00DD1D58">
      <w:pPr>
        <w:jc w:val="both"/>
        <w:rPr>
          <w:rFonts w:ascii="Century Gothic" w:hAnsi="Century Gothic"/>
        </w:rPr>
      </w:pPr>
      <w:r>
        <w:rPr>
          <w:rFonts w:ascii="Century Gothic" w:hAnsi="Century Gothic"/>
        </w:rPr>
        <w:t xml:space="preserve">I dati forniti dal Ministero dell’Interno sull’attività di accertamento svolta dai comuni nel 2014 indicano che in Toscana solo 51 comuni su 279 hanno effettuato iniziative contro l’evasione. Inoltre i risultati ottenuti sono di lieve entità e solo </w:t>
      </w:r>
      <w:r w:rsidR="006C50F4">
        <w:rPr>
          <w:rFonts w:ascii="Century Gothic" w:hAnsi="Century Gothic"/>
        </w:rPr>
        <w:t>3 comuni sono riusciti a recuperare somme superiori a 100.000 euro: Firenze 139.016,11; Arezzo 235.644,33; Prato 624.389,72. Come si vede si tratta di comuni capoluogo, quindi</w:t>
      </w:r>
      <w:r w:rsidR="00EC2D0C">
        <w:rPr>
          <w:rFonts w:ascii="Century Gothic" w:hAnsi="Century Gothic"/>
        </w:rPr>
        <w:t>,</w:t>
      </w:r>
      <w:r w:rsidR="006C50F4">
        <w:rPr>
          <w:rFonts w:ascii="Century Gothic" w:hAnsi="Century Gothic"/>
        </w:rPr>
        <w:t xml:space="preserve"> </w:t>
      </w:r>
      <w:r w:rsidR="006C50F4" w:rsidRPr="00EC2D0C">
        <w:rPr>
          <w:rFonts w:ascii="Century Gothic" w:hAnsi="Century Gothic"/>
        </w:rPr>
        <w:t xml:space="preserve">con una </w:t>
      </w:r>
      <w:r w:rsidR="008148C0" w:rsidRPr="00EC2D0C">
        <w:rPr>
          <w:rFonts w:ascii="Century Gothic" w:hAnsi="Century Gothic"/>
        </w:rPr>
        <w:t xml:space="preserve">organizzazione </w:t>
      </w:r>
      <w:r w:rsidR="008148C0" w:rsidRPr="00EC2D0C">
        <w:rPr>
          <w:rFonts w:ascii="Century Gothic" w:hAnsi="Century Gothic"/>
        </w:rPr>
        <w:lastRenderedPageBreak/>
        <w:t xml:space="preserve">più strutturata e con maggiori possibilità </w:t>
      </w:r>
      <w:r w:rsidR="006C50F4">
        <w:rPr>
          <w:rFonts w:ascii="Century Gothic" w:hAnsi="Century Gothic"/>
        </w:rPr>
        <w:t xml:space="preserve">di svolgere questa attività anti-evasione. </w:t>
      </w:r>
      <w:r w:rsidR="00EC2D0C">
        <w:rPr>
          <w:rFonts w:ascii="Century Gothic" w:hAnsi="Century Gothic"/>
        </w:rPr>
        <w:t>I</w:t>
      </w:r>
      <w:r w:rsidR="00FD3F12">
        <w:rPr>
          <w:rFonts w:ascii="Century Gothic" w:hAnsi="Century Gothic"/>
        </w:rPr>
        <w:t xml:space="preserve"> comuni di dimensioni più piccole </w:t>
      </w:r>
      <w:r w:rsidR="00EC2D0C">
        <w:rPr>
          <w:rFonts w:ascii="Century Gothic" w:hAnsi="Century Gothic"/>
        </w:rPr>
        <w:t>potrebbero effettuare</w:t>
      </w:r>
      <w:r w:rsidR="00FD3F12">
        <w:rPr>
          <w:rFonts w:ascii="Century Gothic" w:hAnsi="Century Gothic"/>
        </w:rPr>
        <w:t xml:space="preserve"> queste attività in forma associata, come già avviene in alcuni territori per i tributi di propria competenza.</w:t>
      </w:r>
    </w:p>
    <w:p w:rsidR="00F320D7" w:rsidRDefault="00EC2D0C" w:rsidP="00DD1D58">
      <w:pPr>
        <w:jc w:val="both"/>
        <w:rPr>
          <w:rFonts w:ascii="Century Gothic" w:hAnsi="Century Gothic"/>
        </w:rPr>
      </w:pPr>
      <w:r>
        <w:rPr>
          <w:rFonts w:ascii="Century Gothic" w:hAnsi="Century Gothic"/>
        </w:rPr>
        <w:t>L’opportunità di utilizzare somme recuperate per conto dello Stato centrale è, quindi, una tematica che può diventare rilevante nella contrattazione sociale. Le amministrazioni comunali potrebbero essere invitate a svolgere sempre più questa attività di accertamento</w:t>
      </w:r>
      <w:r w:rsidR="00053F0D">
        <w:rPr>
          <w:rFonts w:ascii="Century Gothic" w:hAnsi="Century Gothic"/>
        </w:rPr>
        <w:t>,</w:t>
      </w:r>
      <w:r>
        <w:rPr>
          <w:rFonts w:ascii="Century Gothic" w:hAnsi="Century Gothic"/>
        </w:rPr>
        <w:t xml:space="preserve"> al fine di disporre di risorse </w:t>
      </w:r>
      <w:r w:rsidR="002A377C">
        <w:rPr>
          <w:rFonts w:ascii="Century Gothic" w:hAnsi="Century Gothic"/>
        </w:rPr>
        <w:t>a favore di interventi nel sociale.</w:t>
      </w:r>
    </w:p>
    <w:p w:rsidR="00EC2D0C" w:rsidRDefault="00EC2D0C" w:rsidP="00DD1D58">
      <w:pPr>
        <w:jc w:val="both"/>
        <w:rPr>
          <w:rFonts w:ascii="Century Gothic" w:hAnsi="Century Gothic"/>
        </w:rPr>
      </w:pPr>
    </w:p>
    <w:p w:rsidR="00DD1D58" w:rsidRDefault="00DD1D58" w:rsidP="00DD1D58">
      <w:pPr>
        <w:jc w:val="both"/>
        <w:rPr>
          <w:rFonts w:ascii="Century Gothic" w:hAnsi="Century Gothic"/>
          <w:b/>
        </w:rPr>
      </w:pPr>
      <w:r w:rsidRPr="008626C4">
        <w:rPr>
          <w:rFonts w:ascii="Century Gothic" w:hAnsi="Century Gothic"/>
          <w:b/>
        </w:rPr>
        <w:t>Politiche socio-sanitarie e assistenziali</w:t>
      </w:r>
    </w:p>
    <w:p w:rsidR="008626C4" w:rsidRPr="00D8521C" w:rsidRDefault="008626C4" w:rsidP="00DD1D58">
      <w:pPr>
        <w:jc w:val="both"/>
        <w:rPr>
          <w:rFonts w:ascii="Century Gothic" w:hAnsi="Century Gothic"/>
          <w:b/>
        </w:rPr>
      </w:pPr>
    </w:p>
    <w:p w:rsidR="00DD1D58" w:rsidRDefault="00DD1D58" w:rsidP="00DD1D58">
      <w:pPr>
        <w:jc w:val="both"/>
        <w:rPr>
          <w:rFonts w:ascii="Century Gothic" w:hAnsi="Century Gothic"/>
        </w:rPr>
      </w:pPr>
      <w:r>
        <w:rPr>
          <w:rFonts w:ascii="Century Gothic" w:hAnsi="Century Gothic"/>
        </w:rPr>
        <w:t xml:space="preserve">Come rilevato nei rapporti della contrattazione sociale a livello nazionale, le politiche socio-sanitarie e assistenziali rappresentano il cuore della contrattazione sociale territoriale, insieme alle politiche fiscali tributarie e tariffarie. Nel 2015, in Toscana </w:t>
      </w:r>
      <w:r w:rsidR="00422E57">
        <w:rPr>
          <w:rFonts w:ascii="Century Gothic" w:hAnsi="Century Gothic"/>
        </w:rPr>
        <w:t xml:space="preserve">questa area </w:t>
      </w:r>
      <w:r>
        <w:rPr>
          <w:rFonts w:ascii="Century Gothic" w:hAnsi="Century Gothic"/>
        </w:rPr>
        <w:t>continua a essere uno dei temi principali della negoziazione sociale</w:t>
      </w:r>
      <w:r w:rsidR="00F50017">
        <w:rPr>
          <w:rFonts w:ascii="Century Gothic" w:hAnsi="Century Gothic"/>
        </w:rPr>
        <w:t>, comparendo in circa l’80% delle intese</w:t>
      </w:r>
      <w:r>
        <w:rPr>
          <w:rFonts w:ascii="Century Gothic" w:hAnsi="Century Gothic"/>
        </w:rPr>
        <w:t>.</w:t>
      </w:r>
    </w:p>
    <w:p w:rsidR="00CC4F45" w:rsidRDefault="00422E57" w:rsidP="00CC4F45">
      <w:pPr>
        <w:jc w:val="both"/>
        <w:rPr>
          <w:rFonts w:ascii="Century Gothic" w:hAnsi="Century Gothic"/>
        </w:rPr>
      </w:pPr>
      <w:r>
        <w:rPr>
          <w:rFonts w:ascii="Century Gothic" w:hAnsi="Century Gothic"/>
        </w:rPr>
        <w:t>Come detto in precedenza, l’obiettivo prioritario è quello del mantenimento del</w:t>
      </w:r>
      <w:r w:rsidRPr="00F23E18">
        <w:rPr>
          <w:rFonts w:ascii="Century Gothic" w:hAnsi="Century Gothic"/>
        </w:rPr>
        <w:t xml:space="preserve"> livello </w:t>
      </w:r>
      <w:r w:rsidR="00CC4F45">
        <w:rPr>
          <w:rFonts w:ascii="Century Gothic" w:hAnsi="Century Gothic"/>
        </w:rPr>
        <w:t xml:space="preserve">dei servizi, quindi anche </w:t>
      </w:r>
      <w:r w:rsidRPr="00F23E18">
        <w:rPr>
          <w:rFonts w:ascii="Century Gothic" w:hAnsi="Century Gothic"/>
        </w:rPr>
        <w:t>delle prestazioni socio-assistenziali, pur in presenza di tagli dei trasferimenti statali</w:t>
      </w:r>
      <w:r w:rsidRPr="00DB7C13">
        <w:rPr>
          <w:rFonts w:ascii="Century Gothic" w:hAnsi="Century Gothic"/>
        </w:rPr>
        <w:t>.</w:t>
      </w:r>
      <w:r>
        <w:rPr>
          <w:rFonts w:ascii="Century Gothic" w:hAnsi="Century Gothic"/>
        </w:rPr>
        <w:t xml:space="preserve"> In alcuni accordi, oltre alle affermazioni generiche, sono descritte più nel dettaglio </w:t>
      </w:r>
      <w:r w:rsidR="00D82A56">
        <w:rPr>
          <w:rFonts w:ascii="Century Gothic" w:hAnsi="Century Gothic"/>
        </w:rPr>
        <w:t>le tipologie di intervento che nel caso dell’assistenza in strutture resid</w:t>
      </w:r>
      <w:r w:rsidR="00BB27BE">
        <w:rPr>
          <w:rFonts w:ascii="Century Gothic" w:hAnsi="Century Gothic"/>
        </w:rPr>
        <w:t xml:space="preserve">enziali, semiresidenziali o di </w:t>
      </w:r>
      <w:r w:rsidR="00D82A56">
        <w:rPr>
          <w:rFonts w:ascii="Century Gothic" w:hAnsi="Century Gothic"/>
        </w:rPr>
        <w:t xml:space="preserve">quella domiciliare spesso sono collegate con le misure per la non auto-sufficienza. </w:t>
      </w:r>
      <w:r w:rsidR="00BB27BE">
        <w:rPr>
          <w:rFonts w:ascii="Century Gothic" w:hAnsi="Century Gothic"/>
        </w:rPr>
        <w:t xml:space="preserve">Per quanto riguarda i servizi </w:t>
      </w:r>
      <w:r w:rsidR="00D82A56" w:rsidRPr="00BB27BE">
        <w:rPr>
          <w:rFonts w:ascii="Century Gothic" w:hAnsi="Century Gothic"/>
        </w:rPr>
        <w:t>territoriali</w:t>
      </w:r>
      <w:r w:rsidR="00D82A56">
        <w:rPr>
          <w:rFonts w:ascii="Century Gothic" w:hAnsi="Century Gothic"/>
        </w:rPr>
        <w:t xml:space="preserve"> </w:t>
      </w:r>
      <w:r w:rsidR="00BB27BE">
        <w:rPr>
          <w:rFonts w:ascii="Century Gothic" w:hAnsi="Century Gothic"/>
        </w:rPr>
        <w:t xml:space="preserve">l’attenzione è rivolta alle Case della Salute, considerate di vitale importanza nella riorganizzazione del sistema sanitario toscano. </w:t>
      </w:r>
    </w:p>
    <w:p w:rsidR="00E67C0D" w:rsidRDefault="00A23ECB" w:rsidP="00CC4F45">
      <w:pPr>
        <w:jc w:val="both"/>
        <w:rPr>
          <w:rFonts w:ascii="Century Gothic" w:hAnsi="Century Gothic"/>
        </w:rPr>
      </w:pPr>
      <w:r>
        <w:rPr>
          <w:rFonts w:ascii="Century Gothic" w:hAnsi="Century Gothic"/>
        </w:rPr>
        <w:t>La tematica delle Case della Salute, sia dal punto di vista della realizzazione che da quello dell’organizzazione, è legata</w:t>
      </w:r>
      <w:r w:rsidR="00431A24">
        <w:rPr>
          <w:rFonts w:ascii="Century Gothic" w:hAnsi="Century Gothic"/>
        </w:rPr>
        <w:t>, infatti,</w:t>
      </w:r>
      <w:r>
        <w:rPr>
          <w:rFonts w:ascii="Century Gothic" w:hAnsi="Century Gothic"/>
        </w:rPr>
        <w:t xml:space="preserve"> alla questione della programmazione dei servizi e delle prestazioni. </w:t>
      </w:r>
      <w:r w:rsidR="00E76013" w:rsidRPr="00E76013">
        <w:rPr>
          <w:rFonts w:ascii="Century Gothic" w:hAnsi="Century Gothic"/>
        </w:rPr>
        <w:t>In</w:t>
      </w:r>
      <w:r w:rsidR="00E72F9C" w:rsidRPr="00E76013">
        <w:rPr>
          <w:rFonts w:ascii="Century Gothic" w:hAnsi="Century Gothic"/>
        </w:rPr>
        <w:t xml:space="preserve"> alcuni </w:t>
      </w:r>
      <w:r w:rsidR="00E76013" w:rsidRPr="00E76013">
        <w:rPr>
          <w:rFonts w:ascii="Century Gothic" w:hAnsi="Century Gothic"/>
        </w:rPr>
        <w:t xml:space="preserve">accordi </w:t>
      </w:r>
      <w:r w:rsidR="00431A24" w:rsidRPr="00E76013">
        <w:rPr>
          <w:rFonts w:ascii="Century Gothic" w:hAnsi="Century Gothic"/>
        </w:rPr>
        <w:t>della provincia di Livorno viene</w:t>
      </w:r>
      <w:r w:rsidR="00431A24">
        <w:rPr>
          <w:rFonts w:ascii="Century Gothic" w:hAnsi="Century Gothic"/>
        </w:rPr>
        <w:t xml:space="preserve"> proprio sottolineato come</w:t>
      </w:r>
      <w:r w:rsidR="00E76013">
        <w:rPr>
          <w:rFonts w:ascii="Century Gothic" w:hAnsi="Century Gothic"/>
        </w:rPr>
        <w:t>,</w:t>
      </w:r>
      <w:r w:rsidR="00431A24">
        <w:rPr>
          <w:rFonts w:ascii="Century Gothic" w:hAnsi="Century Gothic"/>
        </w:rPr>
        <w:t xml:space="preserve"> in questo territorio</w:t>
      </w:r>
      <w:r w:rsidR="00E76013">
        <w:rPr>
          <w:rFonts w:ascii="Century Gothic" w:hAnsi="Century Gothic"/>
        </w:rPr>
        <w:t>,</w:t>
      </w:r>
      <w:r w:rsidR="00431A24">
        <w:rPr>
          <w:rFonts w:ascii="Century Gothic" w:hAnsi="Century Gothic"/>
        </w:rPr>
        <w:t xml:space="preserve"> manchi un progetto strategico complessivo in ambito socio-sanitario. </w:t>
      </w:r>
      <w:r w:rsidR="00E72F9C">
        <w:rPr>
          <w:rFonts w:ascii="Century Gothic" w:hAnsi="Century Gothic"/>
        </w:rPr>
        <w:t xml:space="preserve">Il sistema dei servizi deve essere, quindi, rivisto all’interno di una trattativa complessiva relativa al Piano attuativo dell’ASL 6. </w:t>
      </w:r>
      <w:r w:rsidR="00C438D5">
        <w:rPr>
          <w:rFonts w:ascii="Century Gothic" w:hAnsi="Century Gothic"/>
        </w:rPr>
        <w:t xml:space="preserve">La </w:t>
      </w:r>
      <w:r w:rsidR="00C438D5" w:rsidRPr="00C438D5">
        <w:rPr>
          <w:rFonts w:ascii="Century Gothic" w:hAnsi="Century Gothic"/>
        </w:rPr>
        <w:t>p</w:t>
      </w:r>
      <w:r w:rsidR="00E72F9C" w:rsidRPr="00C438D5">
        <w:rPr>
          <w:rFonts w:ascii="Century Gothic" w:hAnsi="Century Gothic"/>
        </w:rPr>
        <w:t xml:space="preserve">iattaforma </w:t>
      </w:r>
      <w:r w:rsidR="00C438D5" w:rsidRPr="00C438D5">
        <w:rPr>
          <w:rFonts w:ascii="Century Gothic" w:hAnsi="Century Gothic"/>
        </w:rPr>
        <w:t xml:space="preserve">presentata nella provincia di </w:t>
      </w:r>
      <w:r w:rsidR="00E72F9C" w:rsidRPr="00C438D5">
        <w:rPr>
          <w:rFonts w:ascii="Century Gothic" w:hAnsi="Century Gothic"/>
        </w:rPr>
        <w:t>Livorno</w:t>
      </w:r>
      <w:r w:rsidR="00C438D5">
        <w:rPr>
          <w:rFonts w:ascii="Century Gothic" w:hAnsi="Century Gothic"/>
        </w:rPr>
        <w:t>,</w:t>
      </w:r>
      <w:r w:rsidR="00E72F9C" w:rsidRPr="00C438D5">
        <w:rPr>
          <w:rFonts w:ascii="Century Gothic" w:hAnsi="Century Gothic"/>
        </w:rPr>
        <w:t xml:space="preserve"> </w:t>
      </w:r>
      <w:r w:rsidR="00C438D5" w:rsidRPr="00C438D5">
        <w:rPr>
          <w:rFonts w:ascii="Century Gothic" w:hAnsi="Century Gothic"/>
        </w:rPr>
        <w:t xml:space="preserve">con la conseguente </w:t>
      </w:r>
      <w:r w:rsidR="00C438D5">
        <w:rPr>
          <w:rFonts w:ascii="Century Gothic" w:hAnsi="Century Gothic"/>
        </w:rPr>
        <w:t xml:space="preserve">campagna di mobilitazione, è stata proprio un’iniziativa per </w:t>
      </w:r>
      <w:r w:rsidR="003A5BEF">
        <w:rPr>
          <w:rFonts w:ascii="Century Gothic" w:hAnsi="Century Gothic"/>
        </w:rPr>
        <w:t>indirizzare</w:t>
      </w:r>
      <w:r w:rsidR="00C438D5">
        <w:rPr>
          <w:rFonts w:ascii="Century Gothic" w:hAnsi="Century Gothic"/>
        </w:rPr>
        <w:t xml:space="preserve"> l’attenzione </w:t>
      </w:r>
      <w:r w:rsidR="003A5BEF">
        <w:rPr>
          <w:rFonts w:ascii="Century Gothic" w:hAnsi="Century Gothic"/>
        </w:rPr>
        <w:t xml:space="preserve">delle amministrazioni </w:t>
      </w:r>
      <w:r w:rsidR="00C438D5">
        <w:rPr>
          <w:rFonts w:ascii="Century Gothic" w:hAnsi="Century Gothic"/>
        </w:rPr>
        <w:t xml:space="preserve">su questa problematica </w:t>
      </w:r>
      <w:r w:rsidR="003A5BEF">
        <w:rPr>
          <w:rFonts w:ascii="Century Gothic" w:hAnsi="Century Gothic"/>
        </w:rPr>
        <w:t xml:space="preserve">al fine di darne una soluzione. </w:t>
      </w:r>
    </w:p>
    <w:p w:rsidR="00CC4F45" w:rsidRDefault="00D70FB1" w:rsidP="00CC4F45">
      <w:pPr>
        <w:jc w:val="both"/>
        <w:rPr>
          <w:rFonts w:ascii="Century Gothic" w:hAnsi="Century Gothic"/>
        </w:rPr>
      </w:pPr>
      <w:r>
        <w:rPr>
          <w:rFonts w:ascii="Century Gothic" w:hAnsi="Century Gothic"/>
        </w:rPr>
        <w:t>In altre territori, ad esempio nella provincia di Lucca, l</w:t>
      </w:r>
      <w:r w:rsidR="00C438D5">
        <w:rPr>
          <w:rFonts w:ascii="Century Gothic" w:hAnsi="Century Gothic"/>
        </w:rPr>
        <w:t>a tematic</w:t>
      </w:r>
      <w:r w:rsidR="00CC4F45">
        <w:rPr>
          <w:rFonts w:ascii="Century Gothic" w:hAnsi="Century Gothic"/>
        </w:rPr>
        <w:t xml:space="preserve">a </w:t>
      </w:r>
      <w:r>
        <w:rPr>
          <w:rFonts w:ascii="Century Gothic" w:hAnsi="Century Gothic"/>
        </w:rPr>
        <w:t xml:space="preserve">della programmazione </w:t>
      </w:r>
      <w:r w:rsidR="00E67C0D">
        <w:rPr>
          <w:rFonts w:ascii="Century Gothic" w:hAnsi="Century Gothic"/>
        </w:rPr>
        <w:t>è declinata secondo</w:t>
      </w:r>
      <w:r>
        <w:rPr>
          <w:rFonts w:ascii="Century Gothic" w:hAnsi="Century Gothic"/>
        </w:rPr>
        <w:t xml:space="preserve"> il </w:t>
      </w:r>
      <w:r w:rsidR="00CC4F45">
        <w:rPr>
          <w:rFonts w:ascii="Century Gothic" w:hAnsi="Century Gothic"/>
        </w:rPr>
        <w:t xml:space="preserve">livello dei </w:t>
      </w:r>
      <w:r>
        <w:rPr>
          <w:rFonts w:ascii="Century Gothic" w:hAnsi="Century Gothic"/>
        </w:rPr>
        <w:t>p</w:t>
      </w:r>
      <w:r w:rsidR="00CC4F45">
        <w:rPr>
          <w:rFonts w:ascii="Century Gothic" w:hAnsi="Century Gothic"/>
        </w:rPr>
        <w:t>iani di zona e/o distrettuali. Infatti</w:t>
      </w:r>
      <w:r>
        <w:rPr>
          <w:rFonts w:ascii="Century Gothic" w:hAnsi="Century Gothic"/>
        </w:rPr>
        <w:t xml:space="preserve"> </w:t>
      </w:r>
      <w:r w:rsidR="00CC4F45">
        <w:rPr>
          <w:rFonts w:ascii="Century Gothic" w:hAnsi="Century Gothic"/>
        </w:rPr>
        <w:t xml:space="preserve">viene affermato il conferimento della spesa socio-assistenziale all’ambito di zona in un’ottica </w:t>
      </w:r>
      <w:r>
        <w:rPr>
          <w:rFonts w:ascii="Century Gothic" w:hAnsi="Century Gothic"/>
        </w:rPr>
        <w:t>di integrazione socio-sanitaria, con previsti effetti di efficienza e di contenimento della spesa.</w:t>
      </w:r>
    </w:p>
    <w:p w:rsidR="00DD1D58" w:rsidRDefault="00DB074C" w:rsidP="00DD1D58">
      <w:pPr>
        <w:jc w:val="both"/>
        <w:rPr>
          <w:rFonts w:ascii="Century Gothic" w:hAnsi="Century Gothic"/>
        </w:rPr>
      </w:pPr>
      <w:r>
        <w:rPr>
          <w:rFonts w:ascii="Century Gothic" w:hAnsi="Century Gothic"/>
        </w:rPr>
        <w:t xml:space="preserve">Come negli anni passati sono presenti </w:t>
      </w:r>
      <w:r w:rsidR="00DD1D58">
        <w:rPr>
          <w:rFonts w:ascii="Century Gothic" w:hAnsi="Century Gothic"/>
        </w:rPr>
        <w:t xml:space="preserve">interventi </w:t>
      </w:r>
      <w:r w:rsidR="00DD1D58" w:rsidRPr="00F23E18">
        <w:rPr>
          <w:rFonts w:ascii="Century Gothic" w:hAnsi="Century Gothic"/>
        </w:rPr>
        <w:t xml:space="preserve">di contrasto alla povertà </w:t>
      </w:r>
      <w:r w:rsidR="00DD1D58">
        <w:rPr>
          <w:rFonts w:ascii="Century Gothic" w:hAnsi="Century Gothic"/>
        </w:rPr>
        <w:t xml:space="preserve">con </w:t>
      </w:r>
      <w:r w:rsidR="00DD1D58" w:rsidRPr="00F23E18">
        <w:rPr>
          <w:rFonts w:ascii="Century Gothic" w:hAnsi="Century Gothic"/>
        </w:rPr>
        <w:t>l’istituzione</w:t>
      </w:r>
      <w:r w:rsidR="00DD1D58">
        <w:rPr>
          <w:rFonts w:ascii="Century Gothic" w:hAnsi="Century Gothic"/>
        </w:rPr>
        <w:t>, in molti casi, di specifici fondi. In diversi accordi sono dettagliat</w:t>
      </w:r>
      <w:r w:rsidR="00CC4F45">
        <w:rPr>
          <w:rFonts w:ascii="Century Gothic" w:hAnsi="Century Gothic"/>
        </w:rPr>
        <w:t xml:space="preserve">e </w:t>
      </w:r>
      <w:r w:rsidR="00DD1D58">
        <w:rPr>
          <w:rFonts w:ascii="Century Gothic" w:hAnsi="Century Gothic"/>
        </w:rPr>
        <w:t>le misure</w:t>
      </w:r>
      <w:r w:rsidR="00DD1D58" w:rsidRPr="00F23E18">
        <w:rPr>
          <w:rFonts w:ascii="Century Gothic" w:hAnsi="Century Gothic"/>
        </w:rPr>
        <w:t xml:space="preserve"> </w:t>
      </w:r>
      <w:r w:rsidR="00DD1D58" w:rsidRPr="003B748D">
        <w:rPr>
          <w:rFonts w:ascii="Century Gothic" w:hAnsi="Century Gothic"/>
        </w:rPr>
        <w:t xml:space="preserve">di sostegno, </w:t>
      </w:r>
      <w:r w:rsidR="00DD1D58">
        <w:rPr>
          <w:rFonts w:ascii="Century Gothic" w:hAnsi="Century Gothic"/>
        </w:rPr>
        <w:t>che consistono principalmente in contributi economici una tantum</w:t>
      </w:r>
      <w:r w:rsidR="00CC4F45">
        <w:rPr>
          <w:rFonts w:ascii="Century Gothic" w:hAnsi="Century Gothic"/>
        </w:rPr>
        <w:t xml:space="preserve"> (</w:t>
      </w:r>
      <w:r w:rsidR="00DD1D58">
        <w:rPr>
          <w:rFonts w:ascii="Century Gothic" w:hAnsi="Century Gothic"/>
        </w:rPr>
        <w:t>per il pagamento di rette, tariffe, utenze domestiche, affitti</w:t>
      </w:r>
      <w:r w:rsidR="00CC4F45">
        <w:rPr>
          <w:rFonts w:ascii="Century Gothic" w:hAnsi="Century Gothic"/>
        </w:rPr>
        <w:t>), ma si rilevano anche contributi in beni di prima necessità</w:t>
      </w:r>
      <w:r w:rsidR="00180725">
        <w:rPr>
          <w:rFonts w:ascii="Century Gothic" w:hAnsi="Century Gothic"/>
        </w:rPr>
        <w:t xml:space="preserve"> come pacchi alimentari, vestiario, etc</w:t>
      </w:r>
      <w:r w:rsidR="00DD1D58" w:rsidRPr="003A5BEF">
        <w:rPr>
          <w:rFonts w:ascii="Century Gothic" w:hAnsi="Century Gothic"/>
        </w:rPr>
        <w:t xml:space="preserve">. </w:t>
      </w:r>
      <w:r w:rsidR="00180725" w:rsidRPr="003A5BEF">
        <w:rPr>
          <w:rFonts w:ascii="Century Gothic" w:hAnsi="Century Gothic"/>
        </w:rPr>
        <w:t>.</w:t>
      </w:r>
      <w:r w:rsidR="00180725">
        <w:rPr>
          <w:rFonts w:ascii="Century Gothic" w:hAnsi="Century Gothic"/>
          <w:highlight w:val="yellow"/>
        </w:rPr>
        <w:t xml:space="preserve"> </w:t>
      </w:r>
    </w:p>
    <w:p w:rsidR="008348D0" w:rsidRDefault="008348D0">
      <w:pPr>
        <w:rPr>
          <w:rFonts w:ascii="Century Gothic" w:hAnsi="Century Gothic"/>
          <w:highlight w:val="yellow"/>
        </w:rPr>
      </w:pPr>
      <w:r>
        <w:rPr>
          <w:rFonts w:ascii="Century Gothic" w:hAnsi="Century Gothic"/>
          <w:highlight w:val="yellow"/>
        </w:rPr>
        <w:br w:type="page"/>
      </w:r>
    </w:p>
    <w:p w:rsidR="00006DFD" w:rsidRDefault="00006DFD" w:rsidP="00006DFD">
      <w:pPr>
        <w:jc w:val="both"/>
        <w:rPr>
          <w:rFonts w:ascii="Century Gothic" w:hAnsi="Century Gothic"/>
          <w:b/>
        </w:rPr>
      </w:pPr>
      <w:r w:rsidRPr="00E67C0D">
        <w:rPr>
          <w:rFonts w:ascii="Century Gothic" w:hAnsi="Century Gothic"/>
          <w:b/>
        </w:rPr>
        <w:lastRenderedPageBreak/>
        <w:t>Politiche dell’infanzia, giovanili, educative e dell’istruzione</w:t>
      </w:r>
    </w:p>
    <w:p w:rsidR="00006DFD" w:rsidRDefault="00006DFD" w:rsidP="00006DFD">
      <w:pPr>
        <w:jc w:val="both"/>
        <w:rPr>
          <w:rFonts w:ascii="Century Gothic" w:hAnsi="Century Gothic"/>
          <w:b/>
        </w:rPr>
      </w:pPr>
    </w:p>
    <w:p w:rsidR="00E94D7E" w:rsidRDefault="00F50017" w:rsidP="00006DFD">
      <w:pPr>
        <w:jc w:val="both"/>
        <w:rPr>
          <w:rFonts w:ascii="Century Gothic" w:hAnsi="Century Gothic"/>
        </w:rPr>
      </w:pPr>
      <w:r w:rsidRPr="00121885">
        <w:rPr>
          <w:rFonts w:ascii="Century Gothic" w:hAnsi="Century Gothic"/>
        </w:rPr>
        <w:t>Le politiche educative sono presenti in più di due terzi degli accordi (70%)</w:t>
      </w:r>
      <w:r w:rsidR="00121885">
        <w:rPr>
          <w:rFonts w:ascii="Century Gothic" w:hAnsi="Century Gothic"/>
        </w:rPr>
        <w:t>,</w:t>
      </w:r>
      <w:r>
        <w:rPr>
          <w:rFonts w:ascii="Century Gothic" w:hAnsi="Century Gothic"/>
        </w:rPr>
        <w:t xml:space="preserve"> e a</w:t>
      </w:r>
      <w:r w:rsidR="00006DFD" w:rsidRPr="00006DFD">
        <w:rPr>
          <w:rFonts w:ascii="Century Gothic" w:hAnsi="Century Gothic"/>
        </w:rPr>
        <w:t xml:space="preserve">nche </w:t>
      </w:r>
      <w:r w:rsidR="00E94D7E">
        <w:rPr>
          <w:rFonts w:ascii="Century Gothic" w:hAnsi="Century Gothic"/>
        </w:rPr>
        <w:t>per quanto riguarda</w:t>
      </w:r>
      <w:r>
        <w:rPr>
          <w:rFonts w:ascii="Century Gothic" w:hAnsi="Century Gothic"/>
        </w:rPr>
        <w:t xml:space="preserve"> questa area</w:t>
      </w:r>
      <w:r w:rsidR="00006DFD">
        <w:rPr>
          <w:rFonts w:ascii="Century Gothic" w:hAnsi="Century Gothic"/>
        </w:rPr>
        <w:t xml:space="preserve">, in un’ottica </w:t>
      </w:r>
      <w:r w:rsidR="00006DFD" w:rsidRPr="007510F0">
        <w:rPr>
          <w:rFonts w:ascii="Century Gothic" w:hAnsi="Century Gothic"/>
        </w:rPr>
        <w:t xml:space="preserve">di </w:t>
      </w:r>
      <w:r w:rsidR="00006DFD">
        <w:rPr>
          <w:rFonts w:ascii="Century Gothic" w:hAnsi="Century Gothic"/>
        </w:rPr>
        <w:t xml:space="preserve">tenuta del welfare locale, l’obiettivo principale è quello di mantenere invariati i costi di compartecipazione a parità di offerta del servizio. In particolare si tratta delle rette degli asili nido </w:t>
      </w:r>
      <w:r w:rsidR="00E94D7E">
        <w:rPr>
          <w:rFonts w:ascii="Century Gothic" w:hAnsi="Century Gothic"/>
        </w:rPr>
        <w:t xml:space="preserve">e di servizi come mensa e trasporto scolastico, aree di competenza comunale. E’un ambito importante per la </w:t>
      </w:r>
      <w:r w:rsidR="00115DC2">
        <w:rPr>
          <w:rFonts w:ascii="Century Gothic" w:hAnsi="Century Gothic"/>
        </w:rPr>
        <w:t>negoziazione</w:t>
      </w:r>
      <w:r w:rsidR="00E94D7E">
        <w:rPr>
          <w:rFonts w:ascii="Century Gothic" w:hAnsi="Century Gothic"/>
        </w:rPr>
        <w:t xml:space="preserve"> sociale, come sottolinea il sesto rapporto sulla contrattazione sociale territoriale a livello nazionale, basandosi su dati Istat</w:t>
      </w:r>
      <w:r w:rsidR="006D6AC7">
        <w:rPr>
          <w:rFonts w:ascii="Century Gothic" w:hAnsi="Century Gothic"/>
        </w:rPr>
        <w:t xml:space="preserve">. </w:t>
      </w:r>
      <w:r w:rsidR="003F025F">
        <w:rPr>
          <w:rFonts w:ascii="Century Gothic" w:hAnsi="Century Gothic"/>
        </w:rPr>
        <w:t>Agli asili nido e agli altri servizi socio-educativi per la prima infanzia è dedicato circa il 18% delle risorse rivolte dai comuni al welfare locale e il 46% della spesa per l’area “famiglia e minori”.</w:t>
      </w:r>
      <w:r w:rsidR="00FA00BB">
        <w:rPr>
          <w:rStyle w:val="Rimandonotaapidipagina"/>
          <w:rFonts w:ascii="Century Gothic" w:hAnsi="Century Gothic"/>
        </w:rPr>
        <w:footnoteReference w:id="6"/>
      </w:r>
      <w:r w:rsidR="003F025F">
        <w:rPr>
          <w:rFonts w:ascii="Century Gothic" w:hAnsi="Century Gothic"/>
        </w:rPr>
        <w:t xml:space="preserve"> </w:t>
      </w:r>
    </w:p>
    <w:p w:rsidR="00006DFD" w:rsidRPr="00006DFD" w:rsidRDefault="00E94D7E" w:rsidP="00006DFD">
      <w:pPr>
        <w:jc w:val="both"/>
        <w:rPr>
          <w:rFonts w:ascii="Century Gothic" w:hAnsi="Century Gothic"/>
        </w:rPr>
      </w:pPr>
      <w:r>
        <w:rPr>
          <w:rFonts w:ascii="Century Gothic" w:hAnsi="Century Gothic"/>
        </w:rPr>
        <w:t xml:space="preserve">Come per gli anni precedenti, in diverse intese, oltre alle affermazioni </w:t>
      </w:r>
      <w:r w:rsidR="003F025F">
        <w:rPr>
          <w:rFonts w:ascii="Century Gothic" w:hAnsi="Century Gothic"/>
        </w:rPr>
        <w:t xml:space="preserve">generiche </w:t>
      </w:r>
      <w:r>
        <w:rPr>
          <w:rFonts w:ascii="Century Gothic" w:hAnsi="Century Gothic"/>
        </w:rPr>
        <w:t xml:space="preserve">di </w:t>
      </w:r>
      <w:r w:rsidR="003F025F">
        <w:rPr>
          <w:rFonts w:ascii="Century Gothic" w:hAnsi="Century Gothic"/>
        </w:rPr>
        <w:t>impegno da parte delle amministrazioni</w:t>
      </w:r>
      <w:r>
        <w:rPr>
          <w:rFonts w:ascii="Century Gothic" w:hAnsi="Century Gothic"/>
        </w:rPr>
        <w:t xml:space="preserve">, sono </w:t>
      </w:r>
      <w:r w:rsidR="003F025F">
        <w:rPr>
          <w:rFonts w:ascii="Century Gothic" w:hAnsi="Century Gothic"/>
        </w:rPr>
        <w:t>presenti</w:t>
      </w:r>
      <w:r>
        <w:rPr>
          <w:rFonts w:ascii="Century Gothic" w:hAnsi="Century Gothic"/>
        </w:rPr>
        <w:t xml:space="preserve"> tabelle di determinazione delle agevolazioni e delle esenzioni in base agli scaglioni ISEE, ai fini della tutela </w:t>
      </w:r>
      <w:r w:rsidR="003F025F">
        <w:rPr>
          <w:rFonts w:ascii="Century Gothic" w:hAnsi="Century Gothic"/>
        </w:rPr>
        <w:t>dei nuclei famigliari</w:t>
      </w:r>
      <w:r>
        <w:rPr>
          <w:rFonts w:ascii="Century Gothic" w:hAnsi="Century Gothic"/>
        </w:rPr>
        <w:t xml:space="preserve"> più bisognosi.</w:t>
      </w:r>
      <w:r w:rsidR="003F025F">
        <w:rPr>
          <w:rFonts w:ascii="Century Gothic" w:hAnsi="Century Gothic"/>
        </w:rPr>
        <w:t xml:space="preserve"> </w:t>
      </w:r>
      <w:r w:rsidR="00BE14B1">
        <w:rPr>
          <w:rFonts w:ascii="Century Gothic" w:hAnsi="Century Gothic"/>
        </w:rPr>
        <w:t xml:space="preserve">Come detto in precedenza, le incertezze applicative derivanti dall’introduzione del nuovo ISEE impongono la necessità di incontri di verifica al riguardo. </w:t>
      </w:r>
    </w:p>
    <w:p w:rsidR="003F025F" w:rsidRDefault="00333171" w:rsidP="00006DFD">
      <w:pPr>
        <w:jc w:val="both"/>
        <w:rPr>
          <w:rFonts w:ascii="Century Gothic" w:hAnsi="Century Gothic"/>
        </w:rPr>
      </w:pPr>
      <w:r>
        <w:rPr>
          <w:rFonts w:ascii="Century Gothic" w:hAnsi="Century Gothic"/>
        </w:rPr>
        <w:t>In generale l</w:t>
      </w:r>
      <w:r w:rsidR="003F025F">
        <w:rPr>
          <w:rFonts w:ascii="Century Gothic" w:hAnsi="Century Gothic"/>
        </w:rPr>
        <w:t xml:space="preserve">’attenzione è, quindi, rivolta principalmente all’accesso ai servizi educativi  e alla compartecipazione </w:t>
      </w:r>
      <w:r>
        <w:rPr>
          <w:rFonts w:ascii="Century Gothic" w:hAnsi="Century Gothic"/>
        </w:rPr>
        <w:t>ai</w:t>
      </w:r>
      <w:r w:rsidR="003F025F">
        <w:rPr>
          <w:rFonts w:ascii="Century Gothic" w:hAnsi="Century Gothic"/>
        </w:rPr>
        <w:t xml:space="preserve"> costi</w:t>
      </w:r>
      <w:r>
        <w:rPr>
          <w:rFonts w:ascii="Century Gothic" w:hAnsi="Century Gothic"/>
        </w:rPr>
        <w:t>, nell’ottica di garantire la soddisfazione almeno dei bisogni di base</w:t>
      </w:r>
      <w:r w:rsidR="003F025F">
        <w:rPr>
          <w:rFonts w:ascii="Century Gothic" w:hAnsi="Century Gothic"/>
        </w:rPr>
        <w:t>.</w:t>
      </w:r>
      <w:r>
        <w:rPr>
          <w:rFonts w:ascii="Century Gothic" w:hAnsi="Century Gothic"/>
        </w:rPr>
        <w:t xml:space="preserve"> In alcuni accordi la prospettiva si amplia e sono inseriti interventi più qualitativi per l’integrazione di minori disabili, stranieri, o in condizioni di disagio familiare con problemi psico-pedagogici. </w:t>
      </w:r>
      <w:r w:rsidR="00BE14B1">
        <w:rPr>
          <w:rFonts w:ascii="Century Gothic" w:hAnsi="Century Gothic"/>
        </w:rPr>
        <w:t xml:space="preserve">Si cerca, quindi, di affrontare </w:t>
      </w:r>
      <w:r w:rsidR="00BE14B1" w:rsidRPr="00BE14B1">
        <w:rPr>
          <w:rFonts w:ascii="Century Gothic" w:hAnsi="Century Gothic"/>
        </w:rPr>
        <w:t>l</w:t>
      </w:r>
      <w:r w:rsidRPr="00BE14B1">
        <w:rPr>
          <w:rFonts w:ascii="Century Gothic" w:hAnsi="Century Gothic"/>
        </w:rPr>
        <w:t xml:space="preserve">a condizione del </w:t>
      </w:r>
      <w:r w:rsidR="00BE14B1" w:rsidRPr="00BE14B1">
        <w:rPr>
          <w:rFonts w:ascii="Century Gothic" w:hAnsi="Century Gothic"/>
        </w:rPr>
        <w:t>minore</w:t>
      </w:r>
      <w:r w:rsidRPr="00BE14B1">
        <w:rPr>
          <w:rFonts w:ascii="Century Gothic" w:hAnsi="Century Gothic"/>
        </w:rPr>
        <w:t xml:space="preserve"> nella sua interezza</w:t>
      </w:r>
      <w:r w:rsidR="00BE14B1" w:rsidRPr="00BE14B1">
        <w:rPr>
          <w:rFonts w:ascii="Century Gothic" w:hAnsi="Century Gothic"/>
        </w:rPr>
        <w:t>, considerando diversi aspetti</w:t>
      </w:r>
      <w:r w:rsidRPr="00BE14B1">
        <w:rPr>
          <w:rFonts w:ascii="Century Gothic" w:hAnsi="Century Gothic"/>
        </w:rPr>
        <w:t xml:space="preserve">. </w:t>
      </w:r>
    </w:p>
    <w:p w:rsidR="00281671" w:rsidRDefault="00281671" w:rsidP="00006DFD">
      <w:pPr>
        <w:jc w:val="both"/>
        <w:rPr>
          <w:rFonts w:ascii="Century Gothic" w:hAnsi="Century Gothic"/>
        </w:rPr>
      </w:pPr>
    </w:p>
    <w:p w:rsidR="00DC7818" w:rsidRDefault="00DC7818" w:rsidP="00DC7818">
      <w:pPr>
        <w:rPr>
          <w:rFonts w:ascii="Century Gothic" w:hAnsi="Century Gothic"/>
          <w:b/>
        </w:rPr>
      </w:pPr>
      <w:r w:rsidRPr="008626C4">
        <w:rPr>
          <w:rFonts w:ascii="Century Gothic" w:hAnsi="Century Gothic"/>
          <w:b/>
        </w:rPr>
        <w:t>Pubblica amministrazione</w:t>
      </w:r>
    </w:p>
    <w:p w:rsidR="00DC7818" w:rsidRDefault="00DC7818" w:rsidP="00DC7818">
      <w:pPr>
        <w:rPr>
          <w:rFonts w:ascii="Century Gothic" w:hAnsi="Century Gothic"/>
          <w:b/>
        </w:rPr>
      </w:pPr>
    </w:p>
    <w:p w:rsidR="00DC7818" w:rsidRDefault="00DC7818" w:rsidP="00DC7818">
      <w:pPr>
        <w:jc w:val="both"/>
        <w:rPr>
          <w:rFonts w:ascii="Century Gothic" w:hAnsi="Century Gothic"/>
        </w:rPr>
      </w:pPr>
      <w:r>
        <w:rPr>
          <w:rFonts w:ascii="Century Gothic" w:hAnsi="Century Gothic"/>
        </w:rPr>
        <w:t xml:space="preserve">Come osservato nei rapporti </w:t>
      </w:r>
      <w:r w:rsidRPr="00B12B83">
        <w:rPr>
          <w:rFonts w:ascii="Century Gothic" w:hAnsi="Century Gothic"/>
        </w:rPr>
        <w:t>a livello nazionale</w:t>
      </w:r>
      <w:r>
        <w:rPr>
          <w:rFonts w:ascii="Century Gothic" w:hAnsi="Century Gothic"/>
        </w:rPr>
        <w:t xml:space="preserve">, le politiche locali relative alla Pubblica amministrazione si configurano sempre più come un ambito importante per l’attività di negoziato sindacale, a causa di vari fattori: le spinte di riforma derivate dal Testo unico degli enti locali, le misure di trasformazione delle province, la riorganizzazione del sistema socio-sanitario locale, le minori risorse a disposizione degli enti locali. </w:t>
      </w:r>
      <w:r w:rsidR="005B6992" w:rsidRPr="00121885">
        <w:rPr>
          <w:rFonts w:ascii="Century Gothic" w:hAnsi="Century Gothic"/>
        </w:rPr>
        <w:t>Anche in Toscana, questa area ha un’incidenza di una certa entità, comparendo in più di due terzi delle intese (70%).</w:t>
      </w:r>
    </w:p>
    <w:p w:rsidR="00DC7818" w:rsidRDefault="00DC7818" w:rsidP="00DC7818">
      <w:pPr>
        <w:jc w:val="both"/>
        <w:rPr>
          <w:rFonts w:ascii="Century Gothic" w:hAnsi="Century Gothic"/>
        </w:rPr>
      </w:pPr>
      <w:r>
        <w:rPr>
          <w:rFonts w:ascii="Century Gothic" w:hAnsi="Century Gothic"/>
        </w:rPr>
        <w:t xml:space="preserve">Una tematica ricorrente negli accordi è quella delle gestioni associate tra comuni ai fini sia di una razionalizzazione delle risorse che di una uniformazione dei servizi, anche se spesso si tratta di affermazioni generiche circa un impegno in tal senso da parte delle amministrazioni comunali, in particolare quelle facenti già parte di Unioni di comuni, ad esempio la Valdera o la Valdichiana senese. </w:t>
      </w:r>
      <w:r w:rsidRPr="008626C4">
        <w:rPr>
          <w:rFonts w:ascii="Century Gothic" w:hAnsi="Century Gothic"/>
        </w:rPr>
        <w:t xml:space="preserve">Si è visto nel capitolo 3 come dal 2013 sono avvenute delle fusioni tra comuni al fine di una gestione </w:t>
      </w:r>
      <w:r>
        <w:rPr>
          <w:rFonts w:ascii="Century Gothic" w:hAnsi="Century Gothic"/>
        </w:rPr>
        <w:t>unitaria</w:t>
      </w:r>
      <w:r w:rsidRPr="008626C4">
        <w:rPr>
          <w:rFonts w:ascii="Century Gothic" w:hAnsi="Century Gothic"/>
        </w:rPr>
        <w:t xml:space="preserve"> dei servizi</w:t>
      </w:r>
      <w:r>
        <w:rPr>
          <w:rFonts w:ascii="Century Gothic" w:hAnsi="Century Gothic"/>
        </w:rPr>
        <w:t xml:space="preserve">. </w:t>
      </w:r>
    </w:p>
    <w:p w:rsidR="00DC7818" w:rsidRDefault="00DC7818" w:rsidP="00DC7818">
      <w:pPr>
        <w:jc w:val="both"/>
        <w:rPr>
          <w:rFonts w:ascii="Century Gothic" w:hAnsi="Century Gothic"/>
        </w:rPr>
      </w:pPr>
      <w:r>
        <w:rPr>
          <w:rFonts w:ascii="Century Gothic" w:hAnsi="Century Gothic"/>
        </w:rPr>
        <w:t xml:space="preserve">Negli accordi della provincia di Livorno sono descritti i diversi aspetti della tematica dell’associazionismo. Il perdurare della crisi economica e i tagli della spesa pubblica </w:t>
      </w:r>
      <w:r>
        <w:rPr>
          <w:rFonts w:ascii="Century Gothic" w:hAnsi="Century Gothic"/>
        </w:rPr>
        <w:lastRenderedPageBreak/>
        <w:t>rendono sempre più necessaria l’associazione tra comuni al fine non solo di garantire i servizi, a tutela dei soggetti più fragili, ma anche di ottimizzare le prestazioni, cercando di ricorrere in misura minore a esternalizzazioni e appalti che non hanno conseguito, nel corso del tempo, i risultati sperati.</w:t>
      </w:r>
    </w:p>
    <w:p w:rsidR="00DC7818" w:rsidRDefault="00DC7818" w:rsidP="00DC7818">
      <w:pPr>
        <w:jc w:val="both"/>
        <w:rPr>
          <w:rFonts w:ascii="Century Gothic" w:hAnsi="Century Gothic"/>
        </w:rPr>
      </w:pPr>
      <w:r>
        <w:rPr>
          <w:rFonts w:ascii="Century Gothic" w:hAnsi="Century Gothic"/>
        </w:rPr>
        <w:t>Come anticipato nella parte sulle politiche del lavoro, alcune intese danno spazio alla tematica della regolamentazione degli appalti, in cui sono incluse misure a favore della stabilizzazione del lavoro e del rispetto delle norme di salute e sicurezza. In alcuni casi si cerca di promuovere l’inserimento socio-lavorativo, prevedendo l’affidamento diretto di piccoli lavori a cooperative sociali.</w:t>
      </w:r>
    </w:p>
    <w:p w:rsidR="00DC7818" w:rsidRDefault="00DC7818" w:rsidP="00DC7818">
      <w:pPr>
        <w:jc w:val="both"/>
        <w:rPr>
          <w:rFonts w:ascii="Century Gothic" w:hAnsi="Century Gothic"/>
        </w:rPr>
      </w:pPr>
      <w:r>
        <w:rPr>
          <w:rFonts w:ascii="Century Gothic" w:hAnsi="Century Gothic"/>
        </w:rPr>
        <w:t xml:space="preserve">Le questioni concernenti la formazione e l’organizzazione del personale continuano a essere collegate ai provvedimenti di contrasto all’evasione fiscale, tramite coordinamento tra settori dell’amministrazione, sia a livello locale che nazionale, con relative banche dati. E’interessante notare come in alcuni accordi, si parli, direttamente o indirettamente, anche della necessità di riduzione della spesa corrente tramite una razionalizzazione della struttura amministrativa, con miglior utilizzo delle professionalità interne. </w:t>
      </w:r>
    </w:p>
    <w:p w:rsidR="00DC7818" w:rsidRDefault="00DC7818" w:rsidP="00006DFD">
      <w:pPr>
        <w:jc w:val="both"/>
        <w:rPr>
          <w:rFonts w:ascii="Century Gothic" w:hAnsi="Century Gothic"/>
        </w:rPr>
      </w:pPr>
    </w:p>
    <w:p w:rsidR="00281671" w:rsidRPr="00755622" w:rsidRDefault="00281671" w:rsidP="00281671">
      <w:pPr>
        <w:jc w:val="both"/>
        <w:rPr>
          <w:rFonts w:ascii="Century Gothic" w:hAnsi="Century Gothic"/>
          <w:b/>
        </w:rPr>
      </w:pPr>
      <w:r w:rsidRPr="00E67C0D">
        <w:rPr>
          <w:rFonts w:ascii="Century Gothic" w:hAnsi="Century Gothic"/>
          <w:b/>
        </w:rPr>
        <w:t>Politiche abitative e del territorio</w:t>
      </w:r>
    </w:p>
    <w:p w:rsidR="00281671" w:rsidRDefault="00281671" w:rsidP="00281671">
      <w:pPr>
        <w:jc w:val="both"/>
        <w:rPr>
          <w:rFonts w:ascii="Century Gothic" w:hAnsi="Century Gothic"/>
        </w:rPr>
      </w:pPr>
    </w:p>
    <w:p w:rsidR="003A5152" w:rsidRPr="00121885" w:rsidRDefault="003A5152" w:rsidP="00281671">
      <w:pPr>
        <w:jc w:val="both"/>
        <w:rPr>
          <w:rFonts w:ascii="Century Gothic" w:hAnsi="Century Gothic"/>
        </w:rPr>
      </w:pPr>
      <w:r w:rsidRPr="00121885">
        <w:rPr>
          <w:rFonts w:ascii="Century Gothic" w:hAnsi="Century Gothic"/>
        </w:rPr>
        <w:t>L’area delle politiche abitative e del territorio è presente in più di due terzi degli accordi (68%)</w:t>
      </w:r>
      <w:r w:rsidR="00121885">
        <w:rPr>
          <w:rFonts w:ascii="Century Gothic" w:hAnsi="Century Gothic"/>
        </w:rPr>
        <w:t>,</w:t>
      </w:r>
      <w:r w:rsidRPr="00121885">
        <w:rPr>
          <w:rFonts w:ascii="Century Gothic" w:hAnsi="Century Gothic"/>
        </w:rPr>
        <w:t xml:space="preserve"> e</w:t>
      </w:r>
      <w:r w:rsidR="00281671" w:rsidRPr="00121885">
        <w:rPr>
          <w:rFonts w:ascii="Century Gothic" w:hAnsi="Century Gothic"/>
        </w:rPr>
        <w:t xml:space="preserve"> la preminenza spetta sempre alle politiche per la casa e la condizione abitativa</w:t>
      </w:r>
      <w:r w:rsidRPr="00121885">
        <w:rPr>
          <w:rFonts w:ascii="Century Gothic" w:hAnsi="Century Gothic"/>
        </w:rPr>
        <w:t xml:space="preserve">, tematiche rilevanti </w:t>
      </w:r>
      <w:r w:rsidR="00121885">
        <w:rPr>
          <w:rFonts w:ascii="Century Gothic" w:hAnsi="Century Gothic"/>
        </w:rPr>
        <w:t xml:space="preserve">per </w:t>
      </w:r>
      <w:r w:rsidRPr="00121885">
        <w:rPr>
          <w:rFonts w:ascii="Century Gothic" w:hAnsi="Century Gothic"/>
        </w:rPr>
        <w:t xml:space="preserve">la contrattazione sociale. </w:t>
      </w:r>
    </w:p>
    <w:p w:rsidR="00281671" w:rsidRDefault="003A5152" w:rsidP="00281671">
      <w:pPr>
        <w:jc w:val="both"/>
        <w:rPr>
          <w:rFonts w:ascii="Century Gothic" w:hAnsi="Century Gothic"/>
        </w:rPr>
      </w:pPr>
      <w:r w:rsidRPr="00121885">
        <w:rPr>
          <w:rFonts w:ascii="Century Gothic" w:hAnsi="Century Gothic"/>
        </w:rPr>
        <w:t xml:space="preserve">In </w:t>
      </w:r>
      <w:r w:rsidR="00AB2409" w:rsidRPr="00121885">
        <w:rPr>
          <w:rFonts w:ascii="Century Gothic" w:hAnsi="Century Gothic"/>
        </w:rPr>
        <w:t xml:space="preserve">particolare </w:t>
      </w:r>
      <w:r w:rsidRPr="00121885">
        <w:rPr>
          <w:rFonts w:ascii="Century Gothic" w:hAnsi="Century Gothic"/>
        </w:rPr>
        <w:t xml:space="preserve">l’attenzione è rivolta </w:t>
      </w:r>
      <w:r w:rsidR="00AB2409" w:rsidRPr="00121885">
        <w:rPr>
          <w:rFonts w:ascii="Century Gothic" w:hAnsi="Century Gothic"/>
        </w:rPr>
        <w:t>ai contributi per gli affitti</w:t>
      </w:r>
      <w:r w:rsidRPr="00121885">
        <w:rPr>
          <w:rFonts w:ascii="Century Gothic" w:hAnsi="Century Gothic"/>
        </w:rPr>
        <w:t>,</w:t>
      </w:r>
      <w:r w:rsidR="00AB2409">
        <w:rPr>
          <w:rFonts w:ascii="Century Gothic" w:hAnsi="Century Gothic"/>
        </w:rPr>
        <w:t xml:space="preserve"> misura di sostegno ai nuclei in difficoltà</w:t>
      </w:r>
      <w:r w:rsidR="0074575D">
        <w:rPr>
          <w:rFonts w:ascii="Century Gothic" w:hAnsi="Century Gothic"/>
        </w:rPr>
        <w:t>,</w:t>
      </w:r>
      <w:r w:rsidR="00AB2409">
        <w:rPr>
          <w:rFonts w:ascii="Century Gothic" w:hAnsi="Century Gothic"/>
        </w:rPr>
        <w:t xml:space="preserve"> spesso presente negli interventi a tutela delle fasce più bisognose della popolazione. In diversi accordi</w:t>
      </w:r>
      <w:r w:rsidR="00281671">
        <w:rPr>
          <w:rFonts w:ascii="Century Gothic" w:hAnsi="Century Gothic"/>
        </w:rPr>
        <w:t xml:space="preserve">, all’interno del bilancio di previsione, </w:t>
      </w:r>
      <w:r w:rsidR="00AB2409">
        <w:rPr>
          <w:rFonts w:ascii="Century Gothic" w:hAnsi="Century Gothic"/>
        </w:rPr>
        <w:t xml:space="preserve">è previsto </w:t>
      </w:r>
      <w:r w:rsidR="00281671">
        <w:rPr>
          <w:rFonts w:ascii="Century Gothic" w:hAnsi="Century Gothic"/>
        </w:rPr>
        <w:t xml:space="preserve">uno specifico contributo affitti, </w:t>
      </w:r>
      <w:r w:rsidR="00AB2409">
        <w:rPr>
          <w:rFonts w:ascii="Century Gothic" w:hAnsi="Century Gothic"/>
        </w:rPr>
        <w:t>che in alcuni casi può essere collegato a</w:t>
      </w:r>
      <w:r w:rsidR="00281671">
        <w:rPr>
          <w:rFonts w:ascii="Century Gothic" w:hAnsi="Century Gothic"/>
        </w:rPr>
        <w:t xml:space="preserve"> misure per far fronte all’emergenza abitativa </w:t>
      </w:r>
      <w:r w:rsidR="00AB2409">
        <w:rPr>
          <w:rFonts w:ascii="Century Gothic" w:hAnsi="Century Gothic"/>
        </w:rPr>
        <w:t>anche</w:t>
      </w:r>
      <w:r w:rsidR="00281671">
        <w:rPr>
          <w:rFonts w:ascii="Century Gothic" w:hAnsi="Century Gothic"/>
        </w:rPr>
        <w:t xml:space="preserve"> tramite interventi di edilizia sociale (</w:t>
      </w:r>
      <w:r w:rsidR="00AB2409">
        <w:rPr>
          <w:rFonts w:ascii="Century Gothic" w:hAnsi="Century Gothic"/>
        </w:rPr>
        <w:t xml:space="preserve">destinati </w:t>
      </w:r>
      <w:r w:rsidR="00281671">
        <w:rPr>
          <w:rFonts w:ascii="Century Gothic" w:hAnsi="Century Gothic"/>
        </w:rPr>
        <w:t>prevalentemente agli anziani</w:t>
      </w:r>
      <w:r w:rsidR="0074575D">
        <w:rPr>
          <w:rFonts w:ascii="Century Gothic" w:hAnsi="Century Gothic"/>
        </w:rPr>
        <w:t>,</w:t>
      </w:r>
      <w:r w:rsidR="00281671">
        <w:rPr>
          <w:rFonts w:ascii="Century Gothic" w:hAnsi="Century Gothic"/>
        </w:rPr>
        <w:t xml:space="preserve"> ma anche per </w:t>
      </w:r>
      <w:r w:rsidR="00281671" w:rsidRPr="0032637D">
        <w:rPr>
          <w:rFonts w:ascii="Century Gothic" w:hAnsi="Century Gothic"/>
        </w:rPr>
        <w:t>le giovani coppie</w:t>
      </w:r>
      <w:r w:rsidR="00281671">
        <w:rPr>
          <w:rFonts w:ascii="Century Gothic" w:hAnsi="Century Gothic"/>
        </w:rPr>
        <w:t xml:space="preserve">) e, nella provincia di Lucca, tramite la </w:t>
      </w:r>
      <w:r w:rsidR="00281671" w:rsidRPr="0094425C">
        <w:rPr>
          <w:rFonts w:ascii="Century Gothic" w:hAnsi="Century Gothic"/>
        </w:rPr>
        <w:t>Fondazione Casa</w:t>
      </w:r>
      <w:r w:rsidR="00281671">
        <w:rPr>
          <w:rFonts w:ascii="Century Gothic" w:hAnsi="Century Gothic"/>
        </w:rPr>
        <w:t xml:space="preserve">. </w:t>
      </w:r>
    </w:p>
    <w:p w:rsidR="00CF5E64" w:rsidRDefault="00CF5E64" w:rsidP="00CF5E64">
      <w:pPr>
        <w:jc w:val="both"/>
        <w:rPr>
          <w:rFonts w:ascii="Century Gothic" w:hAnsi="Century Gothic"/>
        </w:rPr>
      </w:pPr>
      <w:r>
        <w:rPr>
          <w:rFonts w:ascii="Century Gothic" w:hAnsi="Century Gothic"/>
        </w:rPr>
        <w:t xml:space="preserve">In alcuni territori viene dato risalto anche alle politiche ambientali, non solo nell’ambito della questione dello smaltimento dei rifiuti, ma anche della gestione idrica e dell’energia elettrica. </w:t>
      </w:r>
    </w:p>
    <w:p w:rsidR="00CF5E64" w:rsidRDefault="00CF5E64" w:rsidP="00CF5E64">
      <w:pPr>
        <w:jc w:val="both"/>
        <w:rPr>
          <w:rFonts w:ascii="Century Gothic" w:hAnsi="Century Gothic"/>
        </w:rPr>
      </w:pPr>
      <w:r>
        <w:rPr>
          <w:rFonts w:ascii="Century Gothic" w:hAnsi="Century Gothic"/>
        </w:rPr>
        <w:t xml:space="preserve">Come in anni passati, in alcune intese, è presente la tematica della mobilità urbana ed extra-urbana, prevalentemente rivolta all’ampliamento del servizio pubblico verso </w:t>
      </w:r>
      <w:r w:rsidRPr="0094425C">
        <w:rPr>
          <w:rFonts w:ascii="Century Gothic" w:hAnsi="Century Gothic"/>
        </w:rPr>
        <w:t>punti essenziali e di valenza sociale come le strutture ospedaliere.</w:t>
      </w:r>
    </w:p>
    <w:p w:rsidR="00E67C0D" w:rsidRDefault="00CF5E64" w:rsidP="00E67C0D">
      <w:pPr>
        <w:jc w:val="both"/>
        <w:rPr>
          <w:rFonts w:ascii="Century Gothic" w:hAnsi="Century Gothic"/>
        </w:rPr>
      </w:pPr>
      <w:r>
        <w:rPr>
          <w:rFonts w:ascii="Century Gothic" w:hAnsi="Century Gothic"/>
        </w:rPr>
        <w:t xml:space="preserve">Pur in presenza di vincoli del patto di stabilità, in alcune aree si è cercato di programmare </w:t>
      </w:r>
      <w:r w:rsidR="00552D0D">
        <w:rPr>
          <w:rFonts w:ascii="Century Gothic" w:hAnsi="Century Gothic"/>
        </w:rPr>
        <w:t xml:space="preserve">degli investimenti che si estendono ad anni successivi al 2015 e che riguardano il recupero urbano e del territorio. </w:t>
      </w:r>
      <w:r w:rsidR="00166E0C">
        <w:rPr>
          <w:rFonts w:ascii="Century Gothic" w:hAnsi="Century Gothic"/>
        </w:rPr>
        <w:t>Nelle</w:t>
      </w:r>
      <w:r w:rsidR="009102B9">
        <w:rPr>
          <w:rFonts w:ascii="Century Gothic" w:hAnsi="Century Gothic"/>
        </w:rPr>
        <w:t xml:space="preserve"> opere pubbliche</w:t>
      </w:r>
      <w:r w:rsidR="00166E0C">
        <w:rPr>
          <w:rFonts w:ascii="Century Gothic" w:hAnsi="Century Gothic"/>
        </w:rPr>
        <w:t>, oltre</w:t>
      </w:r>
      <w:r w:rsidR="009102B9">
        <w:rPr>
          <w:rFonts w:ascii="Century Gothic" w:hAnsi="Century Gothic"/>
        </w:rPr>
        <w:t xml:space="preserve"> </w:t>
      </w:r>
      <w:r w:rsidR="00166E0C">
        <w:rPr>
          <w:rFonts w:ascii="Century Gothic" w:hAnsi="Century Gothic"/>
        </w:rPr>
        <w:t xml:space="preserve">a lavori di manutenzione, sono presenti interventi </w:t>
      </w:r>
      <w:r w:rsidR="009102B9">
        <w:rPr>
          <w:rFonts w:ascii="Century Gothic" w:hAnsi="Century Gothic"/>
        </w:rPr>
        <w:t xml:space="preserve">che hanno valenza sociale come la ristrutturazione di edifici scolastici, di strutture ospedaliere, l’abbattimento di </w:t>
      </w:r>
      <w:r w:rsidR="00166E0C">
        <w:rPr>
          <w:rFonts w:ascii="Century Gothic" w:hAnsi="Century Gothic"/>
        </w:rPr>
        <w:t xml:space="preserve">barriere architettoniche. Naturalmente la realizzazione di opere pubbliche ha anche l’obiettivo di promuovere lo sviluppo e il lavoro. </w:t>
      </w:r>
    </w:p>
    <w:p w:rsidR="008348D0" w:rsidRDefault="008348D0">
      <w:pPr>
        <w:rPr>
          <w:rFonts w:ascii="Century Gothic" w:hAnsi="Century Gothic"/>
        </w:rPr>
      </w:pPr>
      <w:r>
        <w:rPr>
          <w:rFonts w:ascii="Century Gothic" w:hAnsi="Century Gothic"/>
        </w:rPr>
        <w:br w:type="page"/>
      </w:r>
    </w:p>
    <w:p w:rsidR="00E67C0D" w:rsidRPr="00CC7856" w:rsidRDefault="00CD24A1" w:rsidP="00CD24A1">
      <w:pPr>
        <w:jc w:val="both"/>
        <w:rPr>
          <w:rFonts w:ascii="Century Gothic" w:hAnsi="Century Gothic"/>
          <w:b/>
        </w:rPr>
      </w:pPr>
      <w:r w:rsidRPr="00E67C0D">
        <w:rPr>
          <w:rFonts w:ascii="Century Gothic" w:hAnsi="Century Gothic"/>
          <w:b/>
        </w:rPr>
        <w:lastRenderedPageBreak/>
        <w:t>Politiche del lavoro e dello sviluppo</w:t>
      </w:r>
    </w:p>
    <w:p w:rsidR="00764852" w:rsidRDefault="00764852" w:rsidP="00E67C0D">
      <w:pPr>
        <w:jc w:val="both"/>
        <w:rPr>
          <w:rFonts w:ascii="Century Gothic" w:hAnsi="Century Gothic"/>
        </w:rPr>
      </w:pPr>
    </w:p>
    <w:p w:rsidR="00E67C0D" w:rsidRPr="001361D8" w:rsidRDefault="00764852" w:rsidP="00E67C0D">
      <w:pPr>
        <w:jc w:val="both"/>
        <w:rPr>
          <w:rFonts w:ascii="Arial" w:hAnsi="Arial" w:cs="Arial"/>
        </w:rPr>
      </w:pPr>
      <w:r>
        <w:rPr>
          <w:rFonts w:ascii="Century Gothic" w:hAnsi="Century Gothic"/>
        </w:rPr>
        <w:t>C</w:t>
      </w:r>
      <w:r w:rsidR="008F0D1B">
        <w:rPr>
          <w:rFonts w:ascii="Century Gothic" w:hAnsi="Century Gothic"/>
        </w:rPr>
        <w:t xml:space="preserve">ome rilevato nei rapporti a livello nazionale, le amministrazioni comunali non hanno rilevanti possibilità di incidere nel campo delle politiche del lavoro e dello sviluppo. </w:t>
      </w:r>
      <w:r w:rsidR="007C64E6">
        <w:rPr>
          <w:rFonts w:ascii="Century Gothic" w:hAnsi="Century Gothic"/>
        </w:rPr>
        <w:t xml:space="preserve">Sono, quindi, </w:t>
      </w:r>
      <w:r w:rsidR="00121885">
        <w:rPr>
          <w:rFonts w:ascii="Century Gothic" w:hAnsi="Century Gothic"/>
        </w:rPr>
        <w:t>ristretti</w:t>
      </w:r>
      <w:r w:rsidR="007C64E6">
        <w:rPr>
          <w:rFonts w:ascii="Century Gothic" w:hAnsi="Century Gothic"/>
        </w:rPr>
        <w:t xml:space="preserve"> gli interventi di programmazione dello sviluppo e di </w:t>
      </w:r>
      <w:r w:rsidR="00670C17">
        <w:rPr>
          <w:rFonts w:ascii="Century Gothic" w:hAnsi="Century Gothic"/>
        </w:rPr>
        <w:t>aiuto</w:t>
      </w:r>
      <w:r w:rsidR="007C64E6">
        <w:rPr>
          <w:rFonts w:ascii="Century Gothic" w:hAnsi="Century Gothic"/>
        </w:rPr>
        <w:t xml:space="preserve"> alle imprese, anche per le limitazioni date dal patto di stabilità e dalle difficoltà di bilancio. </w:t>
      </w:r>
      <w:r w:rsidR="000C7845">
        <w:rPr>
          <w:rFonts w:ascii="Century Gothic" w:hAnsi="Century Gothic"/>
        </w:rPr>
        <w:t xml:space="preserve">Come detto nella parte </w:t>
      </w:r>
      <w:r w:rsidR="007E4B8E">
        <w:rPr>
          <w:rFonts w:ascii="Century Gothic" w:hAnsi="Century Gothic"/>
        </w:rPr>
        <w:t>sulle politiche abitative e del territorio, in alcun</w:t>
      </w:r>
      <w:r w:rsidR="00121885">
        <w:rPr>
          <w:rFonts w:ascii="Century Gothic" w:hAnsi="Century Gothic"/>
        </w:rPr>
        <w:t>e</w:t>
      </w:r>
      <w:r w:rsidR="007E4B8E">
        <w:rPr>
          <w:rFonts w:ascii="Century Gothic" w:hAnsi="Century Gothic"/>
        </w:rPr>
        <w:t xml:space="preserve"> </w:t>
      </w:r>
      <w:r w:rsidR="00121885">
        <w:rPr>
          <w:rFonts w:ascii="Century Gothic" w:hAnsi="Century Gothic"/>
        </w:rPr>
        <w:t>zone</w:t>
      </w:r>
      <w:r w:rsidR="007E4B8E">
        <w:rPr>
          <w:rFonts w:ascii="Century Gothic" w:hAnsi="Century Gothic"/>
        </w:rPr>
        <w:t xml:space="preserve"> si è attuat</w:t>
      </w:r>
      <w:r w:rsidR="00121885">
        <w:rPr>
          <w:rFonts w:ascii="Century Gothic" w:hAnsi="Century Gothic"/>
        </w:rPr>
        <w:t>a</w:t>
      </w:r>
      <w:r w:rsidR="007E4B8E">
        <w:rPr>
          <w:rFonts w:ascii="Century Gothic" w:hAnsi="Century Gothic"/>
        </w:rPr>
        <w:t xml:space="preserve"> una programmazione pluriennale di opere pubbliche, che consegue anche l’obiettivo di favorire lo sviluppo e la tenuta del mercato del lavoro. In combinazione </w:t>
      </w:r>
      <w:r>
        <w:rPr>
          <w:rFonts w:ascii="Century Gothic" w:hAnsi="Century Gothic"/>
        </w:rPr>
        <w:t xml:space="preserve">possono essere </w:t>
      </w:r>
      <w:r w:rsidR="007E4B8E">
        <w:rPr>
          <w:rFonts w:ascii="Century Gothic" w:hAnsi="Century Gothic"/>
        </w:rPr>
        <w:t xml:space="preserve">previste azioni di promozione territoriale per potenziare il turismo, risorsa importante </w:t>
      </w:r>
      <w:r w:rsidR="00D43595">
        <w:rPr>
          <w:rFonts w:ascii="Century Gothic" w:hAnsi="Century Gothic"/>
        </w:rPr>
        <w:t>di questa</w:t>
      </w:r>
      <w:r w:rsidR="007E4B8E">
        <w:rPr>
          <w:rFonts w:ascii="Century Gothic" w:hAnsi="Century Gothic"/>
        </w:rPr>
        <w:t xml:space="preserve"> regione.</w:t>
      </w:r>
      <w:r w:rsidR="007E4B8E">
        <w:rPr>
          <w:rFonts w:ascii="Century Gothic" w:hAnsi="Century Gothic"/>
          <w:highlight w:val="yellow"/>
        </w:rPr>
        <w:t xml:space="preserve"> </w:t>
      </w:r>
    </w:p>
    <w:p w:rsidR="008F0D1B" w:rsidRDefault="00764852" w:rsidP="008F0D1B">
      <w:pPr>
        <w:jc w:val="both"/>
        <w:rPr>
          <w:rFonts w:ascii="Century Gothic" w:hAnsi="Century Gothic"/>
        </w:rPr>
      </w:pPr>
      <w:r w:rsidRPr="00121885">
        <w:rPr>
          <w:rFonts w:ascii="Century Gothic" w:hAnsi="Century Gothic"/>
        </w:rPr>
        <w:t xml:space="preserve">Le politiche del lavoro </w:t>
      </w:r>
      <w:r w:rsidR="00F33D41" w:rsidRPr="00121885">
        <w:rPr>
          <w:rFonts w:ascii="Century Gothic" w:hAnsi="Century Gothic"/>
        </w:rPr>
        <w:t xml:space="preserve">e dello sviluppo sono, comunque, trattate nella metà degli accordi (52%). </w:t>
      </w:r>
      <w:r w:rsidR="008F0D1B" w:rsidRPr="00121885">
        <w:rPr>
          <w:rFonts w:ascii="Century Gothic" w:hAnsi="Century Gothic"/>
        </w:rPr>
        <w:t>L’i</w:t>
      </w:r>
      <w:r w:rsidR="000D248C" w:rsidRPr="00121885">
        <w:rPr>
          <w:rFonts w:ascii="Century Gothic" w:hAnsi="Century Gothic"/>
        </w:rPr>
        <w:t>ntervento</w:t>
      </w:r>
      <w:r w:rsidR="008F0D1B" w:rsidRPr="00121885">
        <w:rPr>
          <w:rFonts w:ascii="Century Gothic" w:hAnsi="Century Gothic"/>
        </w:rPr>
        <w:t xml:space="preserve"> maggiore</w:t>
      </w:r>
      <w:r w:rsidR="00F33D41" w:rsidRPr="00121885">
        <w:rPr>
          <w:rFonts w:ascii="Century Gothic" w:hAnsi="Century Gothic"/>
        </w:rPr>
        <w:t xml:space="preserve"> </w:t>
      </w:r>
      <w:r w:rsidR="008F0D1B" w:rsidRPr="00121885">
        <w:rPr>
          <w:rFonts w:ascii="Century Gothic" w:hAnsi="Century Gothic"/>
        </w:rPr>
        <w:t>si rileva</w:t>
      </w:r>
      <w:r w:rsidR="008F0D1B">
        <w:rPr>
          <w:rFonts w:ascii="Century Gothic" w:hAnsi="Century Gothic"/>
        </w:rPr>
        <w:t xml:space="preserve"> nelle </w:t>
      </w:r>
      <w:r w:rsidR="000D248C">
        <w:rPr>
          <w:rFonts w:ascii="Century Gothic" w:hAnsi="Century Gothic"/>
        </w:rPr>
        <w:t>azioni</w:t>
      </w:r>
      <w:r w:rsidR="008F0D1B">
        <w:rPr>
          <w:rFonts w:ascii="Century Gothic" w:hAnsi="Century Gothic"/>
        </w:rPr>
        <w:t xml:space="preserve"> di sostegno al reddito dei soggetti interessati da crisi aziendali e occupazionali. </w:t>
      </w:r>
      <w:r w:rsidR="000D248C">
        <w:rPr>
          <w:rFonts w:ascii="Century Gothic" w:hAnsi="Century Gothic"/>
        </w:rPr>
        <w:t>In diversi accordi nel 2015</w:t>
      </w:r>
      <w:r w:rsidR="008F0D1B">
        <w:rPr>
          <w:rFonts w:ascii="Century Gothic" w:hAnsi="Century Gothic"/>
        </w:rPr>
        <w:t xml:space="preserve"> </w:t>
      </w:r>
      <w:r w:rsidR="000D248C">
        <w:rPr>
          <w:rFonts w:ascii="Century Gothic" w:hAnsi="Century Gothic"/>
        </w:rPr>
        <w:t>continuano a esser p</w:t>
      </w:r>
      <w:r w:rsidR="008F0D1B">
        <w:rPr>
          <w:rFonts w:ascii="Century Gothic" w:hAnsi="Century Gothic"/>
        </w:rPr>
        <w:t xml:space="preserve">revisti fondi anti-crisi o misure specifiche per la difesa del potere di acquisto e, quindi, </w:t>
      </w:r>
      <w:r w:rsidR="008F0D1B" w:rsidRPr="002376F5">
        <w:rPr>
          <w:rFonts w:ascii="Century Gothic" w:hAnsi="Century Gothic"/>
        </w:rPr>
        <w:t>del tenore di</w:t>
      </w:r>
      <w:r w:rsidR="008F0D1B">
        <w:rPr>
          <w:rFonts w:ascii="Century Gothic" w:hAnsi="Century Gothic"/>
        </w:rPr>
        <w:t xml:space="preserve"> vita dei soggetti e dei nuclei famigliari in difficoltà a causa della crisi economica. Generalmente si tratta di esenzioni e/o agevolazioni riguardanti il pagamento della tassa sui rifiuti o la compartecipazione alle rette dei servizi scolastici per</w:t>
      </w:r>
      <w:r w:rsidR="000D248C">
        <w:rPr>
          <w:rFonts w:ascii="Century Gothic" w:hAnsi="Century Gothic"/>
        </w:rPr>
        <w:t xml:space="preserve"> </w:t>
      </w:r>
      <w:r w:rsidR="000D248C" w:rsidRPr="002B7297">
        <w:rPr>
          <w:rFonts w:ascii="Century Gothic" w:hAnsi="Century Gothic"/>
        </w:rPr>
        <w:t>i profili</w:t>
      </w:r>
      <w:r w:rsidR="000D248C">
        <w:rPr>
          <w:rFonts w:ascii="Century Gothic" w:hAnsi="Century Gothic"/>
        </w:rPr>
        <w:t xml:space="preserve"> deboli del mercato del lavoro</w:t>
      </w:r>
      <w:r w:rsidR="008F0D1B">
        <w:rPr>
          <w:rFonts w:ascii="Century Gothic" w:hAnsi="Century Gothic"/>
        </w:rPr>
        <w:t xml:space="preserve"> (disoccupati, cassa integrazione straordinaria o in deroga, cassa integrazione ordinaria). </w:t>
      </w:r>
    </w:p>
    <w:p w:rsidR="00670C17" w:rsidRDefault="00CD24A1" w:rsidP="00CD24A1">
      <w:pPr>
        <w:jc w:val="both"/>
        <w:rPr>
          <w:rFonts w:ascii="Century Gothic" w:hAnsi="Century Gothic"/>
        </w:rPr>
      </w:pPr>
      <w:r>
        <w:rPr>
          <w:rFonts w:ascii="Century Gothic" w:hAnsi="Century Gothic"/>
        </w:rPr>
        <w:t xml:space="preserve">Le azioni per l’inserimento lavorativo </w:t>
      </w:r>
      <w:r w:rsidR="007C64E6">
        <w:rPr>
          <w:rFonts w:ascii="Century Gothic" w:hAnsi="Century Gothic"/>
        </w:rPr>
        <w:t>sono poco legate a strategie di politica attiva del lavoro e riguardano prevalentemente</w:t>
      </w:r>
      <w:r>
        <w:rPr>
          <w:rFonts w:ascii="Century Gothic" w:hAnsi="Century Gothic"/>
        </w:rPr>
        <w:t xml:space="preserve"> progetti speciali di inserimento socio-lavorativo</w:t>
      </w:r>
      <w:r w:rsidR="007C64E6">
        <w:rPr>
          <w:rFonts w:ascii="Century Gothic" w:hAnsi="Century Gothic"/>
        </w:rPr>
        <w:t xml:space="preserve">, che in molti casi sono rivolti ai giovani e hanno la forma di tirocini, </w:t>
      </w:r>
      <w:r>
        <w:rPr>
          <w:rFonts w:ascii="Century Gothic" w:hAnsi="Century Gothic"/>
        </w:rPr>
        <w:t>occasioni di formazione e primo impiego per i giovani all’interno di</w:t>
      </w:r>
      <w:r w:rsidR="007C64E6">
        <w:rPr>
          <w:rFonts w:ascii="Century Gothic" w:hAnsi="Century Gothic"/>
        </w:rPr>
        <w:t xml:space="preserve"> progetti della Regione Toscana, come ad esempio </w:t>
      </w:r>
      <w:r w:rsidRPr="00070A29">
        <w:rPr>
          <w:rFonts w:ascii="Century Gothic" w:hAnsi="Century Gothic"/>
        </w:rPr>
        <w:t>Giovani Si</w:t>
      </w:r>
      <w:r w:rsidR="007C64E6">
        <w:rPr>
          <w:rFonts w:ascii="Century Gothic" w:hAnsi="Century Gothic"/>
        </w:rPr>
        <w:t xml:space="preserve">. </w:t>
      </w:r>
    </w:p>
    <w:p w:rsidR="009E0124" w:rsidRDefault="00670C17" w:rsidP="009E0124">
      <w:pPr>
        <w:jc w:val="both"/>
        <w:rPr>
          <w:rFonts w:ascii="Century Gothic" w:hAnsi="Century Gothic"/>
        </w:rPr>
      </w:pPr>
      <w:r>
        <w:rPr>
          <w:rFonts w:ascii="Century Gothic" w:hAnsi="Century Gothic"/>
        </w:rPr>
        <w:t xml:space="preserve">Le </w:t>
      </w:r>
      <w:r w:rsidR="00CD24A1">
        <w:rPr>
          <w:rFonts w:ascii="Century Gothic" w:hAnsi="Century Gothic"/>
        </w:rPr>
        <w:t xml:space="preserve">misure volte al contrasto della precarietà </w:t>
      </w:r>
      <w:r>
        <w:rPr>
          <w:rFonts w:ascii="Century Gothic" w:hAnsi="Century Gothic"/>
        </w:rPr>
        <w:t>e al</w:t>
      </w:r>
      <w:r w:rsidR="00CD24A1">
        <w:rPr>
          <w:rFonts w:ascii="Century Gothic" w:hAnsi="Century Gothic"/>
        </w:rPr>
        <w:t xml:space="preserve"> rispetto delle norme di salute e sicurezza</w:t>
      </w:r>
      <w:r>
        <w:rPr>
          <w:rFonts w:ascii="Century Gothic" w:hAnsi="Century Gothic"/>
        </w:rPr>
        <w:t>, sono in genere collegate alla regolamentazione degli appalti</w:t>
      </w:r>
      <w:r w:rsidR="009E0124">
        <w:rPr>
          <w:rFonts w:ascii="Century Gothic" w:hAnsi="Century Gothic"/>
        </w:rPr>
        <w:t xml:space="preserve"> dei servizi della pubblica amministrazione. In alcuni accordi sono, infatti, trattate specificatamente le questioni concernenti degli appalti, in un’ottica di trasparenza e di corretta regolazione, con iniziative rivolte alla stabilizzazione del lavoro e alla salute e alla sicurezza, con un impegno da parte delle amministrazioni comunali a un confronto preventivo con le organizzazioni sindacali. </w:t>
      </w:r>
    </w:p>
    <w:p w:rsidR="00CD24A1" w:rsidRDefault="00F31026" w:rsidP="00CD24A1">
      <w:pPr>
        <w:jc w:val="both"/>
        <w:rPr>
          <w:rFonts w:ascii="Century Gothic" w:hAnsi="Century Gothic"/>
        </w:rPr>
      </w:pPr>
      <w:r>
        <w:rPr>
          <w:rFonts w:ascii="Century Gothic" w:hAnsi="Century Gothic"/>
        </w:rPr>
        <w:t>Come detto in precedenza,</w:t>
      </w:r>
      <w:r w:rsidR="009E0124">
        <w:rPr>
          <w:rFonts w:ascii="Century Gothic" w:hAnsi="Century Gothic"/>
        </w:rPr>
        <w:t xml:space="preserve"> i</w:t>
      </w:r>
      <w:r w:rsidR="00CD24A1">
        <w:rPr>
          <w:rFonts w:ascii="Century Gothic" w:hAnsi="Century Gothic"/>
        </w:rPr>
        <w:t>n alcuni casi</w:t>
      </w:r>
      <w:r>
        <w:rPr>
          <w:rFonts w:ascii="Century Gothic" w:hAnsi="Century Gothic"/>
        </w:rPr>
        <w:t>,</w:t>
      </w:r>
      <w:r w:rsidR="00CD24A1">
        <w:rPr>
          <w:rFonts w:ascii="Century Gothic" w:hAnsi="Century Gothic"/>
        </w:rPr>
        <w:t xml:space="preserve"> la voce della stabilizzazione del lavoro è legata anche alla concessione di agevolazioni alle imprese che assumono a tempo indeterminato. </w:t>
      </w:r>
    </w:p>
    <w:p w:rsidR="00CD24A1" w:rsidRDefault="00CD24A1" w:rsidP="00CF5E64">
      <w:pPr>
        <w:jc w:val="both"/>
        <w:rPr>
          <w:rFonts w:ascii="Century Gothic" w:hAnsi="Century Gothic"/>
        </w:rPr>
      </w:pPr>
    </w:p>
    <w:p w:rsidR="009564B1" w:rsidRDefault="009564B1" w:rsidP="009564B1">
      <w:pPr>
        <w:rPr>
          <w:rFonts w:ascii="Century Gothic" w:hAnsi="Century Gothic"/>
          <w:b/>
        </w:rPr>
      </w:pPr>
      <w:r>
        <w:rPr>
          <w:rFonts w:ascii="Century Gothic" w:hAnsi="Century Gothic"/>
          <w:b/>
        </w:rPr>
        <w:t>Politiche e strumenti della partecipazione attiva</w:t>
      </w:r>
    </w:p>
    <w:p w:rsidR="008626C4" w:rsidRDefault="008626C4" w:rsidP="009564B1">
      <w:pPr>
        <w:rPr>
          <w:rFonts w:ascii="Century Gothic" w:hAnsi="Century Gothic"/>
          <w:b/>
        </w:rPr>
      </w:pPr>
    </w:p>
    <w:p w:rsidR="008626C4" w:rsidRDefault="00F33D41" w:rsidP="009564B1">
      <w:pPr>
        <w:jc w:val="both"/>
        <w:rPr>
          <w:rFonts w:ascii="Century Gothic" w:hAnsi="Century Gothic"/>
        </w:rPr>
      </w:pPr>
      <w:r w:rsidRPr="00121885">
        <w:rPr>
          <w:rFonts w:ascii="Century Gothic" w:hAnsi="Century Gothic"/>
        </w:rPr>
        <w:t>L’area delle politiche e degli strumenti della partecipazione compare in circa un terzo degli accordi (33%) e, c</w:t>
      </w:r>
      <w:r w:rsidR="009564B1" w:rsidRPr="00121885">
        <w:rPr>
          <w:rFonts w:ascii="Century Gothic" w:hAnsi="Century Gothic"/>
        </w:rPr>
        <w:t xml:space="preserve">ome riscontrato anche a livello nazionale, </w:t>
      </w:r>
      <w:r w:rsidRPr="00121885">
        <w:rPr>
          <w:rFonts w:ascii="Century Gothic" w:hAnsi="Century Gothic"/>
        </w:rPr>
        <w:t xml:space="preserve">in questo </w:t>
      </w:r>
      <w:r w:rsidR="009564B1" w:rsidRPr="00121885">
        <w:rPr>
          <w:rFonts w:ascii="Century Gothic" w:hAnsi="Century Gothic"/>
        </w:rPr>
        <w:t>ambito</w:t>
      </w:r>
      <w:r w:rsidRPr="00121885">
        <w:rPr>
          <w:rFonts w:ascii="Century Gothic" w:hAnsi="Century Gothic"/>
        </w:rPr>
        <w:t>,</w:t>
      </w:r>
      <w:r w:rsidR="009564B1">
        <w:rPr>
          <w:rFonts w:ascii="Century Gothic" w:hAnsi="Century Gothic"/>
        </w:rPr>
        <w:t xml:space="preserve"> le tematiche maggiormente presenti negli accordi continuano a essere le seguenti: la promozione del terzo settore; i percorsi di informazione, </w:t>
      </w:r>
      <w:r w:rsidR="009564B1" w:rsidRPr="002F17D3">
        <w:rPr>
          <w:rFonts w:ascii="Century Gothic" w:hAnsi="Century Gothic"/>
        </w:rPr>
        <w:t>consultazione e coinvolgimento dei lavoratori e dei cittadini</w:t>
      </w:r>
      <w:r w:rsidR="009564B1">
        <w:rPr>
          <w:rFonts w:ascii="Century Gothic" w:hAnsi="Century Gothic"/>
        </w:rPr>
        <w:t xml:space="preserve">. </w:t>
      </w:r>
      <w:r w:rsidR="00184555">
        <w:rPr>
          <w:rFonts w:ascii="Century Gothic" w:hAnsi="Century Gothic"/>
        </w:rPr>
        <w:t xml:space="preserve">La promozione del terzo settore idealmente dovrebbe configurarsi come misure di sostegno all’associazionismo e al volontariato di solidarietà sociale, ma spesso in realtà assume la forma di contributi </w:t>
      </w:r>
      <w:r w:rsidR="009564B1">
        <w:rPr>
          <w:rFonts w:ascii="Century Gothic" w:hAnsi="Century Gothic"/>
        </w:rPr>
        <w:t>per interventi di tipo sociale</w:t>
      </w:r>
      <w:r w:rsidR="00184555">
        <w:rPr>
          <w:rFonts w:ascii="Century Gothic" w:hAnsi="Century Gothic"/>
        </w:rPr>
        <w:t>,</w:t>
      </w:r>
      <w:r w:rsidR="009564B1">
        <w:rPr>
          <w:rFonts w:ascii="Century Gothic" w:hAnsi="Century Gothic"/>
        </w:rPr>
        <w:t xml:space="preserve"> in </w:t>
      </w:r>
      <w:r w:rsidR="009564B1">
        <w:rPr>
          <w:rFonts w:ascii="Century Gothic" w:hAnsi="Century Gothic"/>
        </w:rPr>
        <w:lastRenderedPageBreak/>
        <w:t>particolare verso l</w:t>
      </w:r>
      <w:r w:rsidR="00184555">
        <w:rPr>
          <w:rFonts w:ascii="Century Gothic" w:hAnsi="Century Gothic"/>
        </w:rPr>
        <w:t xml:space="preserve">e fasce più deboli come anziani, </w:t>
      </w:r>
      <w:r w:rsidR="009564B1">
        <w:rPr>
          <w:rFonts w:ascii="Century Gothic" w:hAnsi="Century Gothic"/>
        </w:rPr>
        <w:t>disabili</w:t>
      </w:r>
      <w:r w:rsidR="00184555">
        <w:rPr>
          <w:rFonts w:ascii="Century Gothic" w:hAnsi="Century Gothic"/>
        </w:rPr>
        <w:t>, persone non autosufficienti</w:t>
      </w:r>
      <w:r w:rsidR="009564B1">
        <w:rPr>
          <w:rFonts w:ascii="Century Gothic" w:hAnsi="Century Gothic"/>
        </w:rPr>
        <w:t xml:space="preserve">. </w:t>
      </w:r>
      <w:r w:rsidR="00180725">
        <w:rPr>
          <w:rFonts w:ascii="Century Gothic" w:hAnsi="Century Gothic"/>
        </w:rPr>
        <w:t xml:space="preserve">Il settore non-profit svolge, quindi, una funzione di supplenza nella fornitura di determinati servizi, che dovrebbero essere di competenza dell’ente locale. La voce </w:t>
      </w:r>
      <w:r w:rsidR="009564B1">
        <w:rPr>
          <w:rFonts w:ascii="Century Gothic" w:hAnsi="Century Gothic"/>
        </w:rPr>
        <w:t xml:space="preserve">dei percorsi di informazione, </w:t>
      </w:r>
      <w:r w:rsidR="009564B1" w:rsidRPr="002F17D3">
        <w:rPr>
          <w:rFonts w:ascii="Century Gothic" w:hAnsi="Century Gothic"/>
        </w:rPr>
        <w:t>consultazione e coinvolgimento dei lavoratori e dei cittadini</w:t>
      </w:r>
      <w:r w:rsidR="009564B1">
        <w:rPr>
          <w:rFonts w:ascii="Century Gothic" w:hAnsi="Century Gothic"/>
        </w:rPr>
        <w:t xml:space="preserve"> può comprendere diverse attività</w:t>
      </w:r>
      <w:r w:rsidR="00180725">
        <w:rPr>
          <w:rFonts w:ascii="Century Gothic" w:hAnsi="Century Gothic"/>
        </w:rPr>
        <w:t xml:space="preserve"> che </w:t>
      </w:r>
      <w:r w:rsidR="00A47FF6">
        <w:rPr>
          <w:rFonts w:ascii="Century Gothic" w:hAnsi="Century Gothic"/>
        </w:rPr>
        <w:t xml:space="preserve">vanno </w:t>
      </w:r>
      <w:r w:rsidR="009564B1">
        <w:rPr>
          <w:rFonts w:ascii="Century Gothic" w:hAnsi="Century Gothic"/>
        </w:rPr>
        <w:t xml:space="preserve">dai servizi puramente informativi come gli URP fino alla realizzazione di tutte le fasi di un processo partecipativo. </w:t>
      </w:r>
      <w:r w:rsidR="00A47FF6">
        <w:rPr>
          <w:rFonts w:ascii="Century Gothic" w:hAnsi="Century Gothic"/>
        </w:rPr>
        <w:t>In genere, nelle intese</w:t>
      </w:r>
      <w:r w:rsidR="009564B1">
        <w:rPr>
          <w:rFonts w:ascii="Century Gothic" w:hAnsi="Century Gothic"/>
        </w:rPr>
        <w:t xml:space="preserve"> </w:t>
      </w:r>
      <w:r w:rsidR="00A47FF6">
        <w:rPr>
          <w:rFonts w:ascii="Century Gothic" w:hAnsi="Century Gothic"/>
        </w:rPr>
        <w:t xml:space="preserve">esaminate, </w:t>
      </w:r>
      <w:r w:rsidR="009564B1">
        <w:rPr>
          <w:rFonts w:ascii="Century Gothic" w:hAnsi="Century Gothic"/>
        </w:rPr>
        <w:t xml:space="preserve">indica </w:t>
      </w:r>
      <w:r w:rsidR="00A47FF6">
        <w:rPr>
          <w:rFonts w:ascii="Century Gothic" w:hAnsi="Century Gothic"/>
        </w:rPr>
        <w:t xml:space="preserve">le </w:t>
      </w:r>
      <w:r w:rsidR="009564B1">
        <w:rPr>
          <w:rFonts w:ascii="Century Gothic" w:hAnsi="Century Gothic"/>
        </w:rPr>
        <w:t>iniziative di divulgazione dei contenuti delle intese r</w:t>
      </w:r>
      <w:r w:rsidR="00A47FF6">
        <w:rPr>
          <w:rFonts w:ascii="Century Gothic" w:hAnsi="Century Gothic"/>
        </w:rPr>
        <w:t xml:space="preserve">ivolte ai cittadini destinatari, dato che è importante che la popolazione sia consapevole dei benefici derivanti dalla contrattazione sociale. </w:t>
      </w:r>
    </w:p>
    <w:p w:rsidR="00A65D7B" w:rsidRDefault="00A47FF6" w:rsidP="009564B1">
      <w:pPr>
        <w:jc w:val="both"/>
        <w:rPr>
          <w:rFonts w:ascii="Century Gothic" w:hAnsi="Century Gothic"/>
        </w:rPr>
      </w:pPr>
      <w:r>
        <w:rPr>
          <w:rFonts w:ascii="Century Gothic" w:hAnsi="Century Gothic"/>
        </w:rPr>
        <w:t>Bisogna segnalare che in alcuni accordi,</w:t>
      </w:r>
      <w:r w:rsidR="00A65D7B">
        <w:rPr>
          <w:rFonts w:ascii="Century Gothic" w:hAnsi="Century Gothic"/>
        </w:rPr>
        <w:t xml:space="preserve"> </w:t>
      </w:r>
      <w:r>
        <w:rPr>
          <w:rFonts w:ascii="Century Gothic" w:hAnsi="Century Gothic"/>
        </w:rPr>
        <w:t xml:space="preserve">compaiono riferimenti al bilancio </w:t>
      </w:r>
      <w:r w:rsidR="00A65D7B">
        <w:rPr>
          <w:rFonts w:ascii="Century Gothic" w:hAnsi="Century Gothic"/>
        </w:rPr>
        <w:t>sociale</w:t>
      </w:r>
      <w:r>
        <w:rPr>
          <w:rFonts w:ascii="Century Gothic" w:hAnsi="Century Gothic"/>
        </w:rPr>
        <w:t xml:space="preserve">, </w:t>
      </w:r>
      <w:r w:rsidR="00A65D7B">
        <w:rPr>
          <w:rFonts w:ascii="Century Gothic" w:hAnsi="Century Gothic"/>
        </w:rPr>
        <w:t xml:space="preserve">visto all’interno di un rafforzamento dei percorsi di partecipazione delle parti sociali alla redazione dei bilanci. Si tratta di pochi accordi, ma è comunque un segnale </w:t>
      </w:r>
      <w:r w:rsidR="005D396C">
        <w:rPr>
          <w:rFonts w:ascii="Century Gothic" w:hAnsi="Century Gothic"/>
        </w:rPr>
        <w:t xml:space="preserve">positivo </w:t>
      </w:r>
      <w:r w:rsidR="00A65D7B">
        <w:rPr>
          <w:rFonts w:ascii="Century Gothic" w:hAnsi="Century Gothic"/>
        </w:rPr>
        <w:t xml:space="preserve">rispetto alla situazione del 2014, in cui questa voce era completamente assente. </w:t>
      </w:r>
    </w:p>
    <w:p w:rsidR="00E04049" w:rsidRDefault="00E04049" w:rsidP="009564B1">
      <w:pPr>
        <w:jc w:val="both"/>
        <w:rPr>
          <w:rFonts w:ascii="Century Gothic" w:hAnsi="Century Gothic"/>
        </w:rPr>
      </w:pPr>
    </w:p>
    <w:p w:rsidR="00F31026" w:rsidRPr="00BC5743" w:rsidRDefault="00F31026" w:rsidP="00F31026">
      <w:pPr>
        <w:jc w:val="both"/>
        <w:rPr>
          <w:rFonts w:ascii="Century Gothic" w:hAnsi="Century Gothic"/>
          <w:caps/>
        </w:rPr>
      </w:pPr>
      <w:r w:rsidRPr="00BC5743">
        <w:rPr>
          <w:rFonts w:ascii="Century Gothic" w:hAnsi="Century Gothic" w:cs="Arial"/>
          <w:b/>
          <w:bCs/>
          <w:color w:val="000000"/>
          <w:lang w:eastAsia="it-IT"/>
        </w:rPr>
        <w:t>Politiche culturali, di socializzazione e sicurezza</w:t>
      </w:r>
    </w:p>
    <w:p w:rsidR="00F31026" w:rsidRPr="00BC5743" w:rsidRDefault="00F31026" w:rsidP="00F31026">
      <w:pPr>
        <w:tabs>
          <w:tab w:val="left" w:pos="2400"/>
        </w:tabs>
        <w:jc w:val="both"/>
        <w:rPr>
          <w:rFonts w:ascii="Century Gothic" w:hAnsi="Century Gothic"/>
          <w:caps/>
        </w:rPr>
      </w:pPr>
    </w:p>
    <w:p w:rsidR="00F31026" w:rsidRDefault="00F31026" w:rsidP="00F31026">
      <w:pPr>
        <w:jc w:val="both"/>
        <w:rPr>
          <w:rFonts w:ascii="Arial" w:hAnsi="Arial" w:cs="Arial"/>
        </w:rPr>
      </w:pPr>
      <w:r>
        <w:rPr>
          <w:rFonts w:ascii="Century Gothic" w:hAnsi="Century Gothic" w:cs="Arial"/>
          <w:bCs/>
          <w:color w:val="000000"/>
          <w:lang w:eastAsia="it-IT"/>
        </w:rPr>
        <w:t>L</w:t>
      </w:r>
      <w:r w:rsidRPr="00BC5743">
        <w:rPr>
          <w:rFonts w:ascii="Century Gothic" w:hAnsi="Century Gothic" w:cs="Arial"/>
          <w:bCs/>
          <w:color w:val="000000"/>
          <w:lang w:eastAsia="it-IT"/>
        </w:rPr>
        <w:t xml:space="preserve">e politiche culturali, di socializzazione e sicurezza </w:t>
      </w:r>
      <w:r>
        <w:rPr>
          <w:rFonts w:ascii="Century Gothic" w:hAnsi="Century Gothic" w:cs="Arial"/>
          <w:bCs/>
          <w:color w:val="000000"/>
          <w:lang w:eastAsia="it-IT"/>
        </w:rPr>
        <w:t>sono trattate in quas</w:t>
      </w:r>
      <w:r w:rsidR="005634B9">
        <w:rPr>
          <w:rFonts w:ascii="Century Gothic" w:hAnsi="Century Gothic" w:cs="Arial"/>
          <w:bCs/>
          <w:color w:val="000000"/>
          <w:lang w:eastAsia="it-IT"/>
        </w:rPr>
        <w:t xml:space="preserve">i due terzi degli accordi (32%), con la </w:t>
      </w:r>
      <w:r>
        <w:rPr>
          <w:rFonts w:ascii="Century Gothic" w:hAnsi="Century Gothic" w:cs="Arial"/>
          <w:bCs/>
          <w:color w:val="000000"/>
          <w:lang w:eastAsia="it-IT"/>
        </w:rPr>
        <w:t xml:space="preserve">preminenza </w:t>
      </w:r>
      <w:r w:rsidR="005634B9">
        <w:rPr>
          <w:rFonts w:ascii="Century Gothic" w:hAnsi="Century Gothic" w:cs="Arial"/>
          <w:bCs/>
          <w:color w:val="000000"/>
          <w:lang w:eastAsia="it-IT"/>
        </w:rPr>
        <w:t>d</w:t>
      </w:r>
      <w:r>
        <w:rPr>
          <w:rFonts w:ascii="Century Gothic" w:hAnsi="Century Gothic" w:cs="Arial"/>
          <w:bCs/>
          <w:color w:val="000000"/>
          <w:lang w:eastAsia="it-IT"/>
        </w:rPr>
        <w:t>a</w:t>
      </w:r>
      <w:r w:rsidR="005634B9">
        <w:rPr>
          <w:rFonts w:ascii="Century Gothic" w:hAnsi="Century Gothic" w:cs="Arial"/>
          <w:bCs/>
          <w:color w:val="000000"/>
          <w:lang w:eastAsia="it-IT"/>
        </w:rPr>
        <w:t>ta</w:t>
      </w:r>
      <w:r>
        <w:rPr>
          <w:rFonts w:ascii="Century Gothic" w:hAnsi="Century Gothic" w:cs="Arial"/>
          <w:bCs/>
          <w:color w:val="000000"/>
          <w:lang w:eastAsia="it-IT"/>
        </w:rPr>
        <w:t xml:space="preserve"> alle iniziative di socializzazione, in particolare la promozio</w:t>
      </w:r>
      <w:r w:rsidR="005634B9">
        <w:rPr>
          <w:rFonts w:ascii="Century Gothic" w:hAnsi="Century Gothic" w:cs="Arial"/>
          <w:bCs/>
          <w:color w:val="000000"/>
          <w:lang w:eastAsia="it-IT"/>
        </w:rPr>
        <w:t xml:space="preserve">ne del turismo sociale rivolto </w:t>
      </w:r>
      <w:r>
        <w:rPr>
          <w:rFonts w:ascii="Century Gothic" w:hAnsi="Century Gothic" w:cs="Arial"/>
          <w:bCs/>
          <w:color w:val="000000"/>
          <w:lang w:eastAsia="it-IT"/>
        </w:rPr>
        <w:t xml:space="preserve">prevalentemente agli anziani. Si registrano anche altre tipologie di iniziative a favore di: centri di aggregazione per i giovani, centri e soggiorni estivi per i minori, sport di base. In un contesto di minori risorse disponibili, le amministrazioni privilegiano le iniziative che rientrano nella programmazione in campo sociale rispetto a quella culturale. </w:t>
      </w:r>
    </w:p>
    <w:p w:rsidR="00F31026" w:rsidRDefault="00F31026" w:rsidP="009564B1">
      <w:pPr>
        <w:jc w:val="both"/>
        <w:rPr>
          <w:rFonts w:ascii="Century Gothic" w:hAnsi="Century Gothic"/>
        </w:rPr>
      </w:pPr>
    </w:p>
    <w:p w:rsidR="00F31026" w:rsidRDefault="00F31026" w:rsidP="009564B1">
      <w:pPr>
        <w:jc w:val="both"/>
        <w:rPr>
          <w:rFonts w:ascii="Century Gothic" w:hAnsi="Century Gothic"/>
        </w:rPr>
      </w:pPr>
    </w:p>
    <w:p w:rsidR="00E04049" w:rsidRDefault="00E04049" w:rsidP="00E04049">
      <w:pPr>
        <w:rPr>
          <w:rFonts w:ascii="Century Gothic" w:hAnsi="Century Gothic"/>
          <w:b/>
        </w:rPr>
      </w:pPr>
      <w:r w:rsidRPr="004F777B">
        <w:rPr>
          <w:rFonts w:ascii="Century Gothic" w:hAnsi="Century Gothic"/>
          <w:b/>
        </w:rPr>
        <w:t>Azioni di contrasto delle discriminazioni e pari opportunità</w:t>
      </w:r>
    </w:p>
    <w:p w:rsidR="00F31026" w:rsidRDefault="00F31026" w:rsidP="00E04049">
      <w:pPr>
        <w:jc w:val="both"/>
        <w:rPr>
          <w:rFonts w:ascii="Century Gothic" w:hAnsi="Century Gothic"/>
        </w:rPr>
      </w:pPr>
    </w:p>
    <w:p w:rsidR="00E04049" w:rsidRDefault="00F31026" w:rsidP="00E04049">
      <w:pPr>
        <w:jc w:val="both"/>
        <w:rPr>
          <w:rFonts w:ascii="Century Gothic" w:hAnsi="Century Gothic"/>
        </w:rPr>
      </w:pPr>
      <w:r>
        <w:rPr>
          <w:rFonts w:ascii="Century Gothic" w:hAnsi="Century Gothic"/>
        </w:rPr>
        <w:t xml:space="preserve">L’area riguardante il contrasto delle discriminazioni e a favore delle pari opportunità compare nel 17% degli accordi. </w:t>
      </w:r>
      <w:r w:rsidR="00E04049">
        <w:rPr>
          <w:rFonts w:ascii="Century Gothic" w:hAnsi="Century Gothic"/>
        </w:rPr>
        <w:t xml:space="preserve">Nelle intese esaminate, per </w:t>
      </w:r>
      <w:r>
        <w:rPr>
          <w:rFonts w:ascii="Century Gothic" w:hAnsi="Century Gothic"/>
        </w:rPr>
        <w:t>questo ambito</w:t>
      </w:r>
      <w:r w:rsidR="00E04049">
        <w:rPr>
          <w:rFonts w:ascii="Century Gothic" w:hAnsi="Century Gothic"/>
        </w:rPr>
        <w:t xml:space="preserve">, si fa riferimento principalmente a iniziative per le pari opportunità e integrazione, che in genere riguardano l’inserimento scolastico di alunni con disabilità, con particolari problematiche, oppure stranieri, quindi in collegamento con le politiche educative, nell’ambito del diritto allo studio. </w:t>
      </w:r>
    </w:p>
    <w:p w:rsidR="00273482" w:rsidRDefault="00E04049" w:rsidP="00E04049">
      <w:pPr>
        <w:jc w:val="both"/>
        <w:rPr>
          <w:rFonts w:ascii="Century Gothic" w:hAnsi="Century Gothic"/>
        </w:rPr>
      </w:pPr>
      <w:r>
        <w:rPr>
          <w:rFonts w:ascii="Century Gothic" w:hAnsi="Century Gothic"/>
        </w:rPr>
        <w:t xml:space="preserve">E’ interessante notare che, in </w:t>
      </w:r>
      <w:r w:rsidR="00273482">
        <w:rPr>
          <w:rFonts w:ascii="Century Gothic" w:hAnsi="Century Gothic"/>
        </w:rPr>
        <w:t>tre</w:t>
      </w:r>
      <w:r>
        <w:rPr>
          <w:rFonts w:ascii="Century Gothic" w:hAnsi="Century Gothic"/>
        </w:rPr>
        <w:t xml:space="preserve"> accordi, viene affrontata la tematica della violenza contro le donne. In un caso viene citato il protocollo di intesa tra i comuni della provincia di Livorno con l’ASL6, le forze dell’ordine, l’Ufficio scolastico provinciale</w:t>
      </w:r>
      <w:r w:rsidR="00D56502">
        <w:rPr>
          <w:rFonts w:ascii="Century Gothic" w:hAnsi="Century Gothic"/>
        </w:rPr>
        <w:t>,</w:t>
      </w:r>
      <w:r>
        <w:rPr>
          <w:rFonts w:ascii="Century Gothic" w:hAnsi="Century Gothic"/>
        </w:rPr>
        <w:t xml:space="preserve"> per tutelare le vittime della violenza di genere. Nell’altro, sempre nella provincia di Livorno, </w:t>
      </w:r>
      <w:r w:rsidR="00CC4F4E">
        <w:rPr>
          <w:rFonts w:ascii="Century Gothic" w:hAnsi="Century Gothic"/>
        </w:rPr>
        <w:t xml:space="preserve">si parla di un progetto intercomunale di realizzazione di una struttura protetta di accoglienza. </w:t>
      </w:r>
      <w:r w:rsidR="00273482">
        <w:rPr>
          <w:rFonts w:ascii="Century Gothic" w:hAnsi="Century Gothic"/>
        </w:rPr>
        <w:t xml:space="preserve">Anche in </w:t>
      </w:r>
      <w:r w:rsidR="00D56502">
        <w:rPr>
          <w:rFonts w:ascii="Century Gothic" w:hAnsi="Century Gothic"/>
        </w:rPr>
        <w:t xml:space="preserve">un </w:t>
      </w:r>
      <w:r w:rsidR="00273482">
        <w:rPr>
          <w:rFonts w:ascii="Century Gothic" w:hAnsi="Century Gothic"/>
        </w:rPr>
        <w:t>comune della provincia di Lucca</w:t>
      </w:r>
      <w:r w:rsidR="00D56502">
        <w:rPr>
          <w:rFonts w:ascii="Century Gothic" w:hAnsi="Century Gothic"/>
        </w:rPr>
        <w:t xml:space="preserve"> </w:t>
      </w:r>
      <w:r w:rsidR="00273482">
        <w:rPr>
          <w:rFonts w:ascii="Century Gothic" w:hAnsi="Century Gothic"/>
        </w:rPr>
        <w:t>è trattato l’argomento della violenza di genere, con l’impegno da parte dell’amministrazione a diffondere</w:t>
      </w:r>
      <w:r w:rsidR="00D56502">
        <w:rPr>
          <w:rFonts w:ascii="Century Gothic" w:hAnsi="Century Gothic"/>
        </w:rPr>
        <w:t>, in primo luogo,</w:t>
      </w:r>
      <w:r w:rsidR="00273482">
        <w:rPr>
          <w:rFonts w:ascii="Century Gothic" w:hAnsi="Century Gothic"/>
        </w:rPr>
        <w:t xml:space="preserve"> la cultura della parità e riproporre il bando per l’apertura di uno sportello di consulenza psicologica gratuita per le donne vittime </w:t>
      </w:r>
      <w:r w:rsidR="00D56502">
        <w:rPr>
          <w:rFonts w:ascii="Century Gothic" w:hAnsi="Century Gothic"/>
        </w:rPr>
        <w:t xml:space="preserve">di </w:t>
      </w:r>
      <w:r w:rsidR="00273482">
        <w:rPr>
          <w:rFonts w:ascii="Century Gothic" w:hAnsi="Century Gothic"/>
        </w:rPr>
        <w:t xml:space="preserve">violenza, da affiancare a quello già presente di consulenza legale. </w:t>
      </w:r>
    </w:p>
    <w:p w:rsidR="00E04049" w:rsidRDefault="00273482" w:rsidP="00E04049">
      <w:pPr>
        <w:jc w:val="both"/>
        <w:rPr>
          <w:rFonts w:ascii="Century Gothic" w:hAnsi="Century Gothic"/>
        </w:rPr>
      </w:pPr>
      <w:r>
        <w:rPr>
          <w:rFonts w:ascii="Century Gothic" w:hAnsi="Century Gothic"/>
        </w:rPr>
        <w:t>Si tratta di pochi accordi, ma bisogna ricordare che,</w:t>
      </w:r>
      <w:r w:rsidR="00CC4F4E">
        <w:rPr>
          <w:rFonts w:ascii="Century Gothic" w:hAnsi="Century Gothic"/>
        </w:rPr>
        <w:t xml:space="preserve"> </w:t>
      </w:r>
      <w:r>
        <w:rPr>
          <w:rFonts w:ascii="Century Gothic" w:hAnsi="Century Gothic"/>
        </w:rPr>
        <w:t xml:space="preserve">nella contrattazione sociale </w:t>
      </w:r>
      <w:r w:rsidR="00CC4F4E">
        <w:rPr>
          <w:rFonts w:ascii="Century Gothic" w:hAnsi="Century Gothic"/>
        </w:rPr>
        <w:t xml:space="preserve">del 2014, era completamente assente la voce della violenza contro le donne. </w:t>
      </w:r>
    </w:p>
    <w:p w:rsidR="008B3815" w:rsidRPr="00E221AE" w:rsidRDefault="008B3815" w:rsidP="008B3815">
      <w:pPr>
        <w:autoSpaceDE w:val="0"/>
        <w:autoSpaceDN w:val="0"/>
        <w:adjustRightInd w:val="0"/>
        <w:spacing w:line="240" w:lineRule="auto"/>
        <w:rPr>
          <w:rFonts w:ascii="Century Gothic" w:hAnsi="Century Gothic"/>
          <w:b/>
          <w:sz w:val="28"/>
          <w:szCs w:val="28"/>
        </w:rPr>
      </w:pPr>
      <w:r>
        <w:rPr>
          <w:rFonts w:ascii="Century Gothic" w:hAnsi="Century Gothic"/>
          <w:b/>
          <w:sz w:val="28"/>
          <w:szCs w:val="28"/>
        </w:rPr>
        <w:lastRenderedPageBreak/>
        <w:t>Bibliografia essenziale</w:t>
      </w:r>
    </w:p>
    <w:p w:rsidR="00790CB9" w:rsidRDefault="00790CB9" w:rsidP="009F519A">
      <w:pPr>
        <w:jc w:val="both"/>
        <w:rPr>
          <w:rFonts w:ascii="Century Gothic" w:hAnsi="Century Gothic"/>
        </w:rPr>
      </w:pPr>
    </w:p>
    <w:p w:rsidR="008B3815" w:rsidRPr="00DD20FF" w:rsidRDefault="008B3815" w:rsidP="009F519A">
      <w:pPr>
        <w:jc w:val="both"/>
        <w:rPr>
          <w:rFonts w:ascii="Century Gothic" w:hAnsi="Century Gothic"/>
        </w:rPr>
      </w:pPr>
      <w:r w:rsidRPr="00DD20FF">
        <w:rPr>
          <w:rFonts w:ascii="Century Gothic" w:hAnsi="Century Gothic"/>
        </w:rPr>
        <w:t>IRES -</w:t>
      </w:r>
      <w:r w:rsidR="004551A1" w:rsidRPr="00DD20FF">
        <w:rPr>
          <w:rFonts w:ascii="Century Gothic" w:hAnsi="Century Gothic"/>
        </w:rPr>
        <w:t xml:space="preserve"> </w:t>
      </w:r>
      <w:r w:rsidRPr="00DD20FF">
        <w:rPr>
          <w:rFonts w:ascii="Century Gothic" w:hAnsi="Century Gothic"/>
        </w:rPr>
        <w:t xml:space="preserve">SPI </w:t>
      </w:r>
      <w:r w:rsidR="00A92D4D" w:rsidRPr="00DD20FF">
        <w:rPr>
          <w:rFonts w:ascii="Century Gothic" w:hAnsi="Century Gothic"/>
        </w:rPr>
        <w:t>CGIL</w:t>
      </w:r>
      <w:r w:rsidR="004551A1" w:rsidRPr="00DD20FF">
        <w:rPr>
          <w:rFonts w:ascii="Century Gothic" w:hAnsi="Century Gothic"/>
        </w:rPr>
        <w:t xml:space="preserve"> </w:t>
      </w:r>
      <w:r w:rsidR="00A92D4D" w:rsidRPr="00DD20FF">
        <w:rPr>
          <w:rFonts w:ascii="Century Gothic" w:hAnsi="Century Gothic"/>
        </w:rPr>
        <w:t>–</w:t>
      </w:r>
      <w:r w:rsidR="004551A1" w:rsidRPr="00DD20FF">
        <w:rPr>
          <w:rFonts w:ascii="Century Gothic" w:hAnsi="Century Gothic"/>
        </w:rPr>
        <w:t xml:space="preserve"> </w:t>
      </w:r>
      <w:r w:rsidR="00A92D4D" w:rsidRPr="00DD20FF">
        <w:rPr>
          <w:rFonts w:ascii="Century Gothic" w:hAnsi="Century Gothic"/>
        </w:rPr>
        <w:t xml:space="preserve">CGIL </w:t>
      </w:r>
      <w:r w:rsidRPr="00DD20FF">
        <w:rPr>
          <w:rFonts w:ascii="Century Gothic" w:hAnsi="Century Gothic"/>
        </w:rPr>
        <w:t>(2010)</w:t>
      </w:r>
      <w:r w:rsidR="00DB10A6" w:rsidRPr="00DD20FF">
        <w:rPr>
          <w:rFonts w:ascii="Century Gothic" w:hAnsi="Century Gothic"/>
        </w:rPr>
        <w:t>,</w:t>
      </w:r>
      <w:r w:rsidRPr="00DD20FF">
        <w:rPr>
          <w:rFonts w:ascii="Century Gothic" w:hAnsi="Century Gothic"/>
        </w:rPr>
        <w:t xml:space="preserve"> </w:t>
      </w:r>
      <w:r w:rsidRPr="00DD20FF">
        <w:rPr>
          <w:rFonts w:ascii="Century Gothic" w:hAnsi="Century Gothic"/>
          <w:i/>
        </w:rPr>
        <w:t xml:space="preserve">Primo </w:t>
      </w:r>
      <w:r w:rsidR="00B50176" w:rsidRPr="00DD20FF">
        <w:rPr>
          <w:rFonts w:ascii="Century Gothic" w:hAnsi="Century Gothic"/>
          <w:i/>
        </w:rPr>
        <w:t>r</w:t>
      </w:r>
      <w:r w:rsidRPr="00DD20FF">
        <w:rPr>
          <w:rFonts w:ascii="Century Gothic" w:hAnsi="Century Gothic"/>
          <w:i/>
        </w:rPr>
        <w:t xml:space="preserve">apporto sulla </w:t>
      </w:r>
      <w:r w:rsidR="00B50176" w:rsidRPr="00DD20FF">
        <w:rPr>
          <w:rFonts w:ascii="Century Gothic" w:hAnsi="Century Gothic"/>
          <w:i/>
        </w:rPr>
        <w:t>c</w:t>
      </w:r>
      <w:r w:rsidRPr="00DD20FF">
        <w:rPr>
          <w:rFonts w:ascii="Century Gothic" w:hAnsi="Century Gothic"/>
          <w:i/>
        </w:rPr>
        <w:t xml:space="preserve">ontrattazione </w:t>
      </w:r>
      <w:r w:rsidR="00B50176" w:rsidRPr="00DD20FF">
        <w:rPr>
          <w:rFonts w:ascii="Century Gothic" w:hAnsi="Century Gothic"/>
          <w:i/>
        </w:rPr>
        <w:t>s</w:t>
      </w:r>
      <w:r w:rsidRPr="00DD20FF">
        <w:rPr>
          <w:rFonts w:ascii="Century Gothic" w:hAnsi="Century Gothic"/>
          <w:i/>
        </w:rPr>
        <w:t xml:space="preserve">ociale </w:t>
      </w:r>
      <w:r w:rsidR="00B50176" w:rsidRPr="00DD20FF">
        <w:rPr>
          <w:rFonts w:ascii="Century Gothic" w:hAnsi="Century Gothic"/>
          <w:i/>
        </w:rPr>
        <w:t>t</w:t>
      </w:r>
      <w:r w:rsidRPr="00DD20FF">
        <w:rPr>
          <w:rFonts w:ascii="Century Gothic" w:hAnsi="Century Gothic"/>
          <w:i/>
        </w:rPr>
        <w:t>erritoriale</w:t>
      </w:r>
      <w:r w:rsidRPr="00DD20FF">
        <w:rPr>
          <w:rFonts w:ascii="Century Gothic" w:hAnsi="Century Gothic"/>
        </w:rPr>
        <w:t>, Roma.</w:t>
      </w:r>
    </w:p>
    <w:p w:rsidR="008B3815" w:rsidRPr="00DD20FF" w:rsidRDefault="00A92D4D" w:rsidP="009F519A">
      <w:pPr>
        <w:jc w:val="both"/>
        <w:rPr>
          <w:rFonts w:ascii="Century Gothic" w:hAnsi="Century Gothic"/>
        </w:rPr>
      </w:pPr>
      <w:r w:rsidRPr="00DD20FF">
        <w:rPr>
          <w:rFonts w:ascii="Century Gothic" w:hAnsi="Century Gothic"/>
        </w:rPr>
        <w:t xml:space="preserve">IRES - SPI CGIL – CGIL </w:t>
      </w:r>
      <w:r w:rsidR="008B3815" w:rsidRPr="00DD20FF">
        <w:rPr>
          <w:rFonts w:ascii="Century Gothic" w:hAnsi="Century Gothic"/>
        </w:rPr>
        <w:t>(2011)</w:t>
      </w:r>
      <w:r w:rsidR="00DB10A6" w:rsidRPr="00DD20FF">
        <w:rPr>
          <w:rFonts w:ascii="Century Gothic" w:hAnsi="Century Gothic"/>
        </w:rPr>
        <w:t>,</w:t>
      </w:r>
      <w:r w:rsidR="008B3815" w:rsidRPr="00DD20FF">
        <w:rPr>
          <w:rFonts w:ascii="Century Gothic" w:hAnsi="Century Gothic"/>
        </w:rPr>
        <w:t xml:space="preserve"> </w:t>
      </w:r>
      <w:r w:rsidR="008B3815" w:rsidRPr="00DD20FF">
        <w:rPr>
          <w:rFonts w:ascii="Century Gothic" w:hAnsi="Century Gothic"/>
          <w:i/>
        </w:rPr>
        <w:t xml:space="preserve">Secondo </w:t>
      </w:r>
      <w:r w:rsidR="00B50176" w:rsidRPr="00DD20FF">
        <w:rPr>
          <w:rFonts w:ascii="Century Gothic" w:hAnsi="Century Gothic"/>
          <w:i/>
        </w:rPr>
        <w:t>r</w:t>
      </w:r>
      <w:r w:rsidR="008B3815" w:rsidRPr="00DD20FF">
        <w:rPr>
          <w:rFonts w:ascii="Century Gothic" w:hAnsi="Century Gothic"/>
          <w:i/>
        </w:rPr>
        <w:t xml:space="preserve">apporto sulla </w:t>
      </w:r>
      <w:r w:rsidR="00B50176" w:rsidRPr="00DD20FF">
        <w:rPr>
          <w:rFonts w:ascii="Century Gothic" w:hAnsi="Century Gothic"/>
          <w:i/>
        </w:rPr>
        <w:t>c</w:t>
      </w:r>
      <w:r w:rsidR="008B3815" w:rsidRPr="00DD20FF">
        <w:rPr>
          <w:rFonts w:ascii="Century Gothic" w:hAnsi="Century Gothic"/>
          <w:i/>
        </w:rPr>
        <w:t xml:space="preserve">ontrattazione </w:t>
      </w:r>
      <w:r w:rsidR="00B50176" w:rsidRPr="00DD20FF">
        <w:rPr>
          <w:rFonts w:ascii="Century Gothic" w:hAnsi="Century Gothic"/>
          <w:i/>
        </w:rPr>
        <w:t>s</w:t>
      </w:r>
      <w:r w:rsidR="008B3815" w:rsidRPr="00DD20FF">
        <w:rPr>
          <w:rFonts w:ascii="Century Gothic" w:hAnsi="Century Gothic"/>
          <w:i/>
        </w:rPr>
        <w:t xml:space="preserve">ociale </w:t>
      </w:r>
      <w:r w:rsidR="00B50176" w:rsidRPr="00DD20FF">
        <w:rPr>
          <w:rFonts w:ascii="Century Gothic" w:hAnsi="Century Gothic"/>
          <w:i/>
        </w:rPr>
        <w:t>t</w:t>
      </w:r>
      <w:r w:rsidR="008B3815" w:rsidRPr="00DD20FF">
        <w:rPr>
          <w:rFonts w:ascii="Century Gothic" w:hAnsi="Century Gothic"/>
          <w:i/>
        </w:rPr>
        <w:t>erritoriale</w:t>
      </w:r>
      <w:r w:rsidR="008B3815" w:rsidRPr="00DD20FF">
        <w:rPr>
          <w:rFonts w:ascii="Century Gothic" w:hAnsi="Century Gothic"/>
        </w:rPr>
        <w:t>, Roma.</w:t>
      </w:r>
    </w:p>
    <w:p w:rsidR="008B3815" w:rsidRPr="00DD20FF" w:rsidRDefault="00A92D4D" w:rsidP="009F519A">
      <w:pPr>
        <w:jc w:val="both"/>
        <w:rPr>
          <w:rFonts w:ascii="Century Gothic" w:hAnsi="Century Gothic"/>
        </w:rPr>
      </w:pPr>
      <w:r w:rsidRPr="00DD20FF">
        <w:rPr>
          <w:rFonts w:ascii="Century Gothic" w:hAnsi="Century Gothic"/>
        </w:rPr>
        <w:t xml:space="preserve">IRES - SPI CGIL – CGIL </w:t>
      </w:r>
      <w:r w:rsidR="008B3815" w:rsidRPr="00DD20FF">
        <w:rPr>
          <w:rFonts w:ascii="Century Gothic" w:hAnsi="Century Gothic"/>
        </w:rPr>
        <w:t>(2012)</w:t>
      </w:r>
      <w:r w:rsidR="00DB10A6" w:rsidRPr="00DD20FF">
        <w:rPr>
          <w:rFonts w:ascii="Century Gothic" w:hAnsi="Century Gothic"/>
        </w:rPr>
        <w:t>,</w:t>
      </w:r>
      <w:r w:rsidR="008B3815" w:rsidRPr="00DD20FF">
        <w:rPr>
          <w:rFonts w:ascii="Century Gothic" w:hAnsi="Century Gothic"/>
        </w:rPr>
        <w:t xml:space="preserve"> </w:t>
      </w:r>
      <w:r w:rsidR="008B3815" w:rsidRPr="00DD20FF">
        <w:rPr>
          <w:rFonts w:ascii="Century Gothic" w:hAnsi="Century Gothic"/>
          <w:i/>
        </w:rPr>
        <w:t xml:space="preserve">Terzo </w:t>
      </w:r>
      <w:r w:rsidR="00B50176" w:rsidRPr="00DD20FF">
        <w:rPr>
          <w:rFonts w:ascii="Century Gothic" w:hAnsi="Century Gothic"/>
          <w:i/>
        </w:rPr>
        <w:t>r</w:t>
      </w:r>
      <w:r w:rsidR="008B3815" w:rsidRPr="00DD20FF">
        <w:rPr>
          <w:rFonts w:ascii="Century Gothic" w:hAnsi="Century Gothic"/>
          <w:i/>
        </w:rPr>
        <w:t xml:space="preserve">apporto sulla </w:t>
      </w:r>
      <w:r w:rsidR="00B50176" w:rsidRPr="00DD20FF">
        <w:rPr>
          <w:rFonts w:ascii="Century Gothic" w:hAnsi="Century Gothic"/>
          <w:i/>
        </w:rPr>
        <w:t>c</w:t>
      </w:r>
      <w:r w:rsidR="008B3815" w:rsidRPr="00DD20FF">
        <w:rPr>
          <w:rFonts w:ascii="Century Gothic" w:hAnsi="Century Gothic"/>
          <w:i/>
        </w:rPr>
        <w:t xml:space="preserve">ontrattazione </w:t>
      </w:r>
      <w:r w:rsidR="00B50176" w:rsidRPr="00DD20FF">
        <w:rPr>
          <w:rFonts w:ascii="Century Gothic" w:hAnsi="Century Gothic"/>
          <w:i/>
        </w:rPr>
        <w:t>s</w:t>
      </w:r>
      <w:r w:rsidR="008B3815" w:rsidRPr="00DD20FF">
        <w:rPr>
          <w:rFonts w:ascii="Century Gothic" w:hAnsi="Century Gothic"/>
          <w:i/>
        </w:rPr>
        <w:t xml:space="preserve">ociale </w:t>
      </w:r>
      <w:r w:rsidR="00B50176" w:rsidRPr="00DD20FF">
        <w:rPr>
          <w:rFonts w:ascii="Century Gothic" w:hAnsi="Century Gothic"/>
          <w:i/>
        </w:rPr>
        <w:t>t</w:t>
      </w:r>
      <w:r w:rsidR="008B3815" w:rsidRPr="00DD20FF">
        <w:rPr>
          <w:rFonts w:ascii="Century Gothic" w:hAnsi="Century Gothic"/>
          <w:i/>
        </w:rPr>
        <w:t>erritoriale</w:t>
      </w:r>
      <w:r w:rsidR="008B3815" w:rsidRPr="00DD20FF">
        <w:rPr>
          <w:rFonts w:ascii="Century Gothic" w:hAnsi="Century Gothic"/>
        </w:rPr>
        <w:t>, Roma.</w:t>
      </w:r>
    </w:p>
    <w:p w:rsidR="008B3815" w:rsidRPr="00DD20FF" w:rsidRDefault="00A92D4D" w:rsidP="009F519A">
      <w:pPr>
        <w:jc w:val="both"/>
        <w:rPr>
          <w:rFonts w:ascii="Century Gothic" w:hAnsi="Century Gothic"/>
        </w:rPr>
      </w:pPr>
      <w:r w:rsidRPr="00DD20FF">
        <w:rPr>
          <w:rFonts w:ascii="Century Gothic" w:hAnsi="Century Gothic"/>
        </w:rPr>
        <w:t xml:space="preserve">IRES - SPI CGIL – CGIL </w:t>
      </w:r>
      <w:r w:rsidR="008B3815" w:rsidRPr="00DD20FF">
        <w:rPr>
          <w:rFonts w:ascii="Century Gothic" w:hAnsi="Century Gothic"/>
        </w:rPr>
        <w:t>(2013)</w:t>
      </w:r>
      <w:r w:rsidR="00DB10A6" w:rsidRPr="00DD20FF">
        <w:rPr>
          <w:rFonts w:ascii="Century Gothic" w:hAnsi="Century Gothic"/>
        </w:rPr>
        <w:t>,</w:t>
      </w:r>
      <w:r w:rsidR="008B3815" w:rsidRPr="00DD20FF">
        <w:rPr>
          <w:rFonts w:ascii="Century Gothic" w:hAnsi="Century Gothic"/>
        </w:rPr>
        <w:t xml:space="preserve"> </w:t>
      </w:r>
      <w:r w:rsidR="008B3815" w:rsidRPr="00DD20FF">
        <w:rPr>
          <w:rFonts w:ascii="Century Gothic" w:hAnsi="Century Gothic"/>
          <w:i/>
        </w:rPr>
        <w:t xml:space="preserve">Quarto </w:t>
      </w:r>
      <w:r w:rsidR="00B50176" w:rsidRPr="00DD20FF">
        <w:rPr>
          <w:rFonts w:ascii="Century Gothic" w:hAnsi="Century Gothic"/>
          <w:i/>
        </w:rPr>
        <w:t>r</w:t>
      </w:r>
      <w:r w:rsidR="008B3815" w:rsidRPr="00DD20FF">
        <w:rPr>
          <w:rFonts w:ascii="Century Gothic" w:hAnsi="Century Gothic"/>
          <w:i/>
        </w:rPr>
        <w:t xml:space="preserve">apporto sulla </w:t>
      </w:r>
      <w:r w:rsidR="00B50176" w:rsidRPr="00DD20FF">
        <w:rPr>
          <w:rFonts w:ascii="Century Gothic" w:hAnsi="Century Gothic"/>
          <w:i/>
        </w:rPr>
        <w:t>c</w:t>
      </w:r>
      <w:r w:rsidR="008B3815" w:rsidRPr="00DD20FF">
        <w:rPr>
          <w:rFonts w:ascii="Century Gothic" w:hAnsi="Century Gothic"/>
          <w:i/>
        </w:rPr>
        <w:t xml:space="preserve">ontrattazione </w:t>
      </w:r>
      <w:r w:rsidR="00B50176" w:rsidRPr="00DD20FF">
        <w:rPr>
          <w:rFonts w:ascii="Century Gothic" w:hAnsi="Century Gothic"/>
          <w:i/>
        </w:rPr>
        <w:t>s</w:t>
      </w:r>
      <w:r w:rsidR="008B3815" w:rsidRPr="00DD20FF">
        <w:rPr>
          <w:rFonts w:ascii="Century Gothic" w:hAnsi="Century Gothic"/>
          <w:i/>
        </w:rPr>
        <w:t xml:space="preserve">ociale </w:t>
      </w:r>
      <w:r w:rsidR="00B50176" w:rsidRPr="00DD20FF">
        <w:rPr>
          <w:rFonts w:ascii="Century Gothic" w:hAnsi="Century Gothic"/>
          <w:i/>
        </w:rPr>
        <w:t>t</w:t>
      </w:r>
      <w:r w:rsidR="008B3815" w:rsidRPr="00DD20FF">
        <w:rPr>
          <w:rFonts w:ascii="Century Gothic" w:hAnsi="Century Gothic"/>
          <w:i/>
        </w:rPr>
        <w:t>erritoriale</w:t>
      </w:r>
      <w:r w:rsidR="008B3815" w:rsidRPr="00DD20FF">
        <w:rPr>
          <w:rFonts w:ascii="Century Gothic" w:hAnsi="Century Gothic"/>
        </w:rPr>
        <w:t>, Roma.</w:t>
      </w:r>
    </w:p>
    <w:p w:rsidR="008B3815" w:rsidRDefault="00A92D4D" w:rsidP="009F519A">
      <w:pPr>
        <w:jc w:val="both"/>
        <w:rPr>
          <w:rFonts w:ascii="Century Gothic" w:hAnsi="Century Gothic"/>
        </w:rPr>
      </w:pPr>
      <w:r w:rsidRPr="00DD20FF">
        <w:rPr>
          <w:rFonts w:ascii="Century Gothic" w:hAnsi="Century Gothic"/>
        </w:rPr>
        <w:t xml:space="preserve">IRES - SPI CGIL – CGIL </w:t>
      </w:r>
      <w:r w:rsidR="008B3815" w:rsidRPr="00DD20FF">
        <w:rPr>
          <w:rFonts w:ascii="Century Gothic" w:hAnsi="Century Gothic"/>
        </w:rPr>
        <w:t>(2014)</w:t>
      </w:r>
      <w:r w:rsidR="00DB10A6" w:rsidRPr="00DD20FF">
        <w:rPr>
          <w:rFonts w:ascii="Century Gothic" w:hAnsi="Century Gothic"/>
        </w:rPr>
        <w:t>,</w:t>
      </w:r>
      <w:r w:rsidR="008B3815" w:rsidRPr="00DD20FF">
        <w:rPr>
          <w:rFonts w:ascii="Century Gothic" w:hAnsi="Century Gothic"/>
        </w:rPr>
        <w:t xml:space="preserve"> </w:t>
      </w:r>
      <w:r w:rsidR="008B3815" w:rsidRPr="00DD20FF">
        <w:rPr>
          <w:rFonts w:ascii="Century Gothic" w:hAnsi="Century Gothic"/>
          <w:i/>
        </w:rPr>
        <w:t xml:space="preserve">Quinto </w:t>
      </w:r>
      <w:r w:rsidR="00B50176" w:rsidRPr="00DD20FF">
        <w:rPr>
          <w:rFonts w:ascii="Century Gothic" w:hAnsi="Century Gothic"/>
          <w:i/>
        </w:rPr>
        <w:t>r</w:t>
      </w:r>
      <w:r w:rsidR="008B3815" w:rsidRPr="00DD20FF">
        <w:rPr>
          <w:rFonts w:ascii="Century Gothic" w:hAnsi="Century Gothic"/>
          <w:i/>
        </w:rPr>
        <w:t xml:space="preserve">apporto sulla </w:t>
      </w:r>
      <w:r w:rsidR="00B50176" w:rsidRPr="00DD20FF">
        <w:rPr>
          <w:rFonts w:ascii="Century Gothic" w:hAnsi="Century Gothic"/>
          <w:i/>
        </w:rPr>
        <w:t>c</w:t>
      </w:r>
      <w:r w:rsidR="008B3815" w:rsidRPr="00DD20FF">
        <w:rPr>
          <w:rFonts w:ascii="Century Gothic" w:hAnsi="Century Gothic"/>
          <w:i/>
        </w:rPr>
        <w:t xml:space="preserve">ontrattazione </w:t>
      </w:r>
      <w:r w:rsidR="00B50176" w:rsidRPr="00DD20FF">
        <w:rPr>
          <w:rFonts w:ascii="Century Gothic" w:hAnsi="Century Gothic"/>
          <w:i/>
        </w:rPr>
        <w:t>s</w:t>
      </w:r>
      <w:r w:rsidR="008B3815" w:rsidRPr="00DD20FF">
        <w:rPr>
          <w:rFonts w:ascii="Century Gothic" w:hAnsi="Century Gothic"/>
          <w:i/>
        </w:rPr>
        <w:t xml:space="preserve">ociale </w:t>
      </w:r>
      <w:r w:rsidR="00B50176" w:rsidRPr="00DD20FF">
        <w:rPr>
          <w:rFonts w:ascii="Century Gothic" w:hAnsi="Century Gothic"/>
          <w:i/>
        </w:rPr>
        <w:t>t</w:t>
      </w:r>
      <w:r w:rsidR="008B3815" w:rsidRPr="00DD20FF">
        <w:rPr>
          <w:rFonts w:ascii="Century Gothic" w:hAnsi="Century Gothic"/>
          <w:i/>
        </w:rPr>
        <w:t>erritoriale</w:t>
      </w:r>
      <w:r w:rsidR="008B3815" w:rsidRPr="00DD20FF">
        <w:rPr>
          <w:rFonts w:ascii="Century Gothic" w:hAnsi="Century Gothic"/>
        </w:rPr>
        <w:t>, Roma.</w:t>
      </w:r>
    </w:p>
    <w:p w:rsidR="00FA00BB" w:rsidRPr="00DD20FF" w:rsidRDefault="00FA00BB" w:rsidP="00FA00BB">
      <w:pPr>
        <w:jc w:val="both"/>
        <w:rPr>
          <w:rFonts w:ascii="Century Gothic" w:hAnsi="Century Gothic"/>
        </w:rPr>
      </w:pPr>
      <w:r w:rsidRPr="00DD20FF">
        <w:rPr>
          <w:rFonts w:ascii="Century Gothic" w:hAnsi="Century Gothic"/>
        </w:rPr>
        <w:t>IRES - SPI CGIL – CGIL (201</w:t>
      </w:r>
      <w:r>
        <w:rPr>
          <w:rFonts w:ascii="Century Gothic" w:hAnsi="Century Gothic"/>
        </w:rPr>
        <w:t>5</w:t>
      </w:r>
      <w:r w:rsidRPr="00DD20FF">
        <w:rPr>
          <w:rFonts w:ascii="Century Gothic" w:hAnsi="Century Gothic"/>
        </w:rPr>
        <w:t xml:space="preserve">), </w:t>
      </w:r>
      <w:r>
        <w:rPr>
          <w:rFonts w:ascii="Century Gothic" w:hAnsi="Century Gothic"/>
          <w:i/>
        </w:rPr>
        <w:t>Sesto</w:t>
      </w:r>
      <w:r w:rsidRPr="00DD20FF">
        <w:rPr>
          <w:rFonts w:ascii="Century Gothic" w:hAnsi="Century Gothic"/>
          <w:i/>
        </w:rPr>
        <w:t xml:space="preserve"> rapporto sulla contrattazione sociale territoriale</w:t>
      </w:r>
      <w:r w:rsidRPr="00DD20FF">
        <w:rPr>
          <w:rFonts w:ascii="Century Gothic" w:hAnsi="Century Gothic"/>
        </w:rPr>
        <w:t>, Roma.</w:t>
      </w:r>
    </w:p>
    <w:p w:rsidR="005A04C8" w:rsidRPr="00DD20FF" w:rsidRDefault="005A04C8" w:rsidP="005A04C8">
      <w:pPr>
        <w:jc w:val="both"/>
        <w:rPr>
          <w:rFonts w:ascii="Century Gothic" w:hAnsi="Century Gothic"/>
        </w:rPr>
      </w:pPr>
      <w:r w:rsidRPr="00DD20FF">
        <w:rPr>
          <w:rFonts w:ascii="Century Gothic" w:hAnsi="Century Gothic"/>
        </w:rPr>
        <w:t>IRES Toscana</w:t>
      </w:r>
      <w:r w:rsidR="004551A1" w:rsidRPr="00DD20FF">
        <w:rPr>
          <w:rFonts w:ascii="Century Gothic" w:hAnsi="Century Gothic"/>
        </w:rPr>
        <w:t xml:space="preserve"> </w:t>
      </w:r>
      <w:r w:rsidRPr="00DD20FF">
        <w:rPr>
          <w:rFonts w:ascii="Century Gothic" w:hAnsi="Century Gothic"/>
        </w:rPr>
        <w:t>-</w:t>
      </w:r>
      <w:r w:rsidR="004551A1" w:rsidRPr="00DD20FF">
        <w:rPr>
          <w:rFonts w:ascii="Century Gothic" w:hAnsi="Century Gothic"/>
        </w:rPr>
        <w:t xml:space="preserve"> </w:t>
      </w:r>
      <w:r w:rsidR="00A92D4D" w:rsidRPr="00DD20FF">
        <w:rPr>
          <w:rFonts w:ascii="Century Gothic" w:hAnsi="Century Gothic"/>
        </w:rPr>
        <w:t xml:space="preserve">SPI CGIL Toscana </w:t>
      </w:r>
      <w:r w:rsidRPr="00DD20FF">
        <w:rPr>
          <w:rFonts w:ascii="Century Gothic" w:hAnsi="Century Gothic"/>
        </w:rPr>
        <w:t>-</w:t>
      </w:r>
      <w:r w:rsidR="004551A1" w:rsidRPr="00DD20FF">
        <w:rPr>
          <w:rFonts w:ascii="Century Gothic" w:hAnsi="Century Gothic"/>
        </w:rPr>
        <w:t xml:space="preserve"> </w:t>
      </w:r>
      <w:r w:rsidRPr="00DD20FF">
        <w:rPr>
          <w:rFonts w:ascii="Century Gothic" w:hAnsi="Century Gothic"/>
        </w:rPr>
        <w:t>CGIL Toscana</w:t>
      </w:r>
      <w:r w:rsidR="004551A1" w:rsidRPr="00DD20FF">
        <w:rPr>
          <w:rFonts w:ascii="Century Gothic" w:hAnsi="Century Gothic"/>
        </w:rPr>
        <w:t xml:space="preserve"> </w:t>
      </w:r>
      <w:r w:rsidRPr="00DD20FF">
        <w:rPr>
          <w:rFonts w:ascii="Century Gothic" w:hAnsi="Century Gothic"/>
        </w:rPr>
        <w:t>-</w:t>
      </w:r>
      <w:r w:rsidR="004551A1" w:rsidRPr="00DD20FF">
        <w:rPr>
          <w:rFonts w:ascii="Century Gothic" w:hAnsi="Century Gothic"/>
        </w:rPr>
        <w:t xml:space="preserve"> Funzione Pubblica CGIL Toscana </w:t>
      </w:r>
      <w:r w:rsidRPr="00DD20FF">
        <w:rPr>
          <w:rFonts w:ascii="Century Gothic" w:hAnsi="Century Gothic"/>
        </w:rPr>
        <w:t>(2012)</w:t>
      </w:r>
      <w:r w:rsidR="00DB10A6" w:rsidRPr="00DD20FF">
        <w:rPr>
          <w:rFonts w:ascii="Century Gothic" w:hAnsi="Century Gothic"/>
        </w:rPr>
        <w:t>,</w:t>
      </w:r>
      <w:r w:rsidRPr="00DD20FF">
        <w:rPr>
          <w:rFonts w:ascii="Century Gothic" w:hAnsi="Century Gothic"/>
        </w:rPr>
        <w:t xml:space="preserve"> </w:t>
      </w:r>
      <w:r w:rsidRPr="00DD20FF">
        <w:rPr>
          <w:rFonts w:ascii="Century Gothic" w:hAnsi="Century Gothic"/>
          <w:i/>
        </w:rPr>
        <w:t>Benessere in Toscana</w:t>
      </w:r>
      <w:r w:rsidR="00B50176" w:rsidRPr="00DD20FF">
        <w:rPr>
          <w:rFonts w:ascii="Century Gothic" w:hAnsi="Century Gothic"/>
          <w:i/>
        </w:rPr>
        <w:t xml:space="preserve"> </w:t>
      </w:r>
      <w:r w:rsidRPr="00DD20FF">
        <w:rPr>
          <w:rFonts w:ascii="Century Gothic" w:hAnsi="Century Gothic"/>
          <w:i/>
        </w:rPr>
        <w:t>-</w:t>
      </w:r>
      <w:r w:rsidR="00B50176" w:rsidRPr="00DD20FF">
        <w:rPr>
          <w:rFonts w:ascii="Century Gothic" w:hAnsi="Century Gothic"/>
          <w:i/>
        </w:rPr>
        <w:t xml:space="preserve"> </w:t>
      </w:r>
      <w:r w:rsidRPr="00DD20FF">
        <w:rPr>
          <w:rFonts w:ascii="Century Gothic" w:hAnsi="Century Gothic"/>
          <w:i/>
        </w:rPr>
        <w:t xml:space="preserve">La sfida della contrattazione sociale, </w:t>
      </w:r>
      <w:r w:rsidRPr="00DD20FF">
        <w:rPr>
          <w:rFonts w:ascii="Century Gothic" w:hAnsi="Century Gothic"/>
        </w:rPr>
        <w:t>Primo rapporto sulla contrattazione sociale in Toscana triennio 2009-2011.</w:t>
      </w:r>
    </w:p>
    <w:p w:rsidR="005A04C8" w:rsidRPr="00DD20FF" w:rsidRDefault="004551A1" w:rsidP="005A04C8">
      <w:pPr>
        <w:jc w:val="both"/>
        <w:rPr>
          <w:rFonts w:ascii="Century Gothic" w:hAnsi="Century Gothic"/>
        </w:rPr>
      </w:pPr>
      <w:r w:rsidRPr="00DD20FF">
        <w:rPr>
          <w:rFonts w:ascii="Century Gothic" w:hAnsi="Century Gothic"/>
        </w:rPr>
        <w:t xml:space="preserve">IRES Toscana - SPI </w:t>
      </w:r>
      <w:r w:rsidR="00A92D4D" w:rsidRPr="00DD20FF">
        <w:rPr>
          <w:rFonts w:ascii="Century Gothic" w:hAnsi="Century Gothic"/>
        </w:rPr>
        <w:t xml:space="preserve">CGIL </w:t>
      </w:r>
      <w:r w:rsidRPr="00DD20FF">
        <w:rPr>
          <w:rFonts w:ascii="Century Gothic" w:hAnsi="Century Gothic"/>
        </w:rPr>
        <w:t xml:space="preserve">Toscana - CGIL Toscana - Funzione Pubblica CGIL Toscana </w:t>
      </w:r>
      <w:r w:rsidR="005A04C8" w:rsidRPr="00DD20FF">
        <w:rPr>
          <w:rFonts w:ascii="Century Gothic" w:hAnsi="Century Gothic"/>
        </w:rPr>
        <w:t xml:space="preserve">(2013), </w:t>
      </w:r>
      <w:r w:rsidR="005A04C8" w:rsidRPr="00DD20FF">
        <w:rPr>
          <w:rFonts w:ascii="Century Gothic" w:hAnsi="Century Gothic"/>
          <w:i/>
        </w:rPr>
        <w:t>Recuperare equità</w:t>
      </w:r>
      <w:r w:rsidRPr="00DD20FF">
        <w:rPr>
          <w:rFonts w:ascii="Century Gothic" w:hAnsi="Century Gothic"/>
          <w:i/>
        </w:rPr>
        <w:t xml:space="preserve"> </w:t>
      </w:r>
      <w:r w:rsidR="005A04C8" w:rsidRPr="00DD20FF">
        <w:rPr>
          <w:rFonts w:ascii="Century Gothic" w:hAnsi="Century Gothic"/>
          <w:i/>
        </w:rPr>
        <w:t>-</w:t>
      </w:r>
      <w:r w:rsidRPr="00DD20FF">
        <w:rPr>
          <w:rFonts w:ascii="Century Gothic" w:hAnsi="Century Gothic"/>
          <w:i/>
        </w:rPr>
        <w:t xml:space="preserve"> </w:t>
      </w:r>
      <w:r w:rsidR="005A04C8" w:rsidRPr="00DD20FF">
        <w:rPr>
          <w:rFonts w:ascii="Century Gothic" w:hAnsi="Century Gothic"/>
          <w:i/>
        </w:rPr>
        <w:t xml:space="preserve">La contrattazione sociale nella crisi, </w:t>
      </w:r>
      <w:r w:rsidR="005A04C8" w:rsidRPr="00DD20FF">
        <w:rPr>
          <w:rFonts w:ascii="Century Gothic" w:hAnsi="Century Gothic"/>
        </w:rPr>
        <w:t>Secondo rapporto sulla contrattazione sociale in Toscana anno 2012.</w:t>
      </w:r>
    </w:p>
    <w:p w:rsidR="005A04C8" w:rsidRDefault="004551A1" w:rsidP="005A04C8">
      <w:pPr>
        <w:jc w:val="both"/>
        <w:rPr>
          <w:rFonts w:ascii="Century Gothic" w:hAnsi="Century Gothic"/>
        </w:rPr>
      </w:pPr>
      <w:r w:rsidRPr="00DD20FF">
        <w:rPr>
          <w:rFonts w:ascii="Century Gothic" w:hAnsi="Century Gothic"/>
        </w:rPr>
        <w:t xml:space="preserve">IRES Toscana - </w:t>
      </w:r>
      <w:r w:rsidR="00A92D4D" w:rsidRPr="00DD20FF">
        <w:rPr>
          <w:rFonts w:ascii="Century Gothic" w:hAnsi="Century Gothic"/>
        </w:rPr>
        <w:t xml:space="preserve">SPI CGIL Toscana </w:t>
      </w:r>
      <w:r w:rsidRPr="00DD20FF">
        <w:rPr>
          <w:rFonts w:ascii="Century Gothic" w:hAnsi="Century Gothic"/>
        </w:rPr>
        <w:t xml:space="preserve">- CGIL Toscana - Funzione Pubblica CGIL Toscana </w:t>
      </w:r>
      <w:r w:rsidR="005A04C8" w:rsidRPr="00DD20FF">
        <w:rPr>
          <w:rFonts w:ascii="Century Gothic" w:hAnsi="Century Gothic"/>
        </w:rPr>
        <w:t xml:space="preserve">(2014), </w:t>
      </w:r>
      <w:r w:rsidR="005A04C8" w:rsidRPr="00DD20FF">
        <w:rPr>
          <w:rFonts w:ascii="Century Gothic" w:hAnsi="Century Gothic"/>
          <w:i/>
        </w:rPr>
        <w:t>Contrattazione sociale</w:t>
      </w:r>
      <w:r w:rsidRPr="00DD20FF">
        <w:rPr>
          <w:rFonts w:ascii="Century Gothic" w:hAnsi="Century Gothic"/>
          <w:i/>
        </w:rPr>
        <w:t xml:space="preserve"> </w:t>
      </w:r>
      <w:r w:rsidR="005A04C8" w:rsidRPr="00DD20FF">
        <w:rPr>
          <w:rFonts w:ascii="Century Gothic" w:hAnsi="Century Gothic"/>
          <w:i/>
        </w:rPr>
        <w:t>-</w:t>
      </w:r>
      <w:r w:rsidRPr="00DD20FF">
        <w:rPr>
          <w:rFonts w:ascii="Century Gothic" w:hAnsi="Century Gothic"/>
          <w:i/>
        </w:rPr>
        <w:t xml:space="preserve"> </w:t>
      </w:r>
      <w:r w:rsidR="005A04C8" w:rsidRPr="00DD20FF">
        <w:rPr>
          <w:rFonts w:ascii="Century Gothic" w:hAnsi="Century Gothic"/>
          <w:i/>
        </w:rPr>
        <w:t>Una pr</w:t>
      </w:r>
      <w:r w:rsidR="0090759C" w:rsidRPr="00DD20FF">
        <w:rPr>
          <w:rFonts w:ascii="Century Gothic" w:hAnsi="Century Gothic"/>
          <w:i/>
        </w:rPr>
        <w:t>a</w:t>
      </w:r>
      <w:r w:rsidR="005A04C8" w:rsidRPr="00DD20FF">
        <w:rPr>
          <w:rFonts w:ascii="Century Gothic" w:hAnsi="Century Gothic"/>
          <w:i/>
        </w:rPr>
        <w:t xml:space="preserve">tica da valorizzare, </w:t>
      </w:r>
      <w:r w:rsidR="005A04C8" w:rsidRPr="00DD20FF">
        <w:rPr>
          <w:rFonts w:ascii="Century Gothic" w:hAnsi="Century Gothic"/>
        </w:rPr>
        <w:t>Terzo rapporto sulla contrattazione sociale in Toscana anno 2013.</w:t>
      </w:r>
    </w:p>
    <w:p w:rsidR="003D3BA7" w:rsidRPr="00DD20FF" w:rsidRDefault="003D3BA7" w:rsidP="005A04C8">
      <w:pPr>
        <w:jc w:val="both"/>
        <w:rPr>
          <w:rFonts w:ascii="Century Gothic" w:hAnsi="Century Gothic"/>
        </w:rPr>
      </w:pPr>
      <w:r w:rsidRPr="00DD20FF">
        <w:rPr>
          <w:rFonts w:ascii="Century Gothic" w:hAnsi="Century Gothic"/>
        </w:rPr>
        <w:t>IRES Toscana - SPI CGIL Toscana - CGIL Toscana - Funzione Pubblica CGIL Toscana (201</w:t>
      </w:r>
      <w:r>
        <w:rPr>
          <w:rFonts w:ascii="Century Gothic" w:hAnsi="Century Gothic"/>
        </w:rPr>
        <w:t>5</w:t>
      </w:r>
      <w:r w:rsidRPr="00DD20FF">
        <w:rPr>
          <w:rFonts w:ascii="Century Gothic" w:hAnsi="Century Gothic"/>
        </w:rPr>
        <w:t xml:space="preserve">), </w:t>
      </w:r>
      <w:r w:rsidR="00D528E9">
        <w:rPr>
          <w:rFonts w:ascii="Century Gothic" w:hAnsi="Century Gothic"/>
        </w:rPr>
        <w:t>Quarto</w:t>
      </w:r>
      <w:r w:rsidRPr="00DD20FF">
        <w:rPr>
          <w:rFonts w:ascii="Century Gothic" w:hAnsi="Century Gothic"/>
        </w:rPr>
        <w:t xml:space="preserve"> rapporto sulla contrattazione sociale in Toscana anno 201</w:t>
      </w:r>
      <w:r>
        <w:rPr>
          <w:rFonts w:ascii="Century Gothic" w:hAnsi="Century Gothic"/>
        </w:rPr>
        <w:t>4.</w:t>
      </w:r>
    </w:p>
    <w:p w:rsidR="0090759C" w:rsidRPr="00DD20FF" w:rsidRDefault="0090759C" w:rsidP="0090759C">
      <w:pPr>
        <w:jc w:val="both"/>
        <w:rPr>
          <w:rFonts w:ascii="Century Gothic" w:hAnsi="Century Gothic"/>
        </w:rPr>
      </w:pPr>
      <w:r w:rsidRPr="00DD20FF">
        <w:rPr>
          <w:rFonts w:ascii="Century Gothic" w:hAnsi="Century Gothic"/>
        </w:rPr>
        <w:t xml:space="preserve">Minghini C., Rinaldini F., Poggiali F. (2006), </w:t>
      </w:r>
      <w:r w:rsidRPr="00DD20FF">
        <w:rPr>
          <w:rFonts w:ascii="Century Gothic" w:hAnsi="Century Gothic"/>
          <w:i/>
        </w:rPr>
        <w:t xml:space="preserve">La contrattazione territoriale confederale in Emilia Romagna 2002-2005, </w:t>
      </w:r>
      <w:r w:rsidRPr="00DD20FF">
        <w:rPr>
          <w:rFonts w:ascii="Century Gothic" w:hAnsi="Century Gothic"/>
        </w:rPr>
        <w:t>Primo Rapporto a cura di IRES Emilia-Romagna, Bologna.</w:t>
      </w:r>
    </w:p>
    <w:p w:rsidR="005A04C8" w:rsidRPr="00DD20FF" w:rsidRDefault="0090759C" w:rsidP="009F519A">
      <w:pPr>
        <w:jc w:val="both"/>
        <w:rPr>
          <w:rFonts w:ascii="Century Gothic" w:hAnsi="Century Gothic"/>
        </w:rPr>
      </w:pPr>
      <w:r w:rsidRPr="00DD20FF">
        <w:rPr>
          <w:rFonts w:ascii="Century Gothic" w:hAnsi="Century Gothic"/>
        </w:rPr>
        <w:t xml:space="preserve">Minghini </w:t>
      </w:r>
      <w:r w:rsidR="004551A1" w:rsidRPr="00DD20FF">
        <w:rPr>
          <w:rFonts w:ascii="Century Gothic" w:hAnsi="Century Gothic"/>
        </w:rPr>
        <w:t xml:space="preserve">C., Rinaldini. </w:t>
      </w:r>
      <w:r w:rsidRPr="00DD20FF">
        <w:rPr>
          <w:rFonts w:ascii="Century Gothic" w:hAnsi="Century Gothic"/>
        </w:rPr>
        <w:t xml:space="preserve">F. (2009), </w:t>
      </w:r>
      <w:r w:rsidRPr="00DD20FF">
        <w:rPr>
          <w:rFonts w:ascii="Century Gothic" w:hAnsi="Century Gothic"/>
          <w:i/>
        </w:rPr>
        <w:t>La contrattazione territoriale confederale in Emilia-Romagna 2006-2008</w:t>
      </w:r>
      <w:r w:rsidRPr="00DD20FF">
        <w:rPr>
          <w:rFonts w:ascii="Century Gothic" w:hAnsi="Century Gothic"/>
        </w:rPr>
        <w:t>, Secondo Rapporto a cura di IRES Emilia-Romagna, Bologna.</w:t>
      </w:r>
    </w:p>
    <w:sectPr w:rsidR="005A04C8" w:rsidRPr="00DD20FF" w:rsidSect="0090759C">
      <w:footerReference w:type="default" r:id="rId17"/>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1CF" w:rsidRDefault="00F611CF" w:rsidP="00F94C52">
      <w:pPr>
        <w:spacing w:line="240" w:lineRule="auto"/>
      </w:pPr>
      <w:r>
        <w:separator/>
      </w:r>
    </w:p>
  </w:endnote>
  <w:endnote w:type="continuationSeparator" w:id="0">
    <w:p w:rsidR="00F611CF" w:rsidRDefault="00F611CF" w:rsidP="00F94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37"/>
      <w:docPartObj>
        <w:docPartGallery w:val="Page Numbers (Bottom of Page)"/>
        <w:docPartUnique/>
      </w:docPartObj>
    </w:sdtPr>
    <w:sdtEndPr/>
    <w:sdtContent>
      <w:p w:rsidR="0024103A" w:rsidRDefault="00F611CF">
        <w:pPr>
          <w:pStyle w:val="Pidipagina"/>
          <w:jc w:val="right"/>
        </w:pPr>
        <w:r>
          <w:fldChar w:fldCharType="begin"/>
        </w:r>
        <w:r>
          <w:instrText xml:space="preserve"> PAGE   \* MERGEFORMAT </w:instrText>
        </w:r>
        <w:r>
          <w:fldChar w:fldCharType="separate"/>
        </w:r>
        <w:r w:rsidR="004E3D4C">
          <w:rPr>
            <w:noProof/>
          </w:rPr>
          <w:t>1</w:t>
        </w:r>
        <w:r>
          <w:rPr>
            <w:noProof/>
          </w:rPr>
          <w:fldChar w:fldCharType="end"/>
        </w:r>
      </w:p>
    </w:sdtContent>
  </w:sdt>
  <w:p w:rsidR="0024103A" w:rsidRDefault="002410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1CF" w:rsidRDefault="00F611CF" w:rsidP="00F94C52">
      <w:pPr>
        <w:spacing w:line="240" w:lineRule="auto"/>
      </w:pPr>
      <w:r>
        <w:separator/>
      </w:r>
    </w:p>
  </w:footnote>
  <w:footnote w:type="continuationSeparator" w:id="0">
    <w:p w:rsidR="00F611CF" w:rsidRDefault="00F611CF" w:rsidP="00F94C52">
      <w:pPr>
        <w:spacing w:line="240" w:lineRule="auto"/>
      </w:pPr>
      <w:r>
        <w:continuationSeparator/>
      </w:r>
    </w:p>
  </w:footnote>
  <w:footnote w:id="1">
    <w:p w:rsidR="0024103A" w:rsidRPr="00DD20FF" w:rsidRDefault="0024103A" w:rsidP="00AA5087">
      <w:pPr>
        <w:jc w:val="both"/>
        <w:rPr>
          <w:rFonts w:ascii="Century Gothic" w:hAnsi="Century Gothic"/>
        </w:rPr>
      </w:pPr>
      <w:r>
        <w:rPr>
          <w:rStyle w:val="Rimandonotaapidipagina"/>
        </w:rPr>
        <w:footnoteRef/>
      </w:r>
      <w:r>
        <w:t xml:space="preserve"> </w:t>
      </w:r>
      <w:r w:rsidRPr="00AA5087">
        <w:rPr>
          <w:rFonts w:ascii="Century Gothic" w:hAnsi="Century Gothic"/>
          <w:sz w:val="18"/>
          <w:szCs w:val="18"/>
        </w:rPr>
        <w:t xml:space="preserve">Minghini C., Rinaldini. F. (2009), </w:t>
      </w:r>
      <w:r w:rsidRPr="00AA5087">
        <w:rPr>
          <w:rFonts w:ascii="Century Gothic" w:hAnsi="Century Gothic"/>
          <w:i/>
          <w:sz w:val="18"/>
          <w:szCs w:val="18"/>
        </w:rPr>
        <w:t>La contrattazione territoriale confederale in Emilia-Romagna 2006-2008</w:t>
      </w:r>
      <w:r w:rsidRPr="00AA5087">
        <w:rPr>
          <w:rFonts w:ascii="Century Gothic" w:hAnsi="Century Gothic"/>
          <w:sz w:val="18"/>
          <w:szCs w:val="18"/>
        </w:rPr>
        <w:t>, Secondo Rapporto a cura di IRES Emilia-Romagna, Bologna</w:t>
      </w:r>
      <w:r>
        <w:rPr>
          <w:rFonts w:ascii="Century Gothic" w:hAnsi="Century Gothic"/>
          <w:sz w:val="18"/>
          <w:szCs w:val="18"/>
        </w:rPr>
        <w:t>, pag.45</w:t>
      </w:r>
      <w:r w:rsidRPr="00DD20FF">
        <w:rPr>
          <w:rFonts w:ascii="Century Gothic" w:hAnsi="Century Gothic"/>
        </w:rPr>
        <w:t>.</w:t>
      </w:r>
    </w:p>
    <w:p w:rsidR="0024103A" w:rsidRDefault="0024103A">
      <w:pPr>
        <w:pStyle w:val="Testonotaapidipagina"/>
      </w:pPr>
    </w:p>
  </w:footnote>
  <w:footnote w:id="2">
    <w:p w:rsidR="0024103A" w:rsidRPr="007222B5" w:rsidRDefault="0024103A" w:rsidP="008B3815">
      <w:pPr>
        <w:pStyle w:val="Testonotaapidipagina"/>
        <w:jc w:val="both"/>
        <w:rPr>
          <w:rFonts w:ascii="Century Gothic" w:hAnsi="Century Gothic"/>
        </w:rPr>
      </w:pPr>
      <w:r>
        <w:rPr>
          <w:rStyle w:val="Rimandonotaapidipagina"/>
        </w:rPr>
        <w:footnoteRef/>
      </w:r>
      <w:r>
        <w:t xml:space="preserve"> </w:t>
      </w:r>
      <w:r w:rsidRPr="00297CCC">
        <w:rPr>
          <w:rFonts w:ascii="Century Gothic" w:hAnsi="Century Gothic"/>
          <w:sz w:val="18"/>
          <w:szCs w:val="18"/>
        </w:rPr>
        <w:t xml:space="preserve">IRES - SPI CGIL – CGIL (2011), </w:t>
      </w:r>
      <w:r w:rsidRPr="00297CCC">
        <w:rPr>
          <w:rFonts w:ascii="Century Gothic" w:hAnsi="Century Gothic"/>
          <w:i/>
          <w:sz w:val="18"/>
          <w:szCs w:val="18"/>
        </w:rPr>
        <w:t>Secondo rapporto sulla contrattazione sociale territoriale</w:t>
      </w:r>
      <w:r w:rsidRPr="00297CCC">
        <w:rPr>
          <w:rFonts w:ascii="Century Gothic" w:hAnsi="Century Gothic"/>
          <w:sz w:val="18"/>
          <w:szCs w:val="18"/>
        </w:rPr>
        <w:t>, Roma</w:t>
      </w:r>
      <w:r>
        <w:rPr>
          <w:rFonts w:ascii="Century Gothic" w:hAnsi="Century Gothic"/>
          <w:sz w:val="18"/>
          <w:szCs w:val="18"/>
        </w:rPr>
        <w:t>, pag.20</w:t>
      </w:r>
      <w:r>
        <w:rPr>
          <w:rFonts w:ascii="Century Gothic" w:hAnsi="Century Gothic"/>
        </w:rPr>
        <w:t xml:space="preserve">. </w:t>
      </w:r>
    </w:p>
  </w:footnote>
  <w:footnote w:id="3">
    <w:p w:rsidR="0024103A" w:rsidRDefault="0024103A" w:rsidP="00BF46B2">
      <w:pPr>
        <w:pStyle w:val="Testonotaapidipagina"/>
        <w:jc w:val="both"/>
      </w:pPr>
      <w:r>
        <w:rPr>
          <w:rStyle w:val="Rimandonotaapidipagina"/>
        </w:rPr>
        <w:footnoteRef/>
      </w:r>
      <w:r>
        <w:t xml:space="preserve"> </w:t>
      </w:r>
      <w:r w:rsidRPr="00BF46B2">
        <w:rPr>
          <w:rFonts w:ascii="Century Gothic" w:hAnsi="Century Gothic"/>
          <w:sz w:val="18"/>
          <w:szCs w:val="18"/>
        </w:rPr>
        <w:t>Nel 2013, in un contesto di riorganizzazione della sanità e delle aree vaste, i sindacati sentirono l’obbligo di farsi portatori degli interessi dei cittadini e di avere un ruolo sempre più attivo anche in questo ambito.</w:t>
      </w:r>
    </w:p>
  </w:footnote>
  <w:footnote w:id="4">
    <w:p w:rsidR="0024103A" w:rsidRDefault="0024103A" w:rsidP="003350CC">
      <w:pPr>
        <w:pStyle w:val="Testonotaapidipagina"/>
      </w:pPr>
      <w:r>
        <w:rPr>
          <w:rStyle w:val="Rimandonotaapidipagina"/>
        </w:rPr>
        <w:footnoteRef/>
      </w:r>
      <w:r>
        <w:t xml:space="preserve"> </w:t>
      </w:r>
      <w:r w:rsidRPr="00F20B1B">
        <w:rPr>
          <w:rFonts w:ascii="Century Gothic" w:hAnsi="Century Gothic"/>
          <w:sz w:val="18"/>
          <w:szCs w:val="18"/>
        </w:rPr>
        <w:t>La definizione di accordo nelle sue varie accezioni e definizioni è trattata nel capitolo 1, in particolare nel paragrafo 1.2.</w:t>
      </w:r>
    </w:p>
  </w:footnote>
  <w:footnote w:id="5">
    <w:p w:rsidR="0024103A" w:rsidRPr="00DE5AA4" w:rsidRDefault="0024103A" w:rsidP="00256008">
      <w:pPr>
        <w:pStyle w:val="Testonotaapidipagina"/>
        <w:rPr>
          <w:rFonts w:ascii="Century Gothic" w:hAnsi="Century Gothic"/>
          <w:sz w:val="18"/>
          <w:szCs w:val="18"/>
        </w:rPr>
      </w:pPr>
      <w:r>
        <w:rPr>
          <w:rStyle w:val="Rimandonotaapidipagina"/>
        </w:rPr>
        <w:footnoteRef/>
      </w:r>
      <w:r>
        <w:t xml:space="preserve"> </w:t>
      </w:r>
      <w:r w:rsidRPr="008B3815">
        <w:rPr>
          <w:rFonts w:ascii="Century Gothic" w:hAnsi="Century Gothic"/>
          <w:sz w:val="18"/>
          <w:szCs w:val="18"/>
        </w:rPr>
        <w:t>La parte più strettamente di contenuto è affrontata nel paragrafo 3.5. “Una panoramica dei territori”.</w:t>
      </w:r>
      <w:r w:rsidRPr="00DE5AA4">
        <w:rPr>
          <w:rFonts w:ascii="Century Gothic" w:hAnsi="Century Gothic"/>
          <w:sz w:val="18"/>
          <w:szCs w:val="18"/>
        </w:rPr>
        <w:t xml:space="preserve"> </w:t>
      </w:r>
    </w:p>
  </w:footnote>
  <w:footnote w:id="6">
    <w:p w:rsidR="0024103A" w:rsidRPr="00267675" w:rsidRDefault="0024103A" w:rsidP="00FA00BB">
      <w:pPr>
        <w:jc w:val="both"/>
        <w:rPr>
          <w:rFonts w:ascii="Century Gothic" w:hAnsi="Century Gothic"/>
        </w:rPr>
      </w:pPr>
      <w:r>
        <w:rPr>
          <w:rStyle w:val="Rimandonotaapidipagina"/>
        </w:rPr>
        <w:footnoteRef/>
      </w:r>
      <w:r>
        <w:t xml:space="preserve"> </w:t>
      </w:r>
      <w:r w:rsidRPr="00FA00BB">
        <w:rPr>
          <w:rFonts w:ascii="Century Gothic" w:hAnsi="Century Gothic"/>
          <w:sz w:val="18"/>
          <w:szCs w:val="18"/>
        </w:rPr>
        <w:t xml:space="preserve">IRES - SPI CGIL – CGIL (2015), </w:t>
      </w:r>
      <w:r w:rsidRPr="00FA00BB">
        <w:rPr>
          <w:rFonts w:ascii="Century Gothic" w:hAnsi="Century Gothic"/>
          <w:i/>
          <w:sz w:val="18"/>
          <w:szCs w:val="18"/>
        </w:rPr>
        <w:t>Sesto rapporto sulla contrattazione sociale territoriale</w:t>
      </w:r>
      <w:r w:rsidRPr="00FA00BB">
        <w:rPr>
          <w:rFonts w:ascii="Century Gothic" w:hAnsi="Century Gothic"/>
          <w:sz w:val="18"/>
          <w:szCs w:val="18"/>
        </w:rPr>
        <w:t>, Roma.</w:t>
      </w:r>
      <w:r>
        <w:rPr>
          <w:rFonts w:ascii="Century Gothic" w:hAnsi="Century Gothic"/>
          <w:sz w:val="18"/>
          <w:szCs w:val="18"/>
        </w:rPr>
        <w:t xml:space="preserve"> Sono citati i dati i dell’ultimo rapporto Istat disponibile su questo argomento Istat, </w:t>
      </w:r>
      <w:r w:rsidRPr="00FA00BB">
        <w:rPr>
          <w:rFonts w:ascii="Century Gothic" w:hAnsi="Century Gothic"/>
          <w:i/>
          <w:sz w:val="18"/>
          <w:szCs w:val="18"/>
        </w:rPr>
        <w:t>L’offerta comunale di asili nido e altri servizi socio-educativi per la prima infanzia. Anno scolastico 2012/2013</w:t>
      </w:r>
      <w:r>
        <w:rPr>
          <w:rFonts w:ascii="Century Gothic" w:hAnsi="Century Gothic"/>
          <w:sz w:val="18"/>
          <w:szCs w:val="18"/>
        </w:rPr>
        <w:t xml:space="preserve">, consultabile a </w:t>
      </w:r>
      <w:hyperlink r:id="rId1" w:history="1">
        <w:r w:rsidRPr="004844C7">
          <w:rPr>
            <w:rStyle w:val="Collegamentoipertestuale"/>
            <w:rFonts w:ascii="Century Gothic" w:hAnsi="Century Gothic"/>
            <w:sz w:val="18"/>
            <w:szCs w:val="18"/>
          </w:rPr>
          <w:t>http://www.istat.it/it/archivio/129403</w:t>
        </w:r>
      </w:hyperlink>
      <w:r>
        <w:rPr>
          <w:rFonts w:ascii="Century Gothic" w:hAnsi="Century Gothic"/>
          <w:sz w:val="18"/>
          <w:szCs w:val="18"/>
        </w:rPr>
        <w:t xml:space="preserve"> .</w:t>
      </w:r>
    </w:p>
    <w:p w:rsidR="0024103A" w:rsidRDefault="0024103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190919C4"/>
    <w:multiLevelType w:val="hybridMultilevel"/>
    <w:tmpl w:val="3A2AA5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400E7B"/>
    <w:multiLevelType w:val="multilevel"/>
    <w:tmpl w:val="760E649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3939E9"/>
    <w:multiLevelType w:val="hybridMultilevel"/>
    <w:tmpl w:val="D31C4FEA"/>
    <w:lvl w:ilvl="0" w:tplc="E7AC5D1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8D936CD"/>
    <w:multiLevelType w:val="multilevel"/>
    <w:tmpl w:val="4A5867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52"/>
    <w:rsid w:val="000008D4"/>
    <w:rsid w:val="00002942"/>
    <w:rsid w:val="00006DFD"/>
    <w:rsid w:val="00020729"/>
    <w:rsid w:val="00022C8D"/>
    <w:rsid w:val="00030DED"/>
    <w:rsid w:val="000343EB"/>
    <w:rsid w:val="00034574"/>
    <w:rsid w:val="000430E2"/>
    <w:rsid w:val="00045BE6"/>
    <w:rsid w:val="00050F5E"/>
    <w:rsid w:val="00053F0D"/>
    <w:rsid w:val="000571F9"/>
    <w:rsid w:val="00062F70"/>
    <w:rsid w:val="0007004F"/>
    <w:rsid w:val="00076DEF"/>
    <w:rsid w:val="0007703A"/>
    <w:rsid w:val="00077156"/>
    <w:rsid w:val="00077955"/>
    <w:rsid w:val="000800CA"/>
    <w:rsid w:val="000855B2"/>
    <w:rsid w:val="00086ACC"/>
    <w:rsid w:val="00087350"/>
    <w:rsid w:val="00090FA4"/>
    <w:rsid w:val="00095A02"/>
    <w:rsid w:val="00096149"/>
    <w:rsid w:val="0009728E"/>
    <w:rsid w:val="000A1F50"/>
    <w:rsid w:val="000A5F46"/>
    <w:rsid w:val="000B2D6E"/>
    <w:rsid w:val="000B37F3"/>
    <w:rsid w:val="000B5B1D"/>
    <w:rsid w:val="000B5DEF"/>
    <w:rsid w:val="000B7E70"/>
    <w:rsid w:val="000C7845"/>
    <w:rsid w:val="000D0404"/>
    <w:rsid w:val="000D1168"/>
    <w:rsid w:val="000D248C"/>
    <w:rsid w:val="000D3880"/>
    <w:rsid w:val="000D77CA"/>
    <w:rsid w:val="000E26EB"/>
    <w:rsid w:val="000E51F4"/>
    <w:rsid w:val="000E5521"/>
    <w:rsid w:val="000E6CB4"/>
    <w:rsid w:val="000F3B7A"/>
    <w:rsid w:val="000F4C7F"/>
    <w:rsid w:val="000F7E2C"/>
    <w:rsid w:val="00102493"/>
    <w:rsid w:val="00103EC9"/>
    <w:rsid w:val="00104E29"/>
    <w:rsid w:val="00107064"/>
    <w:rsid w:val="0011035D"/>
    <w:rsid w:val="00110DF6"/>
    <w:rsid w:val="00113CF2"/>
    <w:rsid w:val="00115DC2"/>
    <w:rsid w:val="001171A7"/>
    <w:rsid w:val="0011748E"/>
    <w:rsid w:val="00121885"/>
    <w:rsid w:val="00131F9C"/>
    <w:rsid w:val="00133E3B"/>
    <w:rsid w:val="001361D8"/>
    <w:rsid w:val="00140944"/>
    <w:rsid w:val="00143ADA"/>
    <w:rsid w:val="001521ED"/>
    <w:rsid w:val="00152EF0"/>
    <w:rsid w:val="00157A32"/>
    <w:rsid w:val="00157C20"/>
    <w:rsid w:val="00166E0C"/>
    <w:rsid w:val="00174857"/>
    <w:rsid w:val="001761D4"/>
    <w:rsid w:val="00180725"/>
    <w:rsid w:val="00181DD7"/>
    <w:rsid w:val="00184555"/>
    <w:rsid w:val="00185EE2"/>
    <w:rsid w:val="00186E01"/>
    <w:rsid w:val="0018750B"/>
    <w:rsid w:val="00187CE3"/>
    <w:rsid w:val="001907F0"/>
    <w:rsid w:val="00193F0D"/>
    <w:rsid w:val="00196E6E"/>
    <w:rsid w:val="001B050C"/>
    <w:rsid w:val="001B3733"/>
    <w:rsid w:val="001B3E41"/>
    <w:rsid w:val="001B4289"/>
    <w:rsid w:val="001B5296"/>
    <w:rsid w:val="001B755F"/>
    <w:rsid w:val="001C2F36"/>
    <w:rsid w:val="001C5585"/>
    <w:rsid w:val="001C6E0B"/>
    <w:rsid w:val="001D3566"/>
    <w:rsid w:val="001D51CF"/>
    <w:rsid w:val="001D6BEA"/>
    <w:rsid w:val="001E4834"/>
    <w:rsid w:val="001E74E8"/>
    <w:rsid w:val="001F0E74"/>
    <w:rsid w:val="00203EAF"/>
    <w:rsid w:val="00220961"/>
    <w:rsid w:val="00230139"/>
    <w:rsid w:val="00230A73"/>
    <w:rsid w:val="00232261"/>
    <w:rsid w:val="00240AE1"/>
    <w:rsid w:val="0024103A"/>
    <w:rsid w:val="00246F45"/>
    <w:rsid w:val="00250B76"/>
    <w:rsid w:val="00251238"/>
    <w:rsid w:val="0025379B"/>
    <w:rsid w:val="00256008"/>
    <w:rsid w:val="00265FB8"/>
    <w:rsid w:val="00267675"/>
    <w:rsid w:val="00271EED"/>
    <w:rsid w:val="00272508"/>
    <w:rsid w:val="00273482"/>
    <w:rsid w:val="00281120"/>
    <w:rsid w:val="00281671"/>
    <w:rsid w:val="002825C4"/>
    <w:rsid w:val="00282B34"/>
    <w:rsid w:val="00286550"/>
    <w:rsid w:val="00290897"/>
    <w:rsid w:val="0029521C"/>
    <w:rsid w:val="00297CCC"/>
    <w:rsid w:val="002A1404"/>
    <w:rsid w:val="002A377C"/>
    <w:rsid w:val="002A4BE3"/>
    <w:rsid w:val="002B0FA4"/>
    <w:rsid w:val="002B156A"/>
    <w:rsid w:val="002B7297"/>
    <w:rsid w:val="002C048B"/>
    <w:rsid w:val="002C4974"/>
    <w:rsid w:val="002D304A"/>
    <w:rsid w:val="002D3388"/>
    <w:rsid w:val="002E34BB"/>
    <w:rsid w:val="002E4C6E"/>
    <w:rsid w:val="002E76A9"/>
    <w:rsid w:val="002F2004"/>
    <w:rsid w:val="002F3DA3"/>
    <w:rsid w:val="002F602A"/>
    <w:rsid w:val="00300093"/>
    <w:rsid w:val="0030127F"/>
    <w:rsid w:val="0030412B"/>
    <w:rsid w:val="003143F5"/>
    <w:rsid w:val="0031617F"/>
    <w:rsid w:val="003166AB"/>
    <w:rsid w:val="00323664"/>
    <w:rsid w:val="00325420"/>
    <w:rsid w:val="003311B8"/>
    <w:rsid w:val="003328FA"/>
    <w:rsid w:val="00333171"/>
    <w:rsid w:val="003350CC"/>
    <w:rsid w:val="0033528D"/>
    <w:rsid w:val="003357F8"/>
    <w:rsid w:val="0034323B"/>
    <w:rsid w:val="00346E11"/>
    <w:rsid w:val="00346E1D"/>
    <w:rsid w:val="00352CA8"/>
    <w:rsid w:val="0036011F"/>
    <w:rsid w:val="00360617"/>
    <w:rsid w:val="00361518"/>
    <w:rsid w:val="00361EBE"/>
    <w:rsid w:val="0036551B"/>
    <w:rsid w:val="00370F67"/>
    <w:rsid w:val="0037131B"/>
    <w:rsid w:val="0037320A"/>
    <w:rsid w:val="0039395F"/>
    <w:rsid w:val="003A141B"/>
    <w:rsid w:val="003A249D"/>
    <w:rsid w:val="003A3C37"/>
    <w:rsid w:val="003A5027"/>
    <w:rsid w:val="003A5152"/>
    <w:rsid w:val="003A5BEF"/>
    <w:rsid w:val="003A7662"/>
    <w:rsid w:val="003B1217"/>
    <w:rsid w:val="003B27CB"/>
    <w:rsid w:val="003B3520"/>
    <w:rsid w:val="003D15F9"/>
    <w:rsid w:val="003D3BA7"/>
    <w:rsid w:val="003D4A11"/>
    <w:rsid w:val="003D780B"/>
    <w:rsid w:val="003E132D"/>
    <w:rsid w:val="003E330D"/>
    <w:rsid w:val="003E7022"/>
    <w:rsid w:val="003E70C9"/>
    <w:rsid w:val="003E70FE"/>
    <w:rsid w:val="003F025F"/>
    <w:rsid w:val="003F093F"/>
    <w:rsid w:val="003F37B4"/>
    <w:rsid w:val="003F6147"/>
    <w:rsid w:val="003F65C1"/>
    <w:rsid w:val="00401F27"/>
    <w:rsid w:val="00405306"/>
    <w:rsid w:val="00405531"/>
    <w:rsid w:val="004063C3"/>
    <w:rsid w:val="00410D90"/>
    <w:rsid w:val="00416AB0"/>
    <w:rsid w:val="00422E57"/>
    <w:rsid w:val="004254CC"/>
    <w:rsid w:val="00426C62"/>
    <w:rsid w:val="00430CCF"/>
    <w:rsid w:val="00431A24"/>
    <w:rsid w:val="00431D5A"/>
    <w:rsid w:val="00432677"/>
    <w:rsid w:val="004365F7"/>
    <w:rsid w:val="004408C8"/>
    <w:rsid w:val="00441346"/>
    <w:rsid w:val="00443023"/>
    <w:rsid w:val="00447EE7"/>
    <w:rsid w:val="004525AE"/>
    <w:rsid w:val="004551A1"/>
    <w:rsid w:val="00460B56"/>
    <w:rsid w:val="00461D8B"/>
    <w:rsid w:val="0046253A"/>
    <w:rsid w:val="00462B52"/>
    <w:rsid w:val="00470661"/>
    <w:rsid w:val="00470C3A"/>
    <w:rsid w:val="004847A9"/>
    <w:rsid w:val="00485793"/>
    <w:rsid w:val="004906F5"/>
    <w:rsid w:val="00491D00"/>
    <w:rsid w:val="00497C6D"/>
    <w:rsid w:val="004A2897"/>
    <w:rsid w:val="004A5AFC"/>
    <w:rsid w:val="004B01E1"/>
    <w:rsid w:val="004B4156"/>
    <w:rsid w:val="004C1DB4"/>
    <w:rsid w:val="004C3B59"/>
    <w:rsid w:val="004C3C56"/>
    <w:rsid w:val="004D6722"/>
    <w:rsid w:val="004E05B4"/>
    <w:rsid w:val="004E13F9"/>
    <w:rsid w:val="004E3D4C"/>
    <w:rsid w:val="004E582D"/>
    <w:rsid w:val="004E602E"/>
    <w:rsid w:val="004F12DD"/>
    <w:rsid w:val="004F2336"/>
    <w:rsid w:val="004F2D0E"/>
    <w:rsid w:val="004F35E1"/>
    <w:rsid w:val="00503809"/>
    <w:rsid w:val="00505F71"/>
    <w:rsid w:val="005072EE"/>
    <w:rsid w:val="00512505"/>
    <w:rsid w:val="00516A5A"/>
    <w:rsid w:val="00517760"/>
    <w:rsid w:val="00523BE0"/>
    <w:rsid w:val="00535DD4"/>
    <w:rsid w:val="005414CE"/>
    <w:rsid w:val="00543E5D"/>
    <w:rsid w:val="00547C61"/>
    <w:rsid w:val="0055080F"/>
    <w:rsid w:val="00550A42"/>
    <w:rsid w:val="00552D0D"/>
    <w:rsid w:val="0055343C"/>
    <w:rsid w:val="00556E35"/>
    <w:rsid w:val="00560438"/>
    <w:rsid w:val="005634B9"/>
    <w:rsid w:val="005717AC"/>
    <w:rsid w:val="00576858"/>
    <w:rsid w:val="00582A93"/>
    <w:rsid w:val="00583EFB"/>
    <w:rsid w:val="00586342"/>
    <w:rsid w:val="00590AE2"/>
    <w:rsid w:val="00592DB5"/>
    <w:rsid w:val="005943D3"/>
    <w:rsid w:val="005963A7"/>
    <w:rsid w:val="00597035"/>
    <w:rsid w:val="0059738A"/>
    <w:rsid w:val="005A04C8"/>
    <w:rsid w:val="005B6992"/>
    <w:rsid w:val="005B765D"/>
    <w:rsid w:val="005B7A73"/>
    <w:rsid w:val="005C1637"/>
    <w:rsid w:val="005C3743"/>
    <w:rsid w:val="005C3BB5"/>
    <w:rsid w:val="005C7563"/>
    <w:rsid w:val="005D10C5"/>
    <w:rsid w:val="005D396C"/>
    <w:rsid w:val="005E1FB8"/>
    <w:rsid w:val="005E4B5E"/>
    <w:rsid w:val="005E5DF8"/>
    <w:rsid w:val="005F5225"/>
    <w:rsid w:val="00615351"/>
    <w:rsid w:val="00626CC9"/>
    <w:rsid w:val="00627162"/>
    <w:rsid w:val="00627CB4"/>
    <w:rsid w:val="00631314"/>
    <w:rsid w:val="00631764"/>
    <w:rsid w:val="00631F3E"/>
    <w:rsid w:val="00634F95"/>
    <w:rsid w:val="00635009"/>
    <w:rsid w:val="006371D4"/>
    <w:rsid w:val="006457F6"/>
    <w:rsid w:val="0064645D"/>
    <w:rsid w:val="00646BCC"/>
    <w:rsid w:val="0064724B"/>
    <w:rsid w:val="00647718"/>
    <w:rsid w:val="006509EF"/>
    <w:rsid w:val="00651366"/>
    <w:rsid w:val="00651E9B"/>
    <w:rsid w:val="0065351B"/>
    <w:rsid w:val="006629D2"/>
    <w:rsid w:val="00665074"/>
    <w:rsid w:val="00665C03"/>
    <w:rsid w:val="00666062"/>
    <w:rsid w:val="00670308"/>
    <w:rsid w:val="00670C17"/>
    <w:rsid w:val="0067193A"/>
    <w:rsid w:val="00676FC2"/>
    <w:rsid w:val="00680783"/>
    <w:rsid w:val="006827D5"/>
    <w:rsid w:val="006849C9"/>
    <w:rsid w:val="00691695"/>
    <w:rsid w:val="00691AD1"/>
    <w:rsid w:val="00692D41"/>
    <w:rsid w:val="00697AA1"/>
    <w:rsid w:val="006A0011"/>
    <w:rsid w:val="006A12DF"/>
    <w:rsid w:val="006A175D"/>
    <w:rsid w:val="006A1CD3"/>
    <w:rsid w:val="006A3DCF"/>
    <w:rsid w:val="006A4947"/>
    <w:rsid w:val="006A4A9D"/>
    <w:rsid w:val="006A7845"/>
    <w:rsid w:val="006B0317"/>
    <w:rsid w:val="006B03C7"/>
    <w:rsid w:val="006B3161"/>
    <w:rsid w:val="006B330D"/>
    <w:rsid w:val="006B5655"/>
    <w:rsid w:val="006C374E"/>
    <w:rsid w:val="006C3C6B"/>
    <w:rsid w:val="006C3C98"/>
    <w:rsid w:val="006C4B7C"/>
    <w:rsid w:val="006C50F4"/>
    <w:rsid w:val="006C67F2"/>
    <w:rsid w:val="006D1664"/>
    <w:rsid w:val="006D2F60"/>
    <w:rsid w:val="006D6AC7"/>
    <w:rsid w:val="006D77AF"/>
    <w:rsid w:val="006E1D9B"/>
    <w:rsid w:val="006E4ACA"/>
    <w:rsid w:val="006E53D3"/>
    <w:rsid w:val="006E676E"/>
    <w:rsid w:val="006E702A"/>
    <w:rsid w:val="006E7789"/>
    <w:rsid w:val="006E7C49"/>
    <w:rsid w:val="006F3A85"/>
    <w:rsid w:val="00702EE5"/>
    <w:rsid w:val="00703277"/>
    <w:rsid w:val="00703A7A"/>
    <w:rsid w:val="00704696"/>
    <w:rsid w:val="007140E6"/>
    <w:rsid w:val="00715247"/>
    <w:rsid w:val="00715718"/>
    <w:rsid w:val="00720915"/>
    <w:rsid w:val="0072131C"/>
    <w:rsid w:val="0072441D"/>
    <w:rsid w:val="00734889"/>
    <w:rsid w:val="00734931"/>
    <w:rsid w:val="00740EE2"/>
    <w:rsid w:val="0074575D"/>
    <w:rsid w:val="007518E8"/>
    <w:rsid w:val="00752C5B"/>
    <w:rsid w:val="00755552"/>
    <w:rsid w:val="00756B64"/>
    <w:rsid w:val="00756C7B"/>
    <w:rsid w:val="00764852"/>
    <w:rsid w:val="00770135"/>
    <w:rsid w:val="007723BB"/>
    <w:rsid w:val="00775BDD"/>
    <w:rsid w:val="00776D8B"/>
    <w:rsid w:val="00784CA6"/>
    <w:rsid w:val="00790CB9"/>
    <w:rsid w:val="00791800"/>
    <w:rsid w:val="007931C8"/>
    <w:rsid w:val="00795064"/>
    <w:rsid w:val="007B152F"/>
    <w:rsid w:val="007B1882"/>
    <w:rsid w:val="007B4B2F"/>
    <w:rsid w:val="007B61D4"/>
    <w:rsid w:val="007C64E6"/>
    <w:rsid w:val="007C6B0E"/>
    <w:rsid w:val="007C79FB"/>
    <w:rsid w:val="007D06F5"/>
    <w:rsid w:val="007D24AD"/>
    <w:rsid w:val="007E17EA"/>
    <w:rsid w:val="007E33AF"/>
    <w:rsid w:val="007E375B"/>
    <w:rsid w:val="007E48C2"/>
    <w:rsid w:val="007E4B8E"/>
    <w:rsid w:val="007F17C9"/>
    <w:rsid w:val="007F4319"/>
    <w:rsid w:val="007F58DA"/>
    <w:rsid w:val="0080178E"/>
    <w:rsid w:val="0080421E"/>
    <w:rsid w:val="00804E88"/>
    <w:rsid w:val="00812526"/>
    <w:rsid w:val="00813FA0"/>
    <w:rsid w:val="008148C0"/>
    <w:rsid w:val="0082221D"/>
    <w:rsid w:val="0082252E"/>
    <w:rsid w:val="008225DC"/>
    <w:rsid w:val="0082476B"/>
    <w:rsid w:val="008259FC"/>
    <w:rsid w:val="00830707"/>
    <w:rsid w:val="008313AB"/>
    <w:rsid w:val="00832C88"/>
    <w:rsid w:val="00833E94"/>
    <w:rsid w:val="008348D0"/>
    <w:rsid w:val="0083552D"/>
    <w:rsid w:val="0084262E"/>
    <w:rsid w:val="008477B2"/>
    <w:rsid w:val="00851216"/>
    <w:rsid w:val="00855CED"/>
    <w:rsid w:val="00862493"/>
    <w:rsid w:val="008626C4"/>
    <w:rsid w:val="008646D3"/>
    <w:rsid w:val="00865369"/>
    <w:rsid w:val="008653B0"/>
    <w:rsid w:val="00865AE9"/>
    <w:rsid w:val="00874D49"/>
    <w:rsid w:val="00876F30"/>
    <w:rsid w:val="00882BC7"/>
    <w:rsid w:val="00884EDF"/>
    <w:rsid w:val="00890871"/>
    <w:rsid w:val="00890C09"/>
    <w:rsid w:val="008A621A"/>
    <w:rsid w:val="008A6254"/>
    <w:rsid w:val="008B1DD4"/>
    <w:rsid w:val="008B3815"/>
    <w:rsid w:val="008C16CB"/>
    <w:rsid w:val="008E0B75"/>
    <w:rsid w:val="008E1E36"/>
    <w:rsid w:val="008F0D1B"/>
    <w:rsid w:val="008F4138"/>
    <w:rsid w:val="008F4CD6"/>
    <w:rsid w:val="008F5BAD"/>
    <w:rsid w:val="008F5C52"/>
    <w:rsid w:val="008F6C37"/>
    <w:rsid w:val="00906542"/>
    <w:rsid w:val="00906F02"/>
    <w:rsid w:val="00907353"/>
    <w:rsid w:val="0090759C"/>
    <w:rsid w:val="009102B9"/>
    <w:rsid w:val="00913DC8"/>
    <w:rsid w:val="009149BC"/>
    <w:rsid w:val="009168AC"/>
    <w:rsid w:val="00916AC1"/>
    <w:rsid w:val="00916EC8"/>
    <w:rsid w:val="00930210"/>
    <w:rsid w:val="00943A21"/>
    <w:rsid w:val="009447D9"/>
    <w:rsid w:val="00946577"/>
    <w:rsid w:val="009505E5"/>
    <w:rsid w:val="009509CF"/>
    <w:rsid w:val="00951A89"/>
    <w:rsid w:val="00954DB6"/>
    <w:rsid w:val="009564B1"/>
    <w:rsid w:val="00956E12"/>
    <w:rsid w:val="0095701D"/>
    <w:rsid w:val="0096149B"/>
    <w:rsid w:val="009665D5"/>
    <w:rsid w:val="00970A1C"/>
    <w:rsid w:val="00982B3E"/>
    <w:rsid w:val="0098311D"/>
    <w:rsid w:val="00984486"/>
    <w:rsid w:val="00985770"/>
    <w:rsid w:val="0098698E"/>
    <w:rsid w:val="0098736F"/>
    <w:rsid w:val="00991E9D"/>
    <w:rsid w:val="00995C6C"/>
    <w:rsid w:val="00996F85"/>
    <w:rsid w:val="00997520"/>
    <w:rsid w:val="009A1ACB"/>
    <w:rsid w:val="009A23E0"/>
    <w:rsid w:val="009B11B8"/>
    <w:rsid w:val="009B1F3D"/>
    <w:rsid w:val="009B3DB2"/>
    <w:rsid w:val="009C3239"/>
    <w:rsid w:val="009C3CC9"/>
    <w:rsid w:val="009D2647"/>
    <w:rsid w:val="009E0124"/>
    <w:rsid w:val="009E1920"/>
    <w:rsid w:val="009E2B55"/>
    <w:rsid w:val="009E3DA1"/>
    <w:rsid w:val="009E47E0"/>
    <w:rsid w:val="009F2E11"/>
    <w:rsid w:val="009F4EAB"/>
    <w:rsid w:val="009F519A"/>
    <w:rsid w:val="009F79DE"/>
    <w:rsid w:val="009F7A6F"/>
    <w:rsid w:val="00A01A67"/>
    <w:rsid w:val="00A02A03"/>
    <w:rsid w:val="00A03465"/>
    <w:rsid w:val="00A03EF7"/>
    <w:rsid w:val="00A13354"/>
    <w:rsid w:val="00A14252"/>
    <w:rsid w:val="00A16D42"/>
    <w:rsid w:val="00A2318D"/>
    <w:rsid w:val="00A23595"/>
    <w:rsid w:val="00A23682"/>
    <w:rsid w:val="00A23ECB"/>
    <w:rsid w:val="00A260B6"/>
    <w:rsid w:val="00A27DF6"/>
    <w:rsid w:val="00A348F7"/>
    <w:rsid w:val="00A3782A"/>
    <w:rsid w:val="00A414AB"/>
    <w:rsid w:val="00A44A3E"/>
    <w:rsid w:val="00A47382"/>
    <w:rsid w:val="00A478E4"/>
    <w:rsid w:val="00A47A76"/>
    <w:rsid w:val="00A47FF6"/>
    <w:rsid w:val="00A54452"/>
    <w:rsid w:val="00A5508A"/>
    <w:rsid w:val="00A60F19"/>
    <w:rsid w:val="00A61715"/>
    <w:rsid w:val="00A65D7B"/>
    <w:rsid w:val="00A66DED"/>
    <w:rsid w:val="00A67507"/>
    <w:rsid w:val="00A74046"/>
    <w:rsid w:val="00A80452"/>
    <w:rsid w:val="00A82B97"/>
    <w:rsid w:val="00A844C7"/>
    <w:rsid w:val="00A84A78"/>
    <w:rsid w:val="00A87085"/>
    <w:rsid w:val="00A8711A"/>
    <w:rsid w:val="00A92D4D"/>
    <w:rsid w:val="00A92F90"/>
    <w:rsid w:val="00A9477D"/>
    <w:rsid w:val="00A96D7E"/>
    <w:rsid w:val="00AA065A"/>
    <w:rsid w:val="00AA1E89"/>
    <w:rsid w:val="00AA5087"/>
    <w:rsid w:val="00AA6A0F"/>
    <w:rsid w:val="00AB2409"/>
    <w:rsid w:val="00AB3AFB"/>
    <w:rsid w:val="00AB4034"/>
    <w:rsid w:val="00AB533C"/>
    <w:rsid w:val="00AB7888"/>
    <w:rsid w:val="00AC030F"/>
    <w:rsid w:val="00AC08DE"/>
    <w:rsid w:val="00AC3931"/>
    <w:rsid w:val="00AC42B2"/>
    <w:rsid w:val="00AC4305"/>
    <w:rsid w:val="00AC579B"/>
    <w:rsid w:val="00AD00B1"/>
    <w:rsid w:val="00AD23FA"/>
    <w:rsid w:val="00AD6942"/>
    <w:rsid w:val="00AE1538"/>
    <w:rsid w:val="00AF2F5E"/>
    <w:rsid w:val="00AF38BF"/>
    <w:rsid w:val="00AF3F0B"/>
    <w:rsid w:val="00AF5FE3"/>
    <w:rsid w:val="00B0545F"/>
    <w:rsid w:val="00B05E23"/>
    <w:rsid w:val="00B1050F"/>
    <w:rsid w:val="00B12B83"/>
    <w:rsid w:val="00B12D3A"/>
    <w:rsid w:val="00B13DB1"/>
    <w:rsid w:val="00B1712D"/>
    <w:rsid w:val="00B25392"/>
    <w:rsid w:val="00B30801"/>
    <w:rsid w:val="00B35308"/>
    <w:rsid w:val="00B43201"/>
    <w:rsid w:val="00B4561F"/>
    <w:rsid w:val="00B46B82"/>
    <w:rsid w:val="00B50176"/>
    <w:rsid w:val="00B51A3A"/>
    <w:rsid w:val="00B574A6"/>
    <w:rsid w:val="00B66FC9"/>
    <w:rsid w:val="00B7078A"/>
    <w:rsid w:val="00B7223E"/>
    <w:rsid w:val="00B74255"/>
    <w:rsid w:val="00B7472D"/>
    <w:rsid w:val="00B75B06"/>
    <w:rsid w:val="00B76935"/>
    <w:rsid w:val="00B806D4"/>
    <w:rsid w:val="00B81893"/>
    <w:rsid w:val="00B825B6"/>
    <w:rsid w:val="00B83B33"/>
    <w:rsid w:val="00B854EC"/>
    <w:rsid w:val="00B9366F"/>
    <w:rsid w:val="00BA1331"/>
    <w:rsid w:val="00BA710E"/>
    <w:rsid w:val="00BB27BE"/>
    <w:rsid w:val="00BB42C6"/>
    <w:rsid w:val="00BB56D2"/>
    <w:rsid w:val="00BC5C96"/>
    <w:rsid w:val="00BD26B1"/>
    <w:rsid w:val="00BD5F22"/>
    <w:rsid w:val="00BD6BCF"/>
    <w:rsid w:val="00BE01E8"/>
    <w:rsid w:val="00BE060B"/>
    <w:rsid w:val="00BE14B1"/>
    <w:rsid w:val="00BE1FC5"/>
    <w:rsid w:val="00BE41B6"/>
    <w:rsid w:val="00BE5410"/>
    <w:rsid w:val="00BE64E1"/>
    <w:rsid w:val="00BF3000"/>
    <w:rsid w:val="00BF46B2"/>
    <w:rsid w:val="00C03F78"/>
    <w:rsid w:val="00C05C42"/>
    <w:rsid w:val="00C077EC"/>
    <w:rsid w:val="00C11321"/>
    <w:rsid w:val="00C31707"/>
    <w:rsid w:val="00C33122"/>
    <w:rsid w:val="00C37CC9"/>
    <w:rsid w:val="00C40851"/>
    <w:rsid w:val="00C40B89"/>
    <w:rsid w:val="00C413A1"/>
    <w:rsid w:val="00C438D5"/>
    <w:rsid w:val="00C44A0F"/>
    <w:rsid w:val="00C45369"/>
    <w:rsid w:val="00C45A62"/>
    <w:rsid w:val="00C462B8"/>
    <w:rsid w:val="00C47A99"/>
    <w:rsid w:val="00C51127"/>
    <w:rsid w:val="00C6129C"/>
    <w:rsid w:val="00C67491"/>
    <w:rsid w:val="00C72F78"/>
    <w:rsid w:val="00C73797"/>
    <w:rsid w:val="00C822F3"/>
    <w:rsid w:val="00C82CF7"/>
    <w:rsid w:val="00C94352"/>
    <w:rsid w:val="00C961FC"/>
    <w:rsid w:val="00CA4340"/>
    <w:rsid w:val="00CA63B4"/>
    <w:rsid w:val="00CB4AE0"/>
    <w:rsid w:val="00CB720D"/>
    <w:rsid w:val="00CB75BF"/>
    <w:rsid w:val="00CC2206"/>
    <w:rsid w:val="00CC449E"/>
    <w:rsid w:val="00CC4F45"/>
    <w:rsid w:val="00CC4F4E"/>
    <w:rsid w:val="00CD12DB"/>
    <w:rsid w:val="00CD24A1"/>
    <w:rsid w:val="00CD3003"/>
    <w:rsid w:val="00CD5EE5"/>
    <w:rsid w:val="00CE09BC"/>
    <w:rsid w:val="00CE30B9"/>
    <w:rsid w:val="00CE5A1E"/>
    <w:rsid w:val="00CE5A7F"/>
    <w:rsid w:val="00CE5C38"/>
    <w:rsid w:val="00CE75B3"/>
    <w:rsid w:val="00CF07D9"/>
    <w:rsid w:val="00CF2B85"/>
    <w:rsid w:val="00CF4DF1"/>
    <w:rsid w:val="00CF5D97"/>
    <w:rsid w:val="00CF5E64"/>
    <w:rsid w:val="00D00CCE"/>
    <w:rsid w:val="00D029E4"/>
    <w:rsid w:val="00D02CF0"/>
    <w:rsid w:val="00D10746"/>
    <w:rsid w:val="00D21973"/>
    <w:rsid w:val="00D24996"/>
    <w:rsid w:val="00D24C6B"/>
    <w:rsid w:val="00D41DCF"/>
    <w:rsid w:val="00D43595"/>
    <w:rsid w:val="00D44808"/>
    <w:rsid w:val="00D450B8"/>
    <w:rsid w:val="00D45EE2"/>
    <w:rsid w:val="00D4702E"/>
    <w:rsid w:val="00D528E9"/>
    <w:rsid w:val="00D53440"/>
    <w:rsid w:val="00D56395"/>
    <w:rsid w:val="00D56502"/>
    <w:rsid w:val="00D60653"/>
    <w:rsid w:val="00D6085A"/>
    <w:rsid w:val="00D61949"/>
    <w:rsid w:val="00D61A80"/>
    <w:rsid w:val="00D65D2C"/>
    <w:rsid w:val="00D70FB1"/>
    <w:rsid w:val="00D8083C"/>
    <w:rsid w:val="00D82120"/>
    <w:rsid w:val="00D82A56"/>
    <w:rsid w:val="00D83518"/>
    <w:rsid w:val="00D903F4"/>
    <w:rsid w:val="00D907B1"/>
    <w:rsid w:val="00D91DA3"/>
    <w:rsid w:val="00DA5AB2"/>
    <w:rsid w:val="00DB074C"/>
    <w:rsid w:val="00DB10A6"/>
    <w:rsid w:val="00DB43F8"/>
    <w:rsid w:val="00DB6C9F"/>
    <w:rsid w:val="00DB7E55"/>
    <w:rsid w:val="00DC0CD0"/>
    <w:rsid w:val="00DC10F0"/>
    <w:rsid w:val="00DC7818"/>
    <w:rsid w:val="00DD1D58"/>
    <w:rsid w:val="00DD20AA"/>
    <w:rsid w:val="00DD20FF"/>
    <w:rsid w:val="00DE2C05"/>
    <w:rsid w:val="00DE4D37"/>
    <w:rsid w:val="00DE7832"/>
    <w:rsid w:val="00DF183E"/>
    <w:rsid w:val="00DF6441"/>
    <w:rsid w:val="00E04049"/>
    <w:rsid w:val="00E07C65"/>
    <w:rsid w:val="00E11404"/>
    <w:rsid w:val="00E11A90"/>
    <w:rsid w:val="00E132F8"/>
    <w:rsid w:val="00E170AE"/>
    <w:rsid w:val="00E21AD7"/>
    <w:rsid w:val="00E23388"/>
    <w:rsid w:val="00E27F25"/>
    <w:rsid w:val="00E35D6D"/>
    <w:rsid w:val="00E366C4"/>
    <w:rsid w:val="00E412EE"/>
    <w:rsid w:val="00E4181C"/>
    <w:rsid w:val="00E421F4"/>
    <w:rsid w:val="00E45F7D"/>
    <w:rsid w:val="00E52523"/>
    <w:rsid w:val="00E54054"/>
    <w:rsid w:val="00E62380"/>
    <w:rsid w:val="00E62F35"/>
    <w:rsid w:val="00E63A5E"/>
    <w:rsid w:val="00E67C0D"/>
    <w:rsid w:val="00E71004"/>
    <w:rsid w:val="00E72CE0"/>
    <w:rsid w:val="00E72F9C"/>
    <w:rsid w:val="00E749F0"/>
    <w:rsid w:val="00E76013"/>
    <w:rsid w:val="00E87781"/>
    <w:rsid w:val="00E918E4"/>
    <w:rsid w:val="00E92BF2"/>
    <w:rsid w:val="00E92EB2"/>
    <w:rsid w:val="00E94D7E"/>
    <w:rsid w:val="00E95595"/>
    <w:rsid w:val="00EA2107"/>
    <w:rsid w:val="00EA313E"/>
    <w:rsid w:val="00EA7A0D"/>
    <w:rsid w:val="00EB01D0"/>
    <w:rsid w:val="00EB48C6"/>
    <w:rsid w:val="00EB7012"/>
    <w:rsid w:val="00EC2D0C"/>
    <w:rsid w:val="00ED5F00"/>
    <w:rsid w:val="00EE0A6D"/>
    <w:rsid w:val="00EE116A"/>
    <w:rsid w:val="00EE3E89"/>
    <w:rsid w:val="00EE6023"/>
    <w:rsid w:val="00EF0059"/>
    <w:rsid w:val="00EF17FB"/>
    <w:rsid w:val="00EF2EC6"/>
    <w:rsid w:val="00F00112"/>
    <w:rsid w:val="00F01BD2"/>
    <w:rsid w:val="00F03C96"/>
    <w:rsid w:val="00F0487A"/>
    <w:rsid w:val="00F1167E"/>
    <w:rsid w:val="00F119D6"/>
    <w:rsid w:val="00F13F8C"/>
    <w:rsid w:val="00F1498E"/>
    <w:rsid w:val="00F1605A"/>
    <w:rsid w:val="00F20D9A"/>
    <w:rsid w:val="00F218D6"/>
    <w:rsid w:val="00F21F13"/>
    <w:rsid w:val="00F31026"/>
    <w:rsid w:val="00F320D7"/>
    <w:rsid w:val="00F32C72"/>
    <w:rsid w:val="00F33D41"/>
    <w:rsid w:val="00F402C9"/>
    <w:rsid w:val="00F40301"/>
    <w:rsid w:val="00F44678"/>
    <w:rsid w:val="00F45884"/>
    <w:rsid w:val="00F47FAB"/>
    <w:rsid w:val="00F50017"/>
    <w:rsid w:val="00F520B9"/>
    <w:rsid w:val="00F53CDA"/>
    <w:rsid w:val="00F54366"/>
    <w:rsid w:val="00F56B17"/>
    <w:rsid w:val="00F611CF"/>
    <w:rsid w:val="00F76B88"/>
    <w:rsid w:val="00F81333"/>
    <w:rsid w:val="00F85676"/>
    <w:rsid w:val="00F862BA"/>
    <w:rsid w:val="00F90930"/>
    <w:rsid w:val="00F91EC4"/>
    <w:rsid w:val="00F927C9"/>
    <w:rsid w:val="00F93A87"/>
    <w:rsid w:val="00F93B2E"/>
    <w:rsid w:val="00F94C52"/>
    <w:rsid w:val="00F95604"/>
    <w:rsid w:val="00F9756E"/>
    <w:rsid w:val="00F975BF"/>
    <w:rsid w:val="00FA00BB"/>
    <w:rsid w:val="00FA1EA4"/>
    <w:rsid w:val="00FA2A99"/>
    <w:rsid w:val="00FA6B0F"/>
    <w:rsid w:val="00FB2218"/>
    <w:rsid w:val="00FB6242"/>
    <w:rsid w:val="00FB7737"/>
    <w:rsid w:val="00FB7894"/>
    <w:rsid w:val="00FC742C"/>
    <w:rsid w:val="00FD105F"/>
    <w:rsid w:val="00FD327F"/>
    <w:rsid w:val="00FD34DD"/>
    <w:rsid w:val="00FD3F12"/>
    <w:rsid w:val="00FE0C3B"/>
    <w:rsid w:val="00FE2EB1"/>
    <w:rsid w:val="00FF1B18"/>
    <w:rsid w:val="00FF2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4F12C32A-3F32-4AB8-983F-59B35F55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B52"/>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C822F3"/>
    <w:pPr>
      <w:ind w:left="720"/>
      <w:contextualSpacing/>
    </w:pPr>
  </w:style>
  <w:style w:type="paragraph" w:styleId="Testofumetto">
    <w:name w:val="Balloon Text"/>
    <w:basedOn w:val="Normale"/>
    <w:link w:val="TestofumettoCarattere"/>
    <w:uiPriority w:val="99"/>
    <w:semiHidden/>
    <w:unhideWhenUsed/>
    <w:rsid w:val="00D6085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085A"/>
    <w:rPr>
      <w:rFonts w:ascii="Tahoma" w:eastAsia="Times New Roman" w:hAnsi="Tahoma" w:cs="Tahoma"/>
      <w:sz w:val="16"/>
      <w:szCs w:val="16"/>
    </w:rPr>
  </w:style>
  <w:style w:type="paragraph" w:customStyle="1" w:styleId="Paragrafoelenco2">
    <w:name w:val="Paragrafo elenco2"/>
    <w:basedOn w:val="Normale"/>
    <w:rsid w:val="0059738A"/>
    <w:pPr>
      <w:ind w:left="720"/>
      <w:contextualSpacing/>
    </w:pPr>
  </w:style>
  <w:style w:type="paragraph" w:styleId="Paragrafoelenco">
    <w:name w:val="List Paragraph"/>
    <w:basedOn w:val="Normale"/>
    <w:uiPriority w:val="34"/>
    <w:qFormat/>
    <w:rsid w:val="00D56395"/>
    <w:pPr>
      <w:ind w:left="720"/>
      <w:contextualSpacing/>
    </w:pPr>
  </w:style>
  <w:style w:type="paragraph" w:styleId="Testonotaapidipagina">
    <w:name w:val="footnote text"/>
    <w:basedOn w:val="Normale"/>
    <w:link w:val="TestonotaapidipaginaCarattere"/>
    <w:uiPriority w:val="99"/>
    <w:semiHidden/>
    <w:unhideWhenUsed/>
    <w:rsid w:val="00F94C52"/>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4C52"/>
    <w:rPr>
      <w:rFonts w:ascii="Calibri" w:eastAsia="Times New Roman" w:hAnsi="Calibri" w:cs="Times New Roman"/>
      <w:sz w:val="20"/>
      <w:szCs w:val="20"/>
    </w:rPr>
  </w:style>
  <w:style w:type="character" w:styleId="Rimandonotaapidipagina">
    <w:name w:val="footnote reference"/>
    <w:basedOn w:val="Carpredefinitoparagrafo"/>
    <w:uiPriority w:val="99"/>
    <w:semiHidden/>
    <w:unhideWhenUsed/>
    <w:rsid w:val="00F94C52"/>
    <w:rPr>
      <w:vertAlign w:val="superscript"/>
    </w:rPr>
  </w:style>
  <w:style w:type="paragraph" w:styleId="Intestazione">
    <w:name w:val="header"/>
    <w:basedOn w:val="Normale"/>
    <w:link w:val="IntestazioneCarattere"/>
    <w:uiPriority w:val="99"/>
    <w:semiHidden/>
    <w:unhideWhenUsed/>
    <w:rsid w:val="00AB40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AB4034"/>
    <w:rPr>
      <w:rFonts w:ascii="Calibri" w:eastAsia="Times New Roman" w:hAnsi="Calibri" w:cs="Times New Roman"/>
    </w:rPr>
  </w:style>
  <w:style w:type="paragraph" w:styleId="Pidipagina">
    <w:name w:val="footer"/>
    <w:basedOn w:val="Normale"/>
    <w:link w:val="PidipaginaCarattere"/>
    <w:uiPriority w:val="99"/>
    <w:unhideWhenUsed/>
    <w:rsid w:val="00AB40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B4034"/>
    <w:rPr>
      <w:rFonts w:ascii="Calibri" w:eastAsia="Times New Roman" w:hAnsi="Calibri" w:cs="Times New Roman"/>
    </w:rPr>
  </w:style>
  <w:style w:type="paragraph" w:styleId="Nessunaspaziatura">
    <w:name w:val="No Spacing"/>
    <w:link w:val="NessunaspaziaturaCarattere"/>
    <w:uiPriority w:val="1"/>
    <w:qFormat/>
    <w:rsid w:val="00997520"/>
    <w:pPr>
      <w:spacing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997520"/>
    <w:rPr>
      <w:rFonts w:eastAsiaTheme="minorEastAsia"/>
    </w:rPr>
  </w:style>
  <w:style w:type="character" w:styleId="Collegamentoipertestuale">
    <w:name w:val="Hyperlink"/>
    <w:basedOn w:val="Carpredefinitoparagrafo"/>
    <w:uiPriority w:val="99"/>
    <w:unhideWhenUsed/>
    <w:rsid w:val="00267675"/>
    <w:rPr>
      <w:color w:val="0000FF" w:themeColor="hyperlink"/>
      <w:u w:val="single"/>
    </w:rPr>
  </w:style>
  <w:style w:type="paragraph" w:styleId="Testonormale">
    <w:name w:val="Plain Text"/>
    <w:basedOn w:val="Normale"/>
    <w:link w:val="TestonormaleCarattere"/>
    <w:uiPriority w:val="99"/>
    <w:semiHidden/>
    <w:unhideWhenUsed/>
    <w:rsid w:val="004B01E1"/>
    <w:pPr>
      <w:spacing w:line="240" w:lineRule="auto"/>
    </w:pPr>
    <w:rPr>
      <w:rFonts w:ascii="Consolas" w:eastAsiaTheme="minorHAnsi" w:hAnsi="Consolas" w:cstheme="minorBidi"/>
      <w:sz w:val="21"/>
      <w:szCs w:val="21"/>
    </w:rPr>
  </w:style>
  <w:style w:type="character" w:customStyle="1" w:styleId="TestonormaleCarattere">
    <w:name w:val="Testo normale Carattere"/>
    <w:basedOn w:val="Carpredefinitoparagrafo"/>
    <w:link w:val="Testonormale"/>
    <w:uiPriority w:val="99"/>
    <w:semiHidden/>
    <w:rsid w:val="004B01E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107">
      <w:bodyDiv w:val="1"/>
      <w:marLeft w:val="0"/>
      <w:marRight w:val="0"/>
      <w:marTop w:val="0"/>
      <w:marBottom w:val="0"/>
      <w:divBdr>
        <w:top w:val="none" w:sz="0" w:space="0" w:color="auto"/>
        <w:left w:val="none" w:sz="0" w:space="0" w:color="auto"/>
        <w:bottom w:val="none" w:sz="0" w:space="0" w:color="auto"/>
        <w:right w:val="none" w:sz="0" w:space="0" w:color="auto"/>
      </w:divBdr>
    </w:div>
    <w:div w:id="77290976">
      <w:bodyDiv w:val="1"/>
      <w:marLeft w:val="0"/>
      <w:marRight w:val="0"/>
      <w:marTop w:val="0"/>
      <w:marBottom w:val="0"/>
      <w:divBdr>
        <w:top w:val="none" w:sz="0" w:space="0" w:color="auto"/>
        <w:left w:val="none" w:sz="0" w:space="0" w:color="auto"/>
        <w:bottom w:val="none" w:sz="0" w:space="0" w:color="auto"/>
        <w:right w:val="none" w:sz="0" w:space="0" w:color="auto"/>
      </w:divBdr>
    </w:div>
    <w:div w:id="152649078">
      <w:bodyDiv w:val="1"/>
      <w:marLeft w:val="0"/>
      <w:marRight w:val="0"/>
      <w:marTop w:val="0"/>
      <w:marBottom w:val="0"/>
      <w:divBdr>
        <w:top w:val="none" w:sz="0" w:space="0" w:color="auto"/>
        <w:left w:val="none" w:sz="0" w:space="0" w:color="auto"/>
        <w:bottom w:val="none" w:sz="0" w:space="0" w:color="auto"/>
        <w:right w:val="none" w:sz="0" w:space="0" w:color="auto"/>
      </w:divBdr>
    </w:div>
    <w:div w:id="241305339">
      <w:bodyDiv w:val="1"/>
      <w:marLeft w:val="0"/>
      <w:marRight w:val="0"/>
      <w:marTop w:val="0"/>
      <w:marBottom w:val="0"/>
      <w:divBdr>
        <w:top w:val="none" w:sz="0" w:space="0" w:color="auto"/>
        <w:left w:val="none" w:sz="0" w:space="0" w:color="auto"/>
        <w:bottom w:val="none" w:sz="0" w:space="0" w:color="auto"/>
        <w:right w:val="none" w:sz="0" w:space="0" w:color="auto"/>
      </w:divBdr>
    </w:div>
    <w:div w:id="356003149">
      <w:bodyDiv w:val="1"/>
      <w:marLeft w:val="0"/>
      <w:marRight w:val="0"/>
      <w:marTop w:val="0"/>
      <w:marBottom w:val="0"/>
      <w:divBdr>
        <w:top w:val="none" w:sz="0" w:space="0" w:color="auto"/>
        <w:left w:val="none" w:sz="0" w:space="0" w:color="auto"/>
        <w:bottom w:val="none" w:sz="0" w:space="0" w:color="auto"/>
        <w:right w:val="none" w:sz="0" w:space="0" w:color="auto"/>
      </w:divBdr>
    </w:div>
    <w:div w:id="488596158">
      <w:bodyDiv w:val="1"/>
      <w:marLeft w:val="0"/>
      <w:marRight w:val="0"/>
      <w:marTop w:val="0"/>
      <w:marBottom w:val="0"/>
      <w:divBdr>
        <w:top w:val="none" w:sz="0" w:space="0" w:color="auto"/>
        <w:left w:val="none" w:sz="0" w:space="0" w:color="auto"/>
        <w:bottom w:val="none" w:sz="0" w:space="0" w:color="auto"/>
        <w:right w:val="none" w:sz="0" w:space="0" w:color="auto"/>
      </w:divBdr>
    </w:div>
    <w:div w:id="637077205">
      <w:bodyDiv w:val="1"/>
      <w:marLeft w:val="0"/>
      <w:marRight w:val="0"/>
      <w:marTop w:val="0"/>
      <w:marBottom w:val="0"/>
      <w:divBdr>
        <w:top w:val="none" w:sz="0" w:space="0" w:color="auto"/>
        <w:left w:val="none" w:sz="0" w:space="0" w:color="auto"/>
        <w:bottom w:val="none" w:sz="0" w:space="0" w:color="auto"/>
        <w:right w:val="none" w:sz="0" w:space="0" w:color="auto"/>
      </w:divBdr>
    </w:div>
    <w:div w:id="711811197">
      <w:bodyDiv w:val="1"/>
      <w:marLeft w:val="0"/>
      <w:marRight w:val="0"/>
      <w:marTop w:val="0"/>
      <w:marBottom w:val="0"/>
      <w:divBdr>
        <w:top w:val="none" w:sz="0" w:space="0" w:color="auto"/>
        <w:left w:val="none" w:sz="0" w:space="0" w:color="auto"/>
        <w:bottom w:val="none" w:sz="0" w:space="0" w:color="auto"/>
        <w:right w:val="none" w:sz="0" w:space="0" w:color="auto"/>
      </w:divBdr>
    </w:div>
    <w:div w:id="798576160">
      <w:bodyDiv w:val="1"/>
      <w:marLeft w:val="0"/>
      <w:marRight w:val="0"/>
      <w:marTop w:val="0"/>
      <w:marBottom w:val="0"/>
      <w:divBdr>
        <w:top w:val="none" w:sz="0" w:space="0" w:color="auto"/>
        <w:left w:val="none" w:sz="0" w:space="0" w:color="auto"/>
        <w:bottom w:val="none" w:sz="0" w:space="0" w:color="auto"/>
        <w:right w:val="none" w:sz="0" w:space="0" w:color="auto"/>
      </w:divBdr>
    </w:div>
    <w:div w:id="835389688">
      <w:bodyDiv w:val="1"/>
      <w:marLeft w:val="0"/>
      <w:marRight w:val="0"/>
      <w:marTop w:val="0"/>
      <w:marBottom w:val="0"/>
      <w:divBdr>
        <w:top w:val="none" w:sz="0" w:space="0" w:color="auto"/>
        <w:left w:val="none" w:sz="0" w:space="0" w:color="auto"/>
        <w:bottom w:val="none" w:sz="0" w:space="0" w:color="auto"/>
        <w:right w:val="none" w:sz="0" w:space="0" w:color="auto"/>
      </w:divBdr>
    </w:div>
    <w:div w:id="969479156">
      <w:bodyDiv w:val="1"/>
      <w:marLeft w:val="0"/>
      <w:marRight w:val="0"/>
      <w:marTop w:val="0"/>
      <w:marBottom w:val="0"/>
      <w:divBdr>
        <w:top w:val="none" w:sz="0" w:space="0" w:color="auto"/>
        <w:left w:val="none" w:sz="0" w:space="0" w:color="auto"/>
        <w:bottom w:val="none" w:sz="0" w:space="0" w:color="auto"/>
        <w:right w:val="none" w:sz="0" w:space="0" w:color="auto"/>
      </w:divBdr>
    </w:div>
    <w:div w:id="982392402">
      <w:bodyDiv w:val="1"/>
      <w:marLeft w:val="0"/>
      <w:marRight w:val="0"/>
      <w:marTop w:val="0"/>
      <w:marBottom w:val="0"/>
      <w:divBdr>
        <w:top w:val="none" w:sz="0" w:space="0" w:color="auto"/>
        <w:left w:val="none" w:sz="0" w:space="0" w:color="auto"/>
        <w:bottom w:val="none" w:sz="0" w:space="0" w:color="auto"/>
        <w:right w:val="none" w:sz="0" w:space="0" w:color="auto"/>
      </w:divBdr>
    </w:div>
    <w:div w:id="1087658428">
      <w:bodyDiv w:val="1"/>
      <w:marLeft w:val="0"/>
      <w:marRight w:val="0"/>
      <w:marTop w:val="0"/>
      <w:marBottom w:val="0"/>
      <w:divBdr>
        <w:top w:val="none" w:sz="0" w:space="0" w:color="auto"/>
        <w:left w:val="none" w:sz="0" w:space="0" w:color="auto"/>
        <w:bottom w:val="none" w:sz="0" w:space="0" w:color="auto"/>
        <w:right w:val="none" w:sz="0" w:space="0" w:color="auto"/>
      </w:divBdr>
    </w:div>
    <w:div w:id="1151674081">
      <w:bodyDiv w:val="1"/>
      <w:marLeft w:val="0"/>
      <w:marRight w:val="0"/>
      <w:marTop w:val="0"/>
      <w:marBottom w:val="0"/>
      <w:divBdr>
        <w:top w:val="none" w:sz="0" w:space="0" w:color="auto"/>
        <w:left w:val="none" w:sz="0" w:space="0" w:color="auto"/>
        <w:bottom w:val="none" w:sz="0" w:space="0" w:color="auto"/>
        <w:right w:val="none" w:sz="0" w:space="0" w:color="auto"/>
      </w:divBdr>
    </w:div>
    <w:div w:id="1217664393">
      <w:bodyDiv w:val="1"/>
      <w:marLeft w:val="0"/>
      <w:marRight w:val="0"/>
      <w:marTop w:val="0"/>
      <w:marBottom w:val="0"/>
      <w:divBdr>
        <w:top w:val="none" w:sz="0" w:space="0" w:color="auto"/>
        <w:left w:val="none" w:sz="0" w:space="0" w:color="auto"/>
        <w:bottom w:val="none" w:sz="0" w:space="0" w:color="auto"/>
        <w:right w:val="none" w:sz="0" w:space="0" w:color="auto"/>
      </w:divBdr>
    </w:div>
    <w:div w:id="1230848004">
      <w:bodyDiv w:val="1"/>
      <w:marLeft w:val="0"/>
      <w:marRight w:val="0"/>
      <w:marTop w:val="0"/>
      <w:marBottom w:val="0"/>
      <w:divBdr>
        <w:top w:val="none" w:sz="0" w:space="0" w:color="auto"/>
        <w:left w:val="none" w:sz="0" w:space="0" w:color="auto"/>
        <w:bottom w:val="none" w:sz="0" w:space="0" w:color="auto"/>
        <w:right w:val="none" w:sz="0" w:space="0" w:color="auto"/>
      </w:divBdr>
    </w:div>
    <w:div w:id="1305038807">
      <w:bodyDiv w:val="1"/>
      <w:marLeft w:val="0"/>
      <w:marRight w:val="0"/>
      <w:marTop w:val="0"/>
      <w:marBottom w:val="0"/>
      <w:divBdr>
        <w:top w:val="none" w:sz="0" w:space="0" w:color="auto"/>
        <w:left w:val="none" w:sz="0" w:space="0" w:color="auto"/>
        <w:bottom w:val="none" w:sz="0" w:space="0" w:color="auto"/>
        <w:right w:val="none" w:sz="0" w:space="0" w:color="auto"/>
      </w:divBdr>
    </w:div>
    <w:div w:id="1308122613">
      <w:bodyDiv w:val="1"/>
      <w:marLeft w:val="0"/>
      <w:marRight w:val="0"/>
      <w:marTop w:val="0"/>
      <w:marBottom w:val="0"/>
      <w:divBdr>
        <w:top w:val="none" w:sz="0" w:space="0" w:color="auto"/>
        <w:left w:val="none" w:sz="0" w:space="0" w:color="auto"/>
        <w:bottom w:val="none" w:sz="0" w:space="0" w:color="auto"/>
        <w:right w:val="none" w:sz="0" w:space="0" w:color="auto"/>
      </w:divBdr>
    </w:div>
    <w:div w:id="1319840849">
      <w:bodyDiv w:val="1"/>
      <w:marLeft w:val="0"/>
      <w:marRight w:val="0"/>
      <w:marTop w:val="0"/>
      <w:marBottom w:val="0"/>
      <w:divBdr>
        <w:top w:val="none" w:sz="0" w:space="0" w:color="auto"/>
        <w:left w:val="none" w:sz="0" w:space="0" w:color="auto"/>
        <w:bottom w:val="none" w:sz="0" w:space="0" w:color="auto"/>
        <w:right w:val="none" w:sz="0" w:space="0" w:color="auto"/>
      </w:divBdr>
    </w:div>
    <w:div w:id="1327897096">
      <w:bodyDiv w:val="1"/>
      <w:marLeft w:val="0"/>
      <w:marRight w:val="0"/>
      <w:marTop w:val="0"/>
      <w:marBottom w:val="0"/>
      <w:divBdr>
        <w:top w:val="none" w:sz="0" w:space="0" w:color="auto"/>
        <w:left w:val="none" w:sz="0" w:space="0" w:color="auto"/>
        <w:bottom w:val="none" w:sz="0" w:space="0" w:color="auto"/>
        <w:right w:val="none" w:sz="0" w:space="0" w:color="auto"/>
      </w:divBdr>
    </w:div>
    <w:div w:id="1365596577">
      <w:bodyDiv w:val="1"/>
      <w:marLeft w:val="0"/>
      <w:marRight w:val="0"/>
      <w:marTop w:val="0"/>
      <w:marBottom w:val="0"/>
      <w:divBdr>
        <w:top w:val="none" w:sz="0" w:space="0" w:color="auto"/>
        <w:left w:val="none" w:sz="0" w:space="0" w:color="auto"/>
        <w:bottom w:val="none" w:sz="0" w:space="0" w:color="auto"/>
        <w:right w:val="none" w:sz="0" w:space="0" w:color="auto"/>
      </w:divBdr>
    </w:div>
    <w:div w:id="1406875113">
      <w:bodyDiv w:val="1"/>
      <w:marLeft w:val="0"/>
      <w:marRight w:val="0"/>
      <w:marTop w:val="0"/>
      <w:marBottom w:val="0"/>
      <w:divBdr>
        <w:top w:val="none" w:sz="0" w:space="0" w:color="auto"/>
        <w:left w:val="none" w:sz="0" w:space="0" w:color="auto"/>
        <w:bottom w:val="none" w:sz="0" w:space="0" w:color="auto"/>
        <w:right w:val="none" w:sz="0" w:space="0" w:color="auto"/>
      </w:divBdr>
    </w:div>
    <w:div w:id="1579821263">
      <w:bodyDiv w:val="1"/>
      <w:marLeft w:val="0"/>
      <w:marRight w:val="0"/>
      <w:marTop w:val="0"/>
      <w:marBottom w:val="0"/>
      <w:divBdr>
        <w:top w:val="none" w:sz="0" w:space="0" w:color="auto"/>
        <w:left w:val="none" w:sz="0" w:space="0" w:color="auto"/>
        <w:bottom w:val="none" w:sz="0" w:space="0" w:color="auto"/>
        <w:right w:val="none" w:sz="0" w:space="0" w:color="auto"/>
      </w:divBdr>
    </w:div>
    <w:div w:id="1701513604">
      <w:bodyDiv w:val="1"/>
      <w:marLeft w:val="0"/>
      <w:marRight w:val="0"/>
      <w:marTop w:val="0"/>
      <w:marBottom w:val="0"/>
      <w:divBdr>
        <w:top w:val="none" w:sz="0" w:space="0" w:color="auto"/>
        <w:left w:val="none" w:sz="0" w:space="0" w:color="auto"/>
        <w:bottom w:val="none" w:sz="0" w:space="0" w:color="auto"/>
        <w:right w:val="none" w:sz="0" w:space="0" w:color="auto"/>
      </w:divBdr>
    </w:div>
    <w:div w:id="1732195879">
      <w:bodyDiv w:val="1"/>
      <w:marLeft w:val="0"/>
      <w:marRight w:val="0"/>
      <w:marTop w:val="0"/>
      <w:marBottom w:val="0"/>
      <w:divBdr>
        <w:top w:val="none" w:sz="0" w:space="0" w:color="auto"/>
        <w:left w:val="none" w:sz="0" w:space="0" w:color="auto"/>
        <w:bottom w:val="none" w:sz="0" w:space="0" w:color="auto"/>
        <w:right w:val="none" w:sz="0" w:space="0" w:color="auto"/>
      </w:divBdr>
    </w:div>
    <w:div w:id="1782450227">
      <w:bodyDiv w:val="1"/>
      <w:marLeft w:val="0"/>
      <w:marRight w:val="0"/>
      <w:marTop w:val="0"/>
      <w:marBottom w:val="0"/>
      <w:divBdr>
        <w:top w:val="none" w:sz="0" w:space="0" w:color="auto"/>
        <w:left w:val="none" w:sz="0" w:space="0" w:color="auto"/>
        <w:bottom w:val="none" w:sz="0" w:space="0" w:color="auto"/>
        <w:right w:val="none" w:sz="0" w:space="0" w:color="auto"/>
      </w:divBdr>
    </w:div>
    <w:div w:id="1856766520">
      <w:bodyDiv w:val="1"/>
      <w:marLeft w:val="0"/>
      <w:marRight w:val="0"/>
      <w:marTop w:val="0"/>
      <w:marBottom w:val="0"/>
      <w:divBdr>
        <w:top w:val="none" w:sz="0" w:space="0" w:color="auto"/>
        <w:left w:val="none" w:sz="0" w:space="0" w:color="auto"/>
        <w:bottom w:val="none" w:sz="0" w:space="0" w:color="auto"/>
        <w:right w:val="none" w:sz="0" w:space="0" w:color="auto"/>
      </w:divBdr>
    </w:div>
    <w:div w:id="1892575039">
      <w:bodyDiv w:val="1"/>
      <w:marLeft w:val="0"/>
      <w:marRight w:val="0"/>
      <w:marTop w:val="0"/>
      <w:marBottom w:val="0"/>
      <w:divBdr>
        <w:top w:val="none" w:sz="0" w:space="0" w:color="auto"/>
        <w:left w:val="none" w:sz="0" w:space="0" w:color="auto"/>
        <w:bottom w:val="none" w:sz="0" w:space="0" w:color="auto"/>
        <w:right w:val="none" w:sz="0" w:space="0" w:color="auto"/>
      </w:divBdr>
    </w:div>
    <w:div w:id="1974673666">
      <w:bodyDiv w:val="1"/>
      <w:marLeft w:val="0"/>
      <w:marRight w:val="0"/>
      <w:marTop w:val="0"/>
      <w:marBottom w:val="0"/>
      <w:divBdr>
        <w:top w:val="none" w:sz="0" w:space="0" w:color="auto"/>
        <w:left w:val="none" w:sz="0" w:space="0" w:color="auto"/>
        <w:bottom w:val="none" w:sz="0" w:space="0" w:color="auto"/>
        <w:right w:val="none" w:sz="0" w:space="0" w:color="auto"/>
      </w:divBdr>
    </w:div>
    <w:div w:id="2002002511">
      <w:bodyDiv w:val="1"/>
      <w:marLeft w:val="0"/>
      <w:marRight w:val="0"/>
      <w:marTop w:val="0"/>
      <w:marBottom w:val="0"/>
      <w:divBdr>
        <w:top w:val="none" w:sz="0" w:space="0" w:color="auto"/>
        <w:left w:val="none" w:sz="0" w:space="0" w:color="auto"/>
        <w:bottom w:val="none" w:sz="0" w:space="0" w:color="auto"/>
        <w:right w:val="none" w:sz="0" w:space="0" w:color="auto"/>
      </w:divBdr>
    </w:div>
    <w:div w:id="2092391038">
      <w:bodyDiv w:val="1"/>
      <w:marLeft w:val="0"/>
      <w:marRight w:val="0"/>
      <w:marTop w:val="0"/>
      <w:marBottom w:val="0"/>
      <w:divBdr>
        <w:top w:val="none" w:sz="0" w:space="0" w:color="auto"/>
        <w:left w:val="none" w:sz="0" w:space="0" w:color="auto"/>
        <w:bottom w:val="none" w:sz="0" w:space="0" w:color="auto"/>
        <w:right w:val="none" w:sz="0" w:space="0" w:color="auto"/>
      </w:divBdr>
    </w:div>
    <w:div w:id="21219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www.istat.it/it/archivio/12940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ocuments\Contrattazione_sociale\2015\elaborazioni_2015\elaborazioni_cap2_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ocuments\Contrattazione_sociale\2015\elaborazioni_2015\elaborazioni_cap2_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Documents\Contrattazione_sociale\2015\elaborazioni_2015\elaborazioni_cap3_1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Documents\Contrattazione_sociale\2015\elaborazioni_2015\elaborazioni_cap3_1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Documents\Contrattazione_sociale\2015\elaborazioni_2015\elaborazioni_cap3_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11709817741314094"/>
          <c:w val="0.9391424619640385"/>
          <c:h val="0.72415285501899673"/>
        </c:manualLayout>
      </c:layout>
      <c:barChart>
        <c:barDir val="col"/>
        <c:grouping val="stacked"/>
        <c:varyColors val="0"/>
        <c:ser>
          <c:idx val="0"/>
          <c:order val="0"/>
          <c:tx>
            <c:strRef>
              <c:f>'documenti_raccolti '!$B$27</c:f>
              <c:strCache>
                <c:ptCount val="1"/>
                <c:pt idx="0">
                  <c:v>accordi, piattaforme, delibere</c:v>
                </c:pt>
              </c:strCache>
            </c:strRef>
          </c:tx>
          <c:invertIfNegative val="0"/>
          <c:dLbls>
            <c:dLbl>
              <c:idx val="5"/>
              <c:tx>
                <c:rich>
                  <a:bodyPr/>
                  <a:lstStyle/>
                  <a:p>
                    <a:r>
                      <a:rPr lang="en-US" sz="1100" b="1"/>
                      <a:t>68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i="0" u="none" strike="noStrike" baseline="0">
                    <a:solidFill>
                      <a:srgbClr val="000000"/>
                    </a:solidFill>
                    <a:latin typeface="Calibri"/>
                    <a:ea typeface="Calibri"/>
                    <a:cs typeface="Calibri"/>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'documenti_raccolti '!$A$28:$A$34</c:f>
              <c:numCache>
                <c:formatCode>General</c:formatCode>
                <c:ptCount val="7"/>
                <c:pt idx="0">
                  <c:v>2009</c:v>
                </c:pt>
                <c:pt idx="1">
                  <c:v>2010</c:v>
                </c:pt>
                <c:pt idx="2">
                  <c:v>2011</c:v>
                </c:pt>
                <c:pt idx="3">
                  <c:v>2012</c:v>
                </c:pt>
                <c:pt idx="4">
                  <c:v>2013</c:v>
                </c:pt>
                <c:pt idx="5">
                  <c:v>2014</c:v>
                </c:pt>
                <c:pt idx="6">
                  <c:v>2015</c:v>
                </c:pt>
              </c:numCache>
            </c:numRef>
          </c:cat>
          <c:val>
            <c:numRef>
              <c:f>'documenti_raccolti '!$B$28:$B$34</c:f>
              <c:numCache>
                <c:formatCode>General</c:formatCode>
                <c:ptCount val="7"/>
                <c:pt idx="0">
                  <c:v>92</c:v>
                </c:pt>
                <c:pt idx="1">
                  <c:v>88</c:v>
                </c:pt>
                <c:pt idx="2">
                  <c:v>142</c:v>
                </c:pt>
                <c:pt idx="3">
                  <c:v>159</c:v>
                </c:pt>
                <c:pt idx="4">
                  <c:v>124</c:v>
                </c:pt>
                <c:pt idx="5">
                  <c:v>68</c:v>
                </c:pt>
                <c:pt idx="6">
                  <c:v>87</c:v>
                </c:pt>
              </c:numCache>
            </c:numRef>
          </c:val>
        </c:ser>
        <c:ser>
          <c:idx val="1"/>
          <c:order val="1"/>
          <c:tx>
            <c:strRef>
              <c:f>'documenti_raccolti '!$C$27</c:f>
              <c:strCache>
                <c:ptCount val="1"/>
                <c:pt idx="0">
                  <c:v>altra documentazione</c:v>
                </c:pt>
              </c:strCache>
            </c:strRef>
          </c:tx>
          <c:invertIfNegative val="0"/>
          <c:dLbls>
            <c:spPr>
              <a:noFill/>
              <a:ln>
                <a:noFill/>
              </a:ln>
              <a:effectLst/>
            </c:spPr>
            <c:txPr>
              <a:bodyPr/>
              <a:lstStyle/>
              <a:p>
                <a:pPr>
                  <a:defRPr sz="1100" b="1" i="0" u="none" strike="noStrike" baseline="0">
                    <a:solidFill>
                      <a:srgbClr val="000000"/>
                    </a:solidFill>
                    <a:latin typeface="Calibri"/>
                    <a:ea typeface="Calibri"/>
                    <a:cs typeface="Calibri"/>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'documenti_raccolti '!$A$28:$A$34</c:f>
              <c:numCache>
                <c:formatCode>General</c:formatCode>
                <c:ptCount val="7"/>
                <c:pt idx="0">
                  <c:v>2009</c:v>
                </c:pt>
                <c:pt idx="1">
                  <c:v>2010</c:v>
                </c:pt>
                <c:pt idx="2">
                  <c:v>2011</c:v>
                </c:pt>
                <c:pt idx="3">
                  <c:v>2012</c:v>
                </c:pt>
                <c:pt idx="4">
                  <c:v>2013</c:v>
                </c:pt>
                <c:pt idx="5">
                  <c:v>2014</c:v>
                </c:pt>
                <c:pt idx="6">
                  <c:v>2015</c:v>
                </c:pt>
              </c:numCache>
            </c:numRef>
          </c:cat>
          <c:val>
            <c:numRef>
              <c:f>'documenti_raccolti '!$C$28:$C$34</c:f>
              <c:numCache>
                <c:formatCode>General</c:formatCode>
                <c:ptCount val="7"/>
                <c:pt idx="0">
                  <c:v>0</c:v>
                </c:pt>
                <c:pt idx="1">
                  <c:v>0</c:v>
                </c:pt>
                <c:pt idx="2">
                  <c:v>0</c:v>
                </c:pt>
                <c:pt idx="3">
                  <c:v>15</c:v>
                </c:pt>
                <c:pt idx="4">
                  <c:v>24</c:v>
                </c:pt>
                <c:pt idx="5">
                  <c:v>12</c:v>
                </c:pt>
                <c:pt idx="6">
                  <c:v>55</c:v>
                </c:pt>
              </c:numCache>
            </c:numRef>
          </c:val>
        </c:ser>
        <c:dLbls>
          <c:showLegendKey val="0"/>
          <c:showVal val="1"/>
          <c:showCatName val="0"/>
          <c:showSerName val="0"/>
          <c:showPercent val="0"/>
          <c:showBubbleSize val="0"/>
        </c:dLbls>
        <c:gapWidth val="95"/>
        <c:overlap val="100"/>
        <c:axId val="1581457472"/>
        <c:axId val="1581458560"/>
      </c:barChart>
      <c:catAx>
        <c:axId val="158145747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1581458560"/>
        <c:crosses val="autoZero"/>
        <c:auto val="1"/>
        <c:lblAlgn val="ctr"/>
        <c:lblOffset val="100"/>
        <c:noMultiLvlLbl val="0"/>
      </c:catAx>
      <c:valAx>
        <c:axId val="1581458560"/>
        <c:scaling>
          <c:orientation val="minMax"/>
        </c:scaling>
        <c:delete val="1"/>
        <c:axPos val="l"/>
        <c:numFmt formatCode="General" sourceLinked="1"/>
        <c:majorTickMark val="out"/>
        <c:minorTickMark val="none"/>
        <c:tickLblPos val="none"/>
        <c:crossAx val="1581457472"/>
        <c:crosses val="autoZero"/>
        <c:crossBetween val="between"/>
      </c:valAx>
    </c:plotArea>
    <c:legend>
      <c:legendPos val="t"/>
      <c:overlay val="0"/>
      <c:txPr>
        <a:bodyPr/>
        <a:lstStyle/>
        <a:p>
          <a:pPr>
            <a:defRPr sz="920" b="0" i="0" u="none" strike="noStrike" baseline="0">
              <a:solidFill>
                <a:srgbClr val="000000"/>
              </a:solidFill>
              <a:latin typeface="Calibri"/>
              <a:ea typeface="Calibri"/>
              <a:cs typeface="Calibri"/>
            </a:defRPr>
          </a:pPr>
          <a:endParaRPr lang="it-IT"/>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100" b="1" i="0" u="none" strike="noStrike" baseline="0">
                    <a:solidFill>
                      <a:srgbClr val="000000"/>
                    </a:solidFill>
                    <a:latin typeface="Calibri"/>
                    <a:ea typeface="Calibri"/>
                    <a:cs typeface="Calibri"/>
                  </a:defRPr>
                </a:pPr>
                <a:endParaRPr lang="it-IT"/>
              </a:p>
            </c:txPr>
            <c:showLegendKey val="0"/>
            <c:showVal val="0"/>
            <c:showCatName val="1"/>
            <c:showSerName val="0"/>
            <c:showPercent val="1"/>
            <c:showBubbleSize val="0"/>
            <c:showLeaderLines val="1"/>
            <c:extLst>
              <c:ext xmlns:c15="http://schemas.microsoft.com/office/drawing/2012/chart" uri="{CE6537A1-D6FC-4f65-9D91-7224C49458BB}"/>
            </c:extLst>
          </c:dLbls>
          <c:cat>
            <c:strRef>
              <c:f>'documenti_raccolti '!$A$8:$A$11</c:f>
              <c:strCache>
                <c:ptCount val="4"/>
                <c:pt idx="0">
                  <c:v>Accordo</c:v>
                </c:pt>
                <c:pt idx="1">
                  <c:v>Delibera</c:v>
                </c:pt>
                <c:pt idx="2">
                  <c:v>Piattaforma</c:v>
                </c:pt>
                <c:pt idx="3">
                  <c:v>Altro materiale</c:v>
                </c:pt>
              </c:strCache>
            </c:strRef>
          </c:cat>
          <c:val>
            <c:numRef>
              <c:f>'documenti_raccolti '!$B$8:$B$11</c:f>
              <c:numCache>
                <c:formatCode>0%</c:formatCode>
                <c:ptCount val="4"/>
                <c:pt idx="0">
                  <c:v>0.50704225352112675</c:v>
                </c:pt>
                <c:pt idx="1">
                  <c:v>7.0422535211267623E-2</c:v>
                </c:pt>
                <c:pt idx="2">
                  <c:v>3.5211267605634672E-2</c:v>
                </c:pt>
                <c:pt idx="3">
                  <c:v>0.38732394366197964</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'%popolazione_comuni'!$B$37</c:f>
              <c:strCache>
                <c:ptCount val="1"/>
                <c:pt idx="0">
                  <c:v>2009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'%popolazione_comuni'!$C$36:$D$36</c:f>
              <c:strCache>
                <c:ptCount val="2"/>
                <c:pt idx="0">
                  <c:v>%comuni</c:v>
                </c:pt>
                <c:pt idx="1">
                  <c:v>%popolazione</c:v>
                </c:pt>
              </c:strCache>
            </c:strRef>
          </c:cat>
          <c:val>
            <c:numRef>
              <c:f>'%popolazione_comuni'!$C$37:$D$37</c:f>
              <c:numCache>
                <c:formatCode>0%</c:formatCode>
                <c:ptCount val="2"/>
                <c:pt idx="0">
                  <c:v>0.35000000000000031</c:v>
                </c:pt>
                <c:pt idx="1">
                  <c:v>0.62000000000000965</c:v>
                </c:pt>
              </c:numCache>
            </c:numRef>
          </c:val>
        </c:ser>
        <c:ser>
          <c:idx val="1"/>
          <c:order val="1"/>
          <c:tx>
            <c:strRef>
              <c:f>'%popolazione_comuni'!$B$38</c:f>
              <c:strCache>
                <c:ptCount val="1"/>
                <c:pt idx="0">
                  <c:v>2010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'%popolazione_comuni'!$C$36:$D$36</c:f>
              <c:strCache>
                <c:ptCount val="2"/>
                <c:pt idx="0">
                  <c:v>%comuni</c:v>
                </c:pt>
                <c:pt idx="1">
                  <c:v>%popolazione</c:v>
                </c:pt>
              </c:strCache>
            </c:strRef>
          </c:cat>
          <c:val>
            <c:numRef>
              <c:f>'%popolazione_comuni'!$C$38:$D$38</c:f>
              <c:numCache>
                <c:formatCode>0%</c:formatCode>
                <c:ptCount val="2"/>
                <c:pt idx="0">
                  <c:v>0.38000000000000617</c:v>
                </c:pt>
                <c:pt idx="1">
                  <c:v>0.47000000000000008</c:v>
                </c:pt>
              </c:numCache>
            </c:numRef>
          </c:val>
        </c:ser>
        <c:ser>
          <c:idx val="2"/>
          <c:order val="2"/>
          <c:tx>
            <c:strRef>
              <c:f>'%popolazione_comuni'!$B$39</c:f>
              <c:strCache>
                <c:ptCount val="1"/>
                <c:pt idx="0">
                  <c:v>2011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'%popolazione_comuni'!$C$36:$D$36</c:f>
              <c:strCache>
                <c:ptCount val="2"/>
                <c:pt idx="0">
                  <c:v>%comuni</c:v>
                </c:pt>
                <c:pt idx="1">
                  <c:v>%popolazione</c:v>
                </c:pt>
              </c:strCache>
            </c:strRef>
          </c:cat>
          <c:val>
            <c:numRef>
              <c:f>'%popolazione_comuni'!$C$39:$D$39</c:f>
              <c:numCache>
                <c:formatCode>0%</c:formatCode>
                <c:ptCount val="2"/>
                <c:pt idx="0">
                  <c:v>0.58000000000000007</c:v>
                </c:pt>
                <c:pt idx="1">
                  <c:v>0.60000000000000064</c:v>
                </c:pt>
              </c:numCache>
            </c:numRef>
          </c:val>
        </c:ser>
        <c:ser>
          <c:idx val="3"/>
          <c:order val="3"/>
          <c:tx>
            <c:strRef>
              <c:f>'%popolazione_comuni'!$B$40</c:f>
              <c:strCache>
                <c:ptCount val="1"/>
                <c:pt idx="0">
                  <c:v>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'%popolazione_comuni'!$C$36:$D$36</c:f>
              <c:strCache>
                <c:ptCount val="2"/>
                <c:pt idx="0">
                  <c:v>%comuni</c:v>
                </c:pt>
                <c:pt idx="1">
                  <c:v>%popolazione</c:v>
                </c:pt>
              </c:strCache>
            </c:strRef>
          </c:cat>
          <c:val>
            <c:numRef>
              <c:f>'%popolazione_comuni'!$C$40:$D$40</c:f>
              <c:numCache>
                <c:formatCode>0%</c:formatCode>
                <c:ptCount val="2"/>
                <c:pt idx="0">
                  <c:v>0.56999999999999995</c:v>
                </c:pt>
                <c:pt idx="1">
                  <c:v>0.69000000000000061</c:v>
                </c:pt>
              </c:numCache>
            </c:numRef>
          </c:val>
        </c:ser>
        <c:ser>
          <c:idx val="4"/>
          <c:order val="4"/>
          <c:tx>
            <c:strRef>
              <c:f>'%popolazione_comuni'!$B$41</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'%popolazione_comuni'!$C$36:$D$36</c:f>
              <c:strCache>
                <c:ptCount val="2"/>
                <c:pt idx="0">
                  <c:v>%comuni</c:v>
                </c:pt>
                <c:pt idx="1">
                  <c:v>%popolazione</c:v>
                </c:pt>
              </c:strCache>
            </c:strRef>
          </c:cat>
          <c:val>
            <c:numRef>
              <c:f>'%popolazione_comuni'!$C$41:$D$41</c:f>
              <c:numCache>
                <c:formatCode>0%</c:formatCode>
                <c:ptCount val="2"/>
                <c:pt idx="0">
                  <c:v>0.43000000000000038</c:v>
                </c:pt>
                <c:pt idx="1">
                  <c:v>0.52</c:v>
                </c:pt>
              </c:numCache>
            </c:numRef>
          </c:val>
        </c:ser>
        <c:ser>
          <c:idx val="5"/>
          <c:order val="5"/>
          <c:tx>
            <c:strRef>
              <c:f>'%popolazione_comuni'!$B$42</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'%popolazione_comuni'!$C$36:$D$36</c:f>
              <c:strCache>
                <c:ptCount val="2"/>
                <c:pt idx="0">
                  <c:v>%comuni</c:v>
                </c:pt>
                <c:pt idx="1">
                  <c:v>%popolazione</c:v>
                </c:pt>
              </c:strCache>
            </c:strRef>
          </c:cat>
          <c:val>
            <c:numRef>
              <c:f>'%popolazione_comuni'!$C$42:$D$42</c:f>
              <c:numCache>
                <c:formatCode>0%</c:formatCode>
                <c:ptCount val="2"/>
                <c:pt idx="0">
                  <c:v>0.19</c:v>
                </c:pt>
                <c:pt idx="1">
                  <c:v>0.29000000000000031</c:v>
                </c:pt>
              </c:numCache>
            </c:numRef>
          </c:val>
        </c:ser>
        <c:ser>
          <c:idx val="6"/>
          <c:order val="6"/>
          <c:tx>
            <c:strRef>
              <c:f>'%popolazione_comuni'!$B$43</c:f>
              <c:strCache>
                <c:ptCount val="1"/>
                <c:pt idx="0">
                  <c:v>2015</c:v>
                </c:pt>
              </c:strCache>
            </c:strRef>
          </c:tx>
          <c:invertIfNegative val="0"/>
          <c:dLbls>
            <c:dLbl>
              <c:idx val="0"/>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'%popolazione_comuni'!$C$36:$D$36</c:f>
              <c:strCache>
                <c:ptCount val="2"/>
                <c:pt idx="0">
                  <c:v>%comuni</c:v>
                </c:pt>
                <c:pt idx="1">
                  <c:v>%popolazione</c:v>
                </c:pt>
              </c:strCache>
            </c:strRef>
          </c:cat>
          <c:val>
            <c:numRef>
              <c:f>'%popolazione_comuni'!$C$43:$D$43</c:f>
              <c:numCache>
                <c:formatCode>0%</c:formatCode>
                <c:ptCount val="2"/>
                <c:pt idx="0">
                  <c:v>0.3200000000000065</c:v>
                </c:pt>
                <c:pt idx="1">
                  <c:v>0.38000000000000617</c:v>
                </c:pt>
              </c:numCache>
            </c:numRef>
          </c:val>
        </c:ser>
        <c:dLbls>
          <c:showLegendKey val="0"/>
          <c:showVal val="1"/>
          <c:showCatName val="0"/>
          <c:showSerName val="0"/>
          <c:showPercent val="0"/>
          <c:showBubbleSize val="0"/>
        </c:dLbls>
        <c:gapWidth val="150"/>
        <c:overlap val="-25"/>
        <c:axId val="1581466720"/>
        <c:axId val="1581468352"/>
      </c:barChart>
      <c:catAx>
        <c:axId val="1581466720"/>
        <c:scaling>
          <c:orientation val="minMax"/>
        </c:scaling>
        <c:delete val="0"/>
        <c:axPos val="b"/>
        <c:numFmt formatCode="General" sourceLinked="1"/>
        <c:majorTickMark val="none"/>
        <c:minorTickMark val="none"/>
        <c:tickLblPos val="nextTo"/>
        <c:crossAx val="1581468352"/>
        <c:crosses val="autoZero"/>
        <c:auto val="1"/>
        <c:lblAlgn val="ctr"/>
        <c:lblOffset val="100"/>
        <c:noMultiLvlLbl val="0"/>
      </c:catAx>
      <c:valAx>
        <c:axId val="1581468352"/>
        <c:scaling>
          <c:orientation val="minMax"/>
        </c:scaling>
        <c:delete val="1"/>
        <c:axPos val="l"/>
        <c:numFmt formatCode="0%" sourceLinked="1"/>
        <c:majorTickMark val="out"/>
        <c:minorTickMark val="none"/>
        <c:tickLblPos val="none"/>
        <c:crossAx val="1581466720"/>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'%popolazione_comuni'!$C$36</c:f>
              <c:strCache>
                <c:ptCount val="1"/>
                <c:pt idx="0">
                  <c:v>%comuni</c:v>
                </c:pt>
              </c:strCache>
            </c:strRef>
          </c:tx>
          <c:invertIfNegative val="0"/>
          <c:dLbls>
            <c:dLbl>
              <c:idx val="6"/>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'%popolazione_comuni'!$B$37:$B$43</c:f>
              <c:numCache>
                <c:formatCode>General</c:formatCode>
                <c:ptCount val="7"/>
                <c:pt idx="0">
                  <c:v>2009</c:v>
                </c:pt>
                <c:pt idx="1">
                  <c:v>2010</c:v>
                </c:pt>
                <c:pt idx="2">
                  <c:v>2011</c:v>
                </c:pt>
                <c:pt idx="3">
                  <c:v>2012</c:v>
                </c:pt>
                <c:pt idx="4">
                  <c:v>2013</c:v>
                </c:pt>
                <c:pt idx="5">
                  <c:v>2014</c:v>
                </c:pt>
                <c:pt idx="6">
                  <c:v>2015</c:v>
                </c:pt>
              </c:numCache>
            </c:numRef>
          </c:cat>
          <c:val>
            <c:numRef>
              <c:f>'%popolazione_comuni'!$C$37:$C$43</c:f>
              <c:numCache>
                <c:formatCode>0%</c:formatCode>
                <c:ptCount val="7"/>
                <c:pt idx="0">
                  <c:v>0.35000000000000031</c:v>
                </c:pt>
                <c:pt idx="1">
                  <c:v>0.38000000000000617</c:v>
                </c:pt>
                <c:pt idx="2">
                  <c:v>0.58000000000000007</c:v>
                </c:pt>
                <c:pt idx="3">
                  <c:v>0.56999999999999995</c:v>
                </c:pt>
                <c:pt idx="4">
                  <c:v>0.43000000000000038</c:v>
                </c:pt>
                <c:pt idx="5">
                  <c:v>0.19</c:v>
                </c:pt>
                <c:pt idx="6">
                  <c:v>0.3200000000000065</c:v>
                </c:pt>
              </c:numCache>
            </c:numRef>
          </c:val>
        </c:ser>
        <c:ser>
          <c:idx val="1"/>
          <c:order val="1"/>
          <c:tx>
            <c:strRef>
              <c:f>'%popolazione_comuni'!$D$36</c:f>
              <c:strCache>
                <c:ptCount val="1"/>
                <c:pt idx="0">
                  <c:v>%popolazione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'%popolazione_comuni'!$B$37:$B$43</c:f>
              <c:numCache>
                <c:formatCode>General</c:formatCode>
                <c:ptCount val="7"/>
                <c:pt idx="0">
                  <c:v>2009</c:v>
                </c:pt>
                <c:pt idx="1">
                  <c:v>2010</c:v>
                </c:pt>
                <c:pt idx="2">
                  <c:v>2011</c:v>
                </c:pt>
                <c:pt idx="3">
                  <c:v>2012</c:v>
                </c:pt>
                <c:pt idx="4">
                  <c:v>2013</c:v>
                </c:pt>
                <c:pt idx="5">
                  <c:v>2014</c:v>
                </c:pt>
                <c:pt idx="6">
                  <c:v>2015</c:v>
                </c:pt>
              </c:numCache>
            </c:numRef>
          </c:cat>
          <c:val>
            <c:numRef>
              <c:f>'%popolazione_comuni'!$D$37:$D$43</c:f>
              <c:numCache>
                <c:formatCode>0%</c:formatCode>
                <c:ptCount val="7"/>
                <c:pt idx="0">
                  <c:v>0.62000000000000965</c:v>
                </c:pt>
                <c:pt idx="1">
                  <c:v>0.47000000000000008</c:v>
                </c:pt>
                <c:pt idx="2">
                  <c:v>0.60000000000000064</c:v>
                </c:pt>
                <c:pt idx="3">
                  <c:v>0.69000000000000061</c:v>
                </c:pt>
                <c:pt idx="4">
                  <c:v>0.52</c:v>
                </c:pt>
                <c:pt idx="5">
                  <c:v>0.29000000000000031</c:v>
                </c:pt>
                <c:pt idx="6">
                  <c:v>0.38000000000000617</c:v>
                </c:pt>
              </c:numCache>
            </c:numRef>
          </c:val>
        </c:ser>
        <c:dLbls>
          <c:showLegendKey val="0"/>
          <c:showVal val="1"/>
          <c:showCatName val="0"/>
          <c:showSerName val="0"/>
          <c:showPercent val="0"/>
          <c:showBubbleSize val="0"/>
        </c:dLbls>
        <c:gapWidth val="75"/>
        <c:shape val="box"/>
        <c:axId val="1581454208"/>
        <c:axId val="1581449856"/>
        <c:axId val="0"/>
      </c:bar3DChart>
      <c:catAx>
        <c:axId val="1581454208"/>
        <c:scaling>
          <c:orientation val="minMax"/>
        </c:scaling>
        <c:delete val="0"/>
        <c:axPos val="b"/>
        <c:numFmt formatCode="General" sourceLinked="1"/>
        <c:majorTickMark val="none"/>
        <c:minorTickMark val="none"/>
        <c:tickLblPos val="nextTo"/>
        <c:crossAx val="1581449856"/>
        <c:crosses val="autoZero"/>
        <c:auto val="1"/>
        <c:lblAlgn val="ctr"/>
        <c:lblOffset val="100"/>
        <c:noMultiLvlLbl val="0"/>
      </c:catAx>
      <c:valAx>
        <c:axId val="1581449856"/>
        <c:scaling>
          <c:orientation val="minMax"/>
        </c:scaling>
        <c:delete val="0"/>
        <c:axPos val="l"/>
        <c:numFmt formatCode="0%" sourceLinked="1"/>
        <c:majorTickMark val="none"/>
        <c:minorTickMark val="none"/>
        <c:tickLblPos val="nextTo"/>
        <c:crossAx val="1581454208"/>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'%popolazione_comuni'!$B$69</c:f>
              <c:strCache>
                <c:ptCount val="1"/>
                <c:pt idx="0">
                  <c:v>comuni piccolissimi (1)</c:v>
                </c:pt>
              </c:strCache>
            </c:strRef>
          </c:tx>
          <c:cat>
            <c:numRef>
              <c:f>'%popolazione_comuni'!$C$68:$I$68</c:f>
              <c:numCache>
                <c:formatCode>General</c:formatCode>
                <c:ptCount val="7"/>
                <c:pt idx="0">
                  <c:v>2009</c:v>
                </c:pt>
                <c:pt idx="1">
                  <c:v>2010</c:v>
                </c:pt>
                <c:pt idx="2">
                  <c:v>2011</c:v>
                </c:pt>
                <c:pt idx="3">
                  <c:v>2012</c:v>
                </c:pt>
                <c:pt idx="4">
                  <c:v>2013</c:v>
                </c:pt>
                <c:pt idx="5">
                  <c:v>2014</c:v>
                </c:pt>
                <c:pt idx="6">
                  <c:v>2015</c:v>
                </c:pt>
              </c:numCache>
            </c:numRef>
          </c:cat>
          <c:val>
            <c:numRef>
              <c:f>'%popolazione_comuni'!$C$69:$I$69</c:f>
              <c:numCache>
                <c:formatCode>0%</c:formatCode>
                <c:ptCount val="7"/>
                <c:pt idx="0">
                  <c:v>0.11</c:v>
                </c:pt>
                <c:pt idx="1">
                  <c:v>0.11</c:v>
                </c:pt>
                <c:pt idx="2">
                  <c:v>0.32000000000000056</c:v>
                </c:pt>
                <c:pt idx="3">
                  <c:v>0.63000000000000111</c:v>
                </c:pt>
                <c:pt idx="4">
                  <c:v>0.31578947368421162</c:v>
                </c:pt>
                <c:pt idx="5">
                  <c:v>0</c:v>
                </c:pt>
                <c:pt idx="6">
                  <c:v>0.18000000000000024</c:v>
                </c:pt>
              </c:numCache>
            </c:numRef>
          </c:val>
          <c:smooth val="0"/>
        </c:ser>
        <c:ser>
          <c:idx val="1"/>
          <c:order val="1"/>
          <c:tx>
            <c:strRef>
              <c:f>'%popolazione_comuni'!$B$70</c:f>
              <c:strCache>
                <c:ptCount val="1"/>
                <c:pt idx="0">
                  <c:v>comuni piccoli (2)</c:v>
                </c:pt>
              </c:strCache>
            </c:strRef>
          </c:tx>
          <c:cat>
            <c:numRef>
              <c:f>'%popolazione_comuni'!$C$68:$I$68</c:f>
              <c:numCache>
                <c:formatCode>General</c:formatCode>
                <c:ptCount val="7"/>
                <c:pt idx="0">
                  <c:v>2009</c:v>
                </c:pt>
                <c:pt idx="1">
                  <c:v>2010</c:v>
                </c:pt>
                <c:pt idx="2">
                  <c:v>2011</c:v>
                </c:pt>
                <c:pt idx="3">
                  <c:v>2012</c:v>
                </c:pt>
                <c:pt idx="4">
                  <c:v>2013</c:v>
                </c:pt>
                <c:pt idx="5">
                  <c:v>2014</c:v>
                </c:pt>
                <c:pt idx="6">
                  <c:v>2015</c:v>
                </c:pt>
              </c:numCache>
            </c:numRef>
          </c:cat>
          <c:val>
            <c:numRef>
              <c:f>'%popolazione_comuni'!$C$70:$I$70</c:f>
              <c:numCache>
                <c:formatCode>0%</c:formatCode>
                <c:ptCount val="7"/>
                <c:pt idx="0">
                  <c:v>0.24000000000000021</c:v>
                </c:pt>
                <c:pt idx="1">
                  <c:v>0.25</c:v>
                </c:pt>
                <c:pt idx="2">
                  <c:v>0.5</c:v>
                </c:pt>
                <c:pt idx="3">
                  <c:v>0.5</c:v>
                </c:pt>
                <c:pt idx="4">
                  <c:v>0.3361344537815128</c:v>
                </c:pt>
                <c:pt idx="5">
                  <c:v>9.0000000000000024E-2</c:v>
                </c:pt>
                <c:pt idx="6">
                  <c:v>0.18000000000000024</c:v>
                </c:pt>
              </c:numCache>
            </c:numRef>
          </c:val>
          <c:smooth val="0"/>
        </c:ser>
        <c:ser>
          <c:idx val="2"/>
          <c:order val="2"/>
          <c:tx>
            <c:strRef>
              <c:f>'%popolazione_comuni'!$B$71</c:f>
              <c:strCache>
                <c:ptCount val="1"/>
                <c:pt idx="0">
                  <c:v>comuni medio-piccoli (3)</c:v>
                </c:pt>
              </c:strCache>
            </c:strRef>
          </c:tx>
          <c:cat>
            <c:numRef>
              <c:f>'%popolazione_comuni'!$C$68:$I$68</c:f>
              <c:numCache>
                <c:formatCode>General</c:formatCode>
                <c:ptCount val="7"/>
                <c:pt idx="0">
                  <c:v>2009</c:v>
                </c:pt>
                <c:pt idx="1">
                  <c:v>2010</c:v>
                </c:pt>
                <c:pt idx="2">
                  <c:v>2011</c:v>
                </c:pt>
                <c:pt idx="3">
                  <c:v>2012</c:v>
                </c:pt>
                <c:pt idx="4">
                  <c:v>2013</c:v>
                </c:pt>
                <c:pt idx="5">
                  <c:v>2014</c:v>
                </c:pt>
                <c:pt idx="6">
                  <c:v>2015</c:v>
                </c:pt>
              </c:numCache>
            </c:numRef>
          </c:cat>
          <c:val>
            <c:numRef>
              <c:f>'%popolazione_comuni'!$C$71:$I$71</c:f>
              <c:numCache>
                <c:formatCode>0%</c:formatCode>
                <c:ptCount val="7"/>
                <c:pt idx="0">
                  <c:v>0.38000000000000056</c:v>
                </c:pt>
                <c:pt idx="1">
                  <c:v>0.47000000000000008</c:v>
                </c:pt>
                <c:pt idx="2">
                  <c:v>0.66000000000000125</c:v>
                </c:pt>
                <c:pt idx="3">
                  <c:v>0.58000000000000007</c:v>
                </c:pt>
                <c:pt idx="4">
                  <c:v>0.45360824742268041</c:v>
                </c:pt>
                <c:pt idx="5">
                  <c:v>0.29000000000000031</c:v>
                </c:pt>
                <c:pt idx="6">
                  <c:v>0.4</c:v>
                </c:pt>
              </c:numCache>
            </c:numRef>
          </c:val>
          <c:smooth val="0"/>
        </c:ser>
        <c:ser>
          <c:idx val="3"/>
          <c:order val="3"/>
          <c:tx>
            <c:strRef>
              <c:f>'%popolazione_comuni'!$B$72</c:f>
              <c:strCache>
                <c:ptCount val="1"/>
                <c:pt idx="0">
                  <c:v>comuni medi (4)</c:v>
                </c:pt>
              </c:strCache>
            </c:strRef>
          </c:tx>
          <c:cat>
            <c:numRef>
              <c:f>'%popolazione_comuni'!$C$68:$I$68</c:f>
              <c:numCache>
                <c:formatCode>General</c:formatCode>
                <c:ptCount val="7"/>
                <c:pt idx="0">
                  <c:v>2009</c:v>
                </c:pt>
                <c:pt idx="1">
                  <c:v>2010</c:v>
                </c:pt>
                <c:pt idx="2">
                  <c:v>2011</c:v>
                </c:pt>
                <c:pt idx="3">
                  <c:v>2012</c:v>
                </c:pt>
                <c:pt idx="4">
                  <c:v>2013</c:v>
                </c:pt>
                <c:pt idx="5">
                  <c:v>2014</c:v>
                </c:pt>
                <c:pt idx="6">
                  <c:v>2015</c:v>
                </c:pt>
              </c:numCache>
            </c:numRef>
          </c:cat>
          <c:val>
            <c:numRef>
              <c:f>'%popolazione_comuni'!$C$72:$I$72</c:f>
              <c:numCache>
                <c:formatCode>0%</c:formatCode>
                <c:ptCount val="7"/>
                <c:pt idx="0">
                  <c:v>0.64000000000000112</c:v>
                </c:pt>
                <c:pt idx="1">
                  <c:v>0.62000000000000099</c:v>
                </c:pt>
                <c:pt idx="2">
                  <c:v>0.79</c:v>
                </c:pt>
                <c:pt idx="3">
                  <c:v>0.72000000000000064</c:v>
                </c:pt>
                <c:pt idx="4">
                  <c:v>0.48717948717948817</c:v>
                </c:pt>
                <c:pt idx="5">
                  <c:v>0.33000000000000063</c:v>
                </c:pt>
                <c:pt idx="6">
                  <c:v>0.48000000000000032</c:v>
                </c:pt>
              </c:numCache>
            </c:numRef>
          </c:val>
          <c:smooth val="0"/>
        </c:ser>
        <c:ser>
          <c:idx val="4"/>
          <c:order val="4"/>
          <c:tx>
            <c:strRef>
              <c:f>'%popolazione_comuni'!$B$73</c:f>
              <c:strCache>
                <c:ptCount val="1"/>
                <c:pt idx="0">
                  <c:v>comuni grandi (5)</c:v>
                </c:pt>
              </c:strCache>
            </c:strRef>
          </c:tx>
          <c:cat>
            <c:numRef>
              <c:f>'%popolazione_comuni'!$C$68:$I$68</c:f>
              <c:numCache>
                <c:formatCode>General</c:formatCode>
                <c:ptCount val="7"/>
                <c:pt idx="0">
                  <c:v>2009</c:v>
                </c:pt>
                <c:pt idx="1">
                  <c:v>2010</c:v>
                </c:pt>
                <c:pt idx="2">
                  <c:v>2011</c:v>
                </c:pt>
                <c:pt idx="3">
                  <c:v>2012</c:v>
                </c:pt>
                <c:pt idx="4">
                  <c:v>2013</c:v>
                </c:pt>
                <c:pt idx="5">
                  <c:v>2014</c:v>
                </c:pt>
                <c:pt idx="6">
                  <c:v>2015</c:v>
                </c:pt>
              </c:numCache>
            </c:numRef>
          </c:cat>
          <c:val>
            <c:numRef>
              <c:f>'%popolazione_comuni'!$C$73:$I$73</c:f>
              <c:numCache>
                <c:formatCode>0%</c:formatCode>
                <c:ptCount val="7"/>
                <c:pt idx="0">
                  <c:v>0.69000000000000061</c:v>
                </c:pt>
                <c:pt idx="1">
                  <c:v>0.38000000000000056</c:v>
                </c:pt>
                <c:pt idx="2">
                  <c:v>0.54</c:v>
                </c:pt>
                <c:pt idx="3">
                  <c:v>0.77000000000000113</c:v>
                </c:pt>
                <c:pt idx="4">
                  <c:v>0.46153846153846212</c:v>
                </c:pt>
                <c:pt idx="5">
                  <c:v>0.25</c:v>
                </c:pt>
                <c:pt idx="6">
                  <c:v>0.46</c:v>
                </c:pt>
              </c:numCache>
            </c:numRef>
          </c:val>
          <c:smooth val="0"/>
        </c:ser>
        <c:dLbls>
          <c:showLegendKey val="0"/>
          <c:showVal val="0"/>
          <c:showCatName val="0"/>
          <c:showSerName val="0"/>
          <c:showPercent val="0"/>
          <c:showBubbleSize val="0"/>
        </c:dLbls>
        <c:marker val="1"/>
        <c:smooth val="0"/>
        <c:axId val="1581473248"/>
        <c:axId val="1581465632"/>
      </c:lineChart>
      <c:catAx>
        <c:axId val="1581473248"/>
        <c:scaling>
          <c:orientation val="minMax"/>
        </c:scaling>
        <c:delete val="0"/>
        <c:axPos val="b"/>
        <c:numFmt formatCode="General" sourceLinked="1"/>
        <c:majorTickMark val="none"/>
        <c:minorTickMark val="none"/>
        <c:tickLblPos val="nextTo"/>
        <c:crossAx val="1581465632"/>
        <c:crosses val="autoZero"/>
        <c:auto val="1"/>
        <c:lblAlgn val="ctr"/>
        <c:lblOffset val="100"/>
        <c:noMultiLvlLbl val="0"/>
      </c:catAx>
      <c:valAx>
        <c:axId val="1581465632"/>
        <c:scaling>
          <c:orientation val="minMax"/>
        </c:scaling>
        <c:delete val="0"/>
        <c:axPos val="l"/>
        <c:majorGridlines/>
        <c:numFmt formatCode="0%" sourceLinked="1"/>
        <c:majorTickMark val="none"/>
        <c:minorTickMark val="none"/>
        <c:tickLblPos val="nextTo"/>
        <c:spPr>
          <a:ln w="6350">
            <a:noFill/>
          </a:ln>
        </c:spPr>
        <c:crossAx val="158147324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29F21-73A9-43DC-B8F0-01A43B6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13917</Words>
  <Characters>79331</Characters>
  <Application>Microsoft Office Word</Application>
  <DocSecurity>0</DocSecurity>
  <Lines>661</Lines>
  <Paragraphs>186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Franco Bortolotti</cp:lastModifiedBy>
  <cp:revision>2</cp:revision>
  <cp:lastPrinted>2016-06-30T13:39:00Z</cp:lastPrinted>
  <dcterms:created xsi:type="dcterms:W3CDTF">2017-04-28T10:56:00Z</dcterms:created>
  <dcterms:modified xsi:type="dcterms:W3CDTF">2017-04-28T10:56:00Z</dcterms:modified>
</cp:coreProperties>
</file>